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85C03">
      <w:pPr>
        <w:tabs>
          <w:tab w:val="left" w:pos="697"/>
        </w:tabs>
        <w:ind w:firstLine="1280" w:firstLineChars="400"/>
        <w:jc w:val="left"/>
        <w:rPr>
          <w:rFonts w:ascii="Times New Roman" w:hAnsi="Times New Roman" w:eastAsia="黑体"/>
          <w:w w:val="100"/>
          <w:sz w:val="32"/>
          <w:szCs w:val="32"/>
        </w:rPr>
      </w:pPr>
      <w:r>
        <w:rPr>
          <w:rFonts w:ascii="Times New Roman" w:hAnsi="Times New Roman" w:eastAsia="黑体"/>
          <w:w w:val="100"/>
          <w:sz w:val="32"/>
          <w:szCs w:val="32"/>
        </w:rPr>
        <w:t>附件</w:t>
      </w:r>
      <w:r>
        <w:rPr>
          <w:rFonts w:hint="eastAsia" w:ascii="Times New Roman" w:hAnsi="Times New Roman" w:eastAsia="黑体"/>
          <w:w w:val="10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黑体"/>
          <w:w w:val="100"/>
          <w:sz w:val="32"/>
          <w:szCs w:val="32"/>
        </w:rPr>
        <w:t xml:space="preserve">  </w:t>
      </w:r>
    </w:p>
    <w:p w14:paraId="68B66C9A">
      <w:pPr>
        <w:tabs>
          <w:tab w:val="left" w:pos="697"/>
        </w:tabs>
        <w:jc w:val="center"/>
        <w:rPr>
          <w:rFonts w:hint="eastAsia" w:ascii="Times New Roman" w:hAnsi="Times New Roman" w:eastAsia="方正小标宋简体" w:cs="方正小标宋简体"/>
          <w:bCs/>
          <w:w w:val="10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bCs/>
          <w:w w:val="100"/>
          <w:sz w:val="44"/>
          <w:szCs w:val="44"/>
        </w:rPr>
        <w:t>三门峡市</w:t>
      </w:r>
      <w:r>
        <w:rPr>
          <w:rFonts w:hint="eastAsia" w:ascii="Times New Roman" w:hAnsi="Times New Roman" w:eastAsia="方正小标宋简体" w:cs="方正小标宋简体"/>
          <w:bCs/>
          <w:w w:val="100"/>
          <w:sz w:val="44"/>
          <w:szCs w:val="44"/>
          <w:lang w:val="en-US" w:eastAsia="zh-CN"/>
        </w:rPr>
        <w:t>陕州区</w:t>
      </w:r>
      <w:r>
        <w:rPr>
          <w:rFonts w:hint="eastAsia" w:ascii="Times New Roman" w:hAnsi="Times New Roman" w:eastAsia="方正小标宋简体" w:cs="方正小标宋简体"/>
          <w:bCs/>
          <w:w w:val="100"/>
          <w:sz w:val="44"/>
          <w:szCs w:val="44"/>
        </w:rPr>
        <w:t>202</w:t>
      </w:r>
      <w:r>
        <w:rPr>
          <w:rFonts w:hint="eastAsia" w:ascii="Times New Roman" w:hAnsi="Times New Roman" w:eastAsia="方正小标宋简体" w:cs="方正小标宋简体"/>
          <w:bCs/>
          <w:w w:val="100"/>
          <w:sz w:val="44"/>
          <w:szCs w:val="44"/>
          <w:lang w:val="en-US" w:eastAsia="zh-CN"/>
        </w:rPr>
        <w:t>6</w:t>
      </w:r>
      <w:r>
        <w:rPr>
          <w:rFonts w:hint="eastAsia" w:ascii="Times New Roman" w:hAnsi="Times New Roman" w:eastAsia="方正小标宋简体" w:cs="方正小标宋简体"/>
          <w:bCs/>
          <w:w w:val="100"/>
          <w:sz w:val="44"/>
          <w:szCs w:val="44"/>
        </w:rPr>
        <w:t>年</w:t>
      </w:r>
      <w:r>
        <w:rPr>
          <w:rFonts w:hint="eastAsia" w:ascii="Times New Roman" w:hAnsi="Times New Roman" w:eastAsia="方正小标宋简体" w:cs="方正小标宋简体"/>
          <w:bCs/>
          <w:w w:val="100"/>
          <w:sz w:val="44"/>
          <w:szCs w:val="44"/>
          <w:lang w:val="en-US" w:eastAsia="zh-CN"/>
        </w:rPr>
        <w:t>肉品及肉制品</w:t>
      </w:r>
      <w:r>
        <w:rPr>
          <w:rFonts w:hint="eastAsia" w:ascii="Times New Roman" w:hAnsi="Times New Roman" w:eastAsia="方正小标宋简体" w:cs="方正小标宋简体"/>
          <w:bCs/>
          <w:w w:val="100"/>
          <w:sz w:val="44"/>
          <w:szCs w:val="44"/>
        </w:rPr>
        <w:t>食品安全</w:t>
      </w:r>
      <w:r>
        <w:rPr>
          <w:rFonts w:hint="eastAsia" w:ascii="Times New Roman" w:hAnsi="Times New Roman" w:eastAsia="方正小标宋简体" w:cs="方正小标宋简体"/>
          <w:bCs/>
          <w:w w:val="100"/>
          <w:sz w:val="44"/>
          <w:szCs w:val="44"/>
          <w:lang w:eastAsia="zh-CN"/>
        </w:rPr>
        <w:t>监督</w:t>
      </w:r>
      <w:r>
        <w:rPr>
          <w:rFonts w:hint="eastAsia" w:ascii="Times New Roman" w:hAnsi="Times New Roman" w:eastAsia="方正小标宋简体" w:cs="方正小标宋简体"/>
          <w:bCs/>
          <w:w w:val="100"/>
          <w:sz w:val="44"/>
          <w:szCs w:val="44"/>
        </w:rPr>
        <w:t>抽检计划</w:t>
      </w:r>
      <w:r>
        <w:rPr>
          <w:rFonts w:hint="eastAsia" w:ascii="Times New Roman" w:hAnsi="Times New Roman" w:eastAsia="方正小标宋简体" w:cs="方正小标宋简体"/>
          <w:bCs/>
          <w:w w:val="100"/>
          <w:sz w:val="44"/>
          <w:szCs w:val="44"/>
          <w:lang w:eastAsia="zh-CN"/>
        </w:rPr>
        <w:t>表</w:t>
      </w:r>
    </w:p>
    <w:p w14:paraId="2D1636F2">
      <w:pPr>
        <w:tabs>
          <w:tab w:val="left" w:pos="1943"/>
        </w:tabs>
        <w:bidi w:val="0"/>
        <w:jc w:val="left"/>
        <w:rPr>
          <w:rFonts w:hint="eastAsia" w:ascii="Times New Roman" w:hAnsi="Times New Roman" w:eastAsia="方正小标宋简体" w:cs="方正小标宋简体"/>
          <w:bCs/>
          <w:w w:val="100"/>
          <w:sz w:val="44"/>
          <w:szCs w:val="44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</w:t>
      </w:r>
      <w:r>
        <w:rPr>
          <w:rFonts w:hint="eastAsia" w:ascii="Times New Roman" w:hAnsi="Times New Roman" w:eastAsia="方正小标宋简体" w:cs="方正小标宋简体"/>
          <w:bCs/>
          <w:w w:val="100"/>
          <w:sz w:val="44"/>
          <w:szCs w:val="44"/>
          <w:lang w:val="en-US" w:eastAsia="zh-CN"/>
        </w:rPr>
        <w:t xml:space="preserve"> （第二批）</w:t>
      </w:r>
    </w:p>
    <w:tbl>
      <w:tblPr>
        <w:tblStyle w:val="6"/>
        <w:tblpPr w:leftFromText="180" w:rightFromText="180" w:vertAnchor="text" w:horzAnchor="page" w:tblpX="1694" w:tblpY="1129"/>
        <w:tblOverlap w:val="never"/>
        <w:tblW w:w="13465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726"/>
        <w:gridCol w:w="1418"/>
        <w:gridCol w:w="2268"/>
        <w:gridCol w:w="892"/>
        <w:gridCol w:w="6199"/>
        <w:gridCol w:w="640"/>
        <w:gridCol w:w="1322"/>
      </w:tblGrid>
      <w:tr w14:paraId="676014A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90" w:hRule="atLeast"/>
        </w:trPr>
        <w:tc>
          <w:tcPr>
            <w:tcW w:w="726" w:type="dxa"/>
            <w:vAlign w:val="center"/>
          </w:tcPr>
          <w:p w14:paraId="56F83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Times New Roman" w:hAnsi="Times New Roman" w:eastAsia="黑体" w:cs="宋体"/>
                <w:w w:val="100"/>
              </w:rPr>
            </w:pPr>
            <w:r>
              <w:rPr>
                <w:rFonts w:hint="eastAsia" w:ascii="Times New Roman" w:hAnsi="Times New Roman" w:eastAsia="黑体" w:cs="宋体"/>
                <w:w w:val="100"/>
              </w:rPr>
              <w:t>序号</w:t>
            </w:r>
          </w:p>
        </w:tc>
        <w:tc>
          <w:tcPr>
            <w:tcW w:w="1418" w:type="dxa"/>
            <w:vAlign w:val="center"/>
          </w:tcPr>
          <w:p w14:paraId="44497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Times New Roman" w:hAnsi="Times New Roman" w:eastAsia="黑体" w:cs="宋体"/>
                <w:w w:val="100"/>
              </w:rPr>
            </w:pPr>
            <w:r>
              <w:rPr>
                <w:rFonts w:hint="eastAsia" w:ascii="Times New Roman" w:hAnsi="Times New Roman" w:eastAsia="黑体" w:cs="宋体"/>
                <w:w w:val="100"/>
              </w:rPr>
              <w:t>食品大类</w:t>
            </w:r>
          </w:p>
        </w:tc>
        <w:tc>
          <w:tcPr>
            <w:tcW w:w="2268" w:type="dxa"/>
            <w:vAlign w:val="center"/>
          </w:tcPr>
          <w:p w14:paraId="22FA9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Times New Roman" w:hAnsi="Times New Roman" w:eastAsia="黑体" w:cs="宋体"/>
                <w:w w:val="100"/>
              </w:rPr>
            </w:pPr>
            <w:r>
              <w:rPr>
                <w:rFonts w:hint="eastAsia" w:ascii="Times New Roman" w:hAnsi="Times New Roman" w:eastAsia="黑体" w:cs="宋体"/>
                <w:w w:val="100"/>
              </w:rPr>
              <w:t>食品小类</w:t>
            </w:r>
          </w:p>
        </w:tc>
        <w:tc>
          <w:tcPr>
            <w:tcW w:w="892" w:type="dxa"/>
            <w:vAlign w:val="center"/>
          </w:tcPr>
          <w:p w14:paraId="774DC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Times New Roman" w:hAnsi="Times New Roman" w:eastAsia="黑体" w:cs="宋体"/>
                <w:w w:val="100"/>
              </w:rPr>
            </w:pPr>
            <w:r>
              <w:rPr>
                <w:rFonts w:hint="eastAsia" w:ascii="Times New Roman" w:hAnsi="Times New Roman" w:eastAsia="黑体" w:cs="宋体"/>
                <w:w w:val="100"/>
              </w:rPr>
              <w:t>风险等级</w:t>
            </w:r>
          </w:p>
        </w:tc>
        <w:tc>
          <w:tcPr>
            <w:tcW w:w="6199" w:type="dxa"/>
            <w:vAlign w:val="center"/>
          </w:tcPr>
          <w:p w14:paraId="66697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Times New Roman" w:hAnsi="Times New Roman" w:eastAsia="黑体" w:cs="宋体"/>
                <w:w w:val="100"/>
              </w:rPr>
            </w:pPr>
            <w:r>
              <w:rPr>
                <w:rFonts w:hint="eastAsia" w:ascii="Times New Roman" w:hAnsi="Times New Roman" w:eastAsia="黑体" w:cs="宋体"/>
                <w:w w:val="100"/>
              </w:rPr>
              <w:t>检验项目</w:t>
            </w:r>
          </w:p>
        </w:tc>
        <w:tc>
          <w:tcPr>
            <w:tcW w:w="640" w:type="dxa"/>
            <w:vAlign w:val="center"/>
          </w:tcPr>
          <w:p w14:paraId="791C6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Times New Roman" w:hAnsi="Times New Roman" w:eastAsia="黑体" w:cs="宋体"/>
                <w:w w:val="100"/>
              </w:rPr>
            </w:pPr>
            <w:r>
              <w:rPr>
                <w:rFonts w:hint="eastAsia" w:ascii="Times New Roman" w:hAnsi="Times New Roman" w:eastAsia="黑体" w:cs="宋体"/>
                <w:w w:val="100"/>
              </w:rPr>
              <w:t>抽检</w:t>
            </w:r>
          </w:p>
          <w:p w14:paraId="255B0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Times New Roman" w:hAnsi="Times New Roman" w:eastAsia="黑体" w:cs="宋体"/>
                <w:w w:val="100"/>
              </w:rPr>
            </w:pPr>
            <w:r>
              <w:rPr>
                <w:rFonts w:hint="eastAsia" w:ascii="Times New Roman" w:hAnsi="Times New Roman" w:eastAsia="黑体" w:cs="宋体"/>
                <w:w w:val="100"/>
              </w:rPr>
              <w:t>批次</w:t>
            </w:r>
          </w:p>
        </w:tc>
        <w:tc>
          <w:tcPr>
            <w:tcW w:w="1322" w:type="dxa"/>
            <w:vAlign w:val="center"/>
          </w:tcPr>
          <w:p w14:paraId="035E3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Times New Roman" w:hAnsi="Times New Roman" w:eastAsia="黑体" w:cs="宋体"/>
                <w:w w:val="100"/>
              </w:rPr>
            </w:pPr>
            <w:r>
              <w:rPr>
                <w:rFonts w:hint="eastAsia" w:ascii="Times New Roman" w:hAnsi="Times New Roman" w:eastAsia="黑体" w:cs="宋体"/>
                <w:w w:val="100"/>
              </w:rPr>
              <w:t>备注</w:t>
            </w:r>
          </w:p>
        </w:tc>
      </w:tr>
      <w:tr w14:paraId="50B7AB2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08" w:hRule="atLeast"/>
        </w:trPr>
        <w:tc>
          <w:tcPr>
            <w:tcW w:w="726" w:type="dxa"/>
            <w:vMerge w:val="restart"/>
            <w:vAlign w:val="center"/>
          </w:tcPr>
          <w:p w14:paraId="5C9CD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6E6E7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肉制品</w:t>
            </w:r>
          </w:p>
        </w:tc>
        <w:tc>
          <w:tcPr>
            <w:tcW w:w="2268" w:type="dxa"/>
            <w:vAlign w:val="center"/>
          </w:tcPr>
          <w:p w14:paraId="6BB2E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</w:rPr>
              <w:t>腌腊肉制品</w:t>
            </w:r>
          </w:p>
        </w:tc>
        <w:tc>
          <w:tcPr>
            <w:tcW w:w="892" w:type="dxa"/>
            <w:vAlign w:val="center"/>
          </w:tcPr>
          <w:p w14:paraId="4D260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6199" w:type="dxa"/>
            <w:vAlign w:val="center"/>
          </w:tcPr>
          <w:p w14:paraId="2CA9FC6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before="45" w:line="220" w:lineRule="exact"/>
              <w:ind w:left="3" w:right="-15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</w:rPr>
            </w:pPr>
            <w:r>
              <w:rPr>
                <w:rFonts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</w:rPr>
              <w:t>过氧化值（以脂肪计）、铅（以Pb计）、总砷（以As计）、亚硝酸盐（以亚硝酸钠计）、苯甲酸及其钠盐（以苯甲酸计）、山梨酸及其钾盐（以山梨酸计）、脱氢乙酸及其钠盐（以脱氢乙酸计）、合成着色剂（柠檬黄、日落黄、胭脂红、诱惑红、苋菜红、酸性红）、氯霉素、红2G</w:t>
            </w:r>
          </w:p>
        </w:tc>
        <w:tc>
          <w:tcPr>
            <w:tcW w:w="640" w:type="dxa"/>
            <w:vAlign w:val="center"/>
          </w:tcPr>
          <w:p w14:paraId="31BD7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22" w:type="dxa"/>
            <w:vAlign w:val="center"/>
          </w:tcPr>
          <w:p w14:paraId="73B6D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A2F41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08" w:hRule="atLeast"/>
        </w:trPr>
        <w:tc>
          <w:tcPr>
            <w:tcW w:w="726" w:type="dxa"/>
            <w:vMerge w:val="continue"/>
            <w:vAlign w:val="center"/>
          </w:tcPr>
          <w:p w14:paraId="40F8D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vMerge w:val="continue"/>
            <w:vAlign w:val="center"/>
          </w:tcPr>
          <w:p w14:paraId="7A2B5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 w14:paraId="5DA5D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熏煮香肠火腿制品</w:t>
            </w:r>
          </w:p>
        </w:tc>
        <w:tc>
          <w:tcPr>
            <w:tcW w:w="892" w:type="dxa"/>
            <w:vAlign w:val="center"/>
          </w:tcPr>
          <w:p w14:paraId="084EE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6199" w:type="dxa"/>
            <w:vAlign w:val="center"/>
          </w:tcPr>
          <w:p w14:paraId="2BF15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亚硝酸盐（以亚硝酸钠计） 、苯甲酸及其钠盐（以苯甲酸计）、山梨酸及其钾盐（以山梨酸计）、脱氢乙酸及其钠盐（ 以脱氢乙酸计）、防腐剂混合使用时各自用量占其最大使用量的比例之和、合成着色剂（胭脂红、诱惑红）、氯霉素、菌落总数、大肠菌群、沙门氏菌、金黄色葡萄球菌、单核细胞增生李斯特氏菌、致泻大肠埃希氏菌</w:t>
            </w:r>
          </w:p>
        </w:tc>
        <w:tc>
          <w:tcPr>
            <w:tcW w:w="640" w:type="dxa"/>
            <w:vAlign w:val="center"/>
          </w:tcPr>
          <w:p w14:paraId="38E28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322" w:type="dxa"/>
            <w:vAlign w:val="center"/>
          </w:tcPr>
          <w:p w14:paraId="5B38A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AFF2B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08" w:hRule="atLeast"/>
        </w:trPr>
        <w:tc>
          <w:tcPr>
            <w:tcW w:w="726" w:type="dxa"/>
            <w:vMerge w:val="continue"/>
            <w:vAlign w:val="center"/>
          </w:tcPr>
          <w:p w14:paraId="5FA1B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vMerge w:val="continue"/>
            <w:vAlign w:val="center"/>
          </w:tcPr>
          <w:p w14:paraId="68B72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 w14:paraId="25688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酱卤肉制品</w:t>
            </w:r>
          </w:p>
        </w:tc>
        <w:tc>
          <w:tcPr>
            <w:tcW w:w="892" w:type="dxa"/>
            <w:vAlign w:val="center"/>
          </w:tcPr>
          <w:p w14:paraId="539E8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6199" w:type="dxa"/>
            <w:vAlign w:val="center"/>
          </w:tcPr>
          <w:p w14:paraId="74F13EC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before="45" w:line="220" w:lineRule="exact"/>
              <w:ind w:left="3" w:right="-15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</w:rPr>
              <w:t>镉（以Cd计）、铬（以Cr计）、总碑（以As计）、N-二甲基亚硝胺、亚硝酸盐（以亚硝酸钠计）、苯甲酸及 其钠盐（以苯甲酸计）、山梨酸及其钾盐（以山梨酸计）、脱氢乙酸及其钠盐（以脱氢乙酸计）、纳他霉素、 防腐剂混合使用时各自用量占其最大使用量的比例之和、糖精钠（以糖精计）、合成着色剂（柠檬黄、日落 黄、胭脂红、诱惑红）、氯霉素、菌落总数、大肠菌群、沙门氏菌、金黄色葡萄球菌、单核细胞增生李斯特 氏菌、致泻大肠埃希氏菌</w:t>
            </w:r>
          </w:p>
        </w:tc>
        <w:tc>
          <w:tcPr>
            <w:tcW w:w="640" w:type="dxa"/>
            <w:vAlign w:val="center"/>
          </w:tcPr>
          <w:p w14:paraId="234D1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322" w:type="dxa"/>
            <w:vAlign w:val="center"/>
          </w:tcPr>
          <w:p w14:paraId="20E50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E2E0C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86" w:hRule="atLeast"/>
        </w:trPr>
        <w:tc>
          <w:tcPr>
            <w:tcW w:w="726" w:type="dxa"/>
            <w:vMerge w:val="restart"/>
            <w:vAlign w:val="center"/>
          </w:tcPr>
          <w:p w14:paraId="5946A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EA36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F98B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  <w:p w14:paraId="2CD73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C543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9332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6831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F8EF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DE28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E38C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E50E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3C73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101B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900E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E9BA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BD91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2547B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2860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BA12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3873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6A58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2899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0EC7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34E0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2FC1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C3C5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19C1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829B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3B2D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4057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B9ED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349C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食用农产品</w:t>
            </w:r>
          </w:p>
        </w:tc>
        <w:tc>
          <w:tcPr>
            <w:tcW w:w="2268" w:type="dxa"/>
            <w:vAlign w:val="center"/>
          </w:tcPr>
          <w:p w14:paraId="662D0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畜肉（猪肉）</w:t>
            </w:r>
          </w:p>
        </w:tc>
        <w:tc>
          <w:tcPr>
            <w:tcW w:w="892" w:type="dxa"/>
            <w:vAlign w:val="center"/>
          </w:tcPr>
          <w:p w14:paraId="4D289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6199" w:type="dxa"/>
            <w:vAlign w:val="center"/>
          </w:tcPr>
          <w:p w14:paraId="5D1A9A7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before="21" w:line="220" w:lineRule="exact"/>
              <w:ind w:left="3" w:right="-15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  <w:lang w:val="en-US" w:eastAsia="zh-CN" w:bidi="ar-SA"/>
              </w:rPr>
              <w:t>恩诺沙星、氟苯尼考、磺胺类(总量)、氯霉素、沙丁胺醇、多西环素、挥发性盐基氮、水分、呋喃唑酮代谢物、呋喃西林代谢物、克伦特罗、莱克多巴胺、喹乙醇、替米考星、甲氧苄啶、地塞米松、甲硝唑、氯丙嗪、林可霉素、土霉素/金霉素/四环素(组合含量 )</w:t>
            </w:r>
          </w:p>
        </w:tc>
        <w:tc>
          <w:tcPr>
            <w:tcW w:w="640" w:type="dxa"/>
            <w:vAlign w:val="center"/>
          </w:tcPr>
          <w:p w14:paraId="5D338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322" w:type="dxa"/>
            <w:vAlign w:val="center"/>
          </w:tcPr>
          <w:p w14:paraId="43F3E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13521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38" w:hRule="atLeast"/>
        </w:trPr>
        <w:tc>
          <w:tcPr>
            <w:tcW w:w="726" w:type="dxa"/>
            <w:vMerge w:val="continue"/>
            <w:vAlign w:val="center"/>
          </w:tcPr>
          <w:p w14:paraId="55C0B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vMerge w:val="continue"/>
            <w:vAlign w:val="center"/>
          </w:tcPr>
          <w:p w14:paraId="4A170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 w14:paraId="1EEBC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畜肉（牛肉）</w:t>
            </w:r>
          </w:p>
        </w:tc>
        <w:tc>
          <w:tcPr>
            <w:tcW w:w="892" w:type="dxa"/>
            <w:vAlign w:val="center"/>
          </w:tcPr>
          <w:p w14:paraId="6A2EA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6199" w:type="dxa"/>
            <w:vAlign w:val="center"/>
          </w:tcPr>
          <w:p w14:paraId="669926C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before="21" w:line="220" w:lineRule="exact"/>
              <w:ind w:left="3" w:right="-15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  <w:lang w:val="en-US" w:eastAsia="zh-CN" w:bidi="ar-SA"/>
              </w:rPr>
              <w:t>地塞米松、恩诺沙星、磺胺类(总量)、克伦特罗、氯霉素、氟苯尼考、挥发性盐基氮、水分、呋喃唑酮代谢物、呋喃西林代谢物、莱克多巴胺、沙丁胺醇、甲氧苄啶、氟尼辛、多西环素、林可霉素、 倍他米松、土霉素/金霉素/四环素(组合含量)</w:t>
            </w:r>
          </w:p>
        </w:tc>
        <w:tc>
          <w:tcPr>
            <w:tcW w:w="640" w:type="dxa"/>
            <w:vAlign w:val="center"/>
          </w:tcPr>
          <w:p w14:paraId="303C3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322" w:type="dxa"/>
            <w:vAlign w:val="center"/>
          </w:tcPr>
          <w:p w14:paraId="55B5B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62648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69" w:hRule="atLeast"/>
        </w:trPr>
        <w:tc>
          <w:tcPr>
            <w:tcW w:w="726" w:type="dxa"/>
            <w:vMerge w:val="continue"/>
            <w:vAlign w:val="center"/>
          </w:tcPr>
          <w:p w14:paraId="0E985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vMerge w:val="continue"/>
            <w:vAlign w:val="center"/>
          </w:tcPr>
          <w:p w14:paraId="5B7D8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 w14:paraId="774DC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畜肉（羊肉）</w:t>
            </w:r>
          </w:p>
        </w:tc>
        <w:tc>
          <w:tcPr>
            <w:tcW w:w="892" w:type="dxa"/>
            <w:vAlign w:val="center"/>
          </w:tcPr>
          <w:p w14:paraId="4374F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6199" w:type="dxa"/>
            <w:vAlign w:val="center"/>
          </w:tcPr>
          <w:p w14:paraId="7449221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before="21" w:line="220" w:lineRule="exact"/>
              <w:ind w:left="3" w:right="-15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  <w:lang w:val="en-US" w:eastAsia="zh-CN" w:bidi="ar-SA"/>
              </w:rPr>
              <w:t>恩诺沙星、磺胺类(总量)、克伦特罗、氯霉素、水分、呋喃唑酮代谢物、呋喃西林代谢物、莱克多巴胺、沙丁胺 醇、氟苯尼考、林可霉素、土霉素/金霉素/四环素(组合含量)</w:t>
            </w:r>
          </w:p>
        </w:tc>
        <w:tc>
          <w:tcPr>
            <w:tcW w:w="640" w:type="dxa"/>
            <w:vAlign w:val="center"/>
          </w:tcPr>
          <w:p w14:paraId="637E8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322" w:type="dxa"/>
            <w:vAlign w:val="center"/>
          </w:tcPr>
          <w:p w14:paraId="73A09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9CA7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69" w:hRule="atLeast"/>
        </w:trPr>
        <w:tc>
          <w:tcPr>
            <w:tcW w:w="726" w:type="dxa"/>
            <w:vMerge w:val="continue"/>
            <w:vAlign w:val="center"/>
          </w:tcPr>
          <w:p w14:paraId="55EC8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vMerge w:val="continue"/>
            <w:vAlign w:val="center"/>
          </w:tcPr>
          <w:p w14:paraId="0B154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 w14:paraId="11BA42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禽肉（鸡肉）</w:t>
            </w:r>
          </w:p>
        </w:tc>
        <w:tc>
          <w:tcPr>
            <w:tcW w:w="892" w:type="dxa"/>
            <w:vAlign w:val="center"/>
          </w:tcPr>
          <w:p w14:paraId="25317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6199" w:type="dxa"/>
            <w:vAlign w:val="center"/>
          </w:tcPr>
          <w:p w14:paraId="741C5BA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before="21" w:line="220" w:lineRule="exact"/>
              <w:ind w:left="3" w:leftChars="0" w:right="-15" w:rightChars="0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  <w:lang w:val="en-US" w:eastAsia="zh-CN" w:bidi="ar-SA"/>
              </w:rPr>
              <w:t>多西环素、恩诺沙星、磺胺类(总量)、甲氧苄啶、氯霉素、挥发性盐基氮、水分、呋喃唑酮代谢物、呋喃西林代谢物、呋喃 它酮代谢物、氧氟沙星、培氟沙星、诺氟沙星、沙拉沙星、替米 考星、氟苯尼考、甲硝唑、尼卡巴嗪、环丙氨嗪、土霉素/金霉素 /四环素(组合含量)</w:t>
            </w:r>
          </w:p>
        </w:tc>
        <w:tc>
          <w:tcPr>
            <w:tcW w:w="640" w:type="dxa"/>
            <w:vAlign w:val="center"/>
          </w:tcPr>
          <w:p w14:paraId="2AF43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322" w:type="dxa"/>
            <w:vAlign w:val="center"/>
          </w:tcPr>
          <w:p w14:paraId="799F6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64C4B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69" w:hRule="atLeast"/>
        </w:trPr>
        <w:tc>
          <w:tcPr>
            <w:tcW w:w="726" w:type="dxa"/>
            <w:vMerge w:val="continue"/>
            <w:vAlign w:val="center"/>
          </w:tcPr>
          <w:p w14:paraId="06144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vMerge w:val="continue"/>
            <w:vAlign w:val="center"/>
          </w:tcPr>
          <w:p w14:paraId="0A591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 w14:paraId="1FD64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畜副产品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（猪肝）</w:t>
            </w:r>
          </w:p>
        </w:tc>
        <w:tc>
          <w:tcPr>
            <w:tcW w:w="892" w:type="dxa"/>
            <w:vAlign w:val="center"/>
          </w:tcPr>
          <w:p w14:paraId="65952E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zh-TW" w:eastAsia="zh-CN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6199" w:type="dxa"/>
            <w:vAlign w:val="center"/>
          </w:tcPr>
          <w:p w14:paraId="436BED6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before="21" w:line="220" w:lineRule="exact"/>
              <w:ind w:left="3" w:leftChars="0" w:right="-15" w:rightChars="0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  <w:lang w:val="en-US" w:eastAsia="zh-CN" w:bidi="ar-SA"/>
              </w:rPr>
              <w:t>恩诺沙星、磺胺类(总量)、甲氧苄啶、镉(以Cd计)、呋喃唑酮代谢物、呋喃西林代谢物、氯霉素、克伦特罗、莱克多巴胺、沙丁胺醇、氯丙嗪、双氯芬酸</w:t>
            </w:r>
          </w:p>
        </w:tc>
        <w:tc>
          <w:tcPr>
            <w:tcW w:w="640" w:type="dxa"/>
            <w:vAlign w:val="center"/>
          </w:tcPr>
          <w:p w14:paraId="688C0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322" w:type="dxa"/>
            <w:vAlign w:val="center"/>
          </w:tcPr>
          <w:p w14:paraId="5FC92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A1669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69" w:hRule="atLeast"/>
        </w:trPr>
        <w:tc>
          <w:tcPr>
            <w:tcW w:w="726" w:type="dxa"/>
            <w:vMerge w:val="restart"/>
            <w:vAlign w:val="center"/>
          </w:tcPr>
          <w:p w14:paraId="3D833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14:paraId="61D5A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餐饮食品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A16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肉冻皮冻（自制）</w:t>
            </w:r>
          </w:p>
        </w:tc>
        <w:tc>
          <w:tcPr>
            <w:tcW w:w="892" w:type="dxa"/>
            <w:shd w:val="clear" w:color="auto" w:fill="FFFFFF"/>
            <w:vAlign w:val="center"/>
          </w:tcPr>
          <w:p w14:paraId="5AF5E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zh-TW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6199" w:type="dxa"/>
            <w:shd w:val="clear" w:color="auto" w:fill="auto"/>
            <w:vAlign w:val="center"/>
          </w:tcPr>
          <w:p w14:paraId="0E87567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before="21" w:line="220" w:lineRule="exact"/>
              <w:ind w:left="3" w:leftChars="0" w:right="-15" w:rightChars="0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  <w:lang w:val="zh-TW" w:eastAsia="zh-TW" w:bidi="ar-SA"/>
              </w:rPr>
              <w:t>铬（以Cr计）</w:t>
            </w:r>
          </w:p>
        </w:tc>
        <w:tc>
          <w:tcPr>
            <w:tcW w:w="640" w:type="dxa"/>
            <w:vAlign w:val="center"/>
          </w:tcPr>
          <w:p w14:paraId="17EBF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322" w:type="dxa"/>
            <w:vAlign w:val="center"/>
          </w:tcPr>
          <w:p w14:paraId="2160B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43EC5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69" w:hRule="atLeast"/>
        </w:trPr>
        <w:tc>
          <w:tcPr>
            <w:tcW w:w="726" w:type="dxa"/>
            <w:vMerge w:val="continue"/>
            <w:vAlign w:val="center"/>
          </w:tcPr>
          <w:p w14:paraId="38EAD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vMerge w:val="continue"/>
            <w:vAlign w:val="center"/>
          </w:tcPr>
          <w:p w14:paraId="513E3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034F71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before="13" w:line="220" w:lineRule="exact"/>
              <w:ind w:left="177" w:leftChars="0" w:right="0" w:right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spacing w:val="-2"/>
                <w:w w:val="100"/>
                <w:sz w:val="21"/>
                <w:szCs w:val="21"/>
              </w:rPr>
              <w:t>熏烧烤肉类</w:t>
            </w:r>
            <w:r>
              <w:rPr>
                <w:rFonts w:hint="eastAsia" w:ascii="Times New Roman" w:hAnsi="Times New Roman" w:eastAsia="仿宋_GB2312" w:cs="仿宋_GB2312"/>
                <w:w w:val="100"/>
                <w:sz w:val="21"/>
                <w:szCs w:val="21"/>
              </w:rPr>
              <w:t>（自制</w:t>
            </w:r>
            <w:r>
              <w:rPr>
                <w:rFonts w:hint="eastAsia" w:ascii="Times New Roman" w:hAnsi="Times New Roman" w:eastAsia="仿宋_GB2312" w:cs="仿宋_GB2312"/>
                <w:spacing w:val="-10"/>
                <w:w w:val="100"/>
                <w:sz w:val="21"/>
                <w:szCs w:val="21"/>
              </w:rPr>
              <w:t>）</w:t>
            </w:r>
          </w:p>
        </w:tc>
        <w:tc>
          <w:tcPr>
            <w:tcW w:w="892" w:type="dxa"/>
            <w:shd w:val="clear" w:color="auto" w:fill="FFFFFF"/>
            <w:vAlign w:val="center"/>
          </w:tcPr>
          <w:p w14:paraId="46F25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zh-TW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较高</w:t>
            </w:r>
          </w:p>
        </w:tc>
        <w:tc>
          <w:tcPr>
            <w:tcW w:w="6199" w:type="dxa"/>
            <w:shd w:val="clear" w:color="auto" w:fill="auto"/>
            <w:vAlign w:val="center"/>
          </w:tcPr>
          <w:p w14:paraId="3C289FE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before="21" w:line="220" w:lineRule="exact"/>
              <w:ind w:left="3" w:leftChars="0" w:right="-15" w:rightChars="0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  <w:lang w:val="en-US" w:eastAsia="zh-CN" w:bidi="ar-SA"/>
              </w:rPr>
              <w:t>N－二甲基亚硝胺、苯并[α] 芘、铅（以Pb计）</w:t>
            </w:r>
          </w:p>
        </w:tc>
        <w:tc>
          <w:tcPr>
            <w:tcW w:w="640" w:type="dxa"/>
            <w:vAlign w:val="center"/>
          </w:tcPr>
          <w:p w14:paraId="6D8DB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322" w:type="dxa"/>
            <w:vAlign w:val="center"/>
          </w:tcPr>
          <w:p w14:paraId="4B81A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5C6C2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69" w:hRule="atLeast"/>
        </w:trPr>
        <w:tc>
          <w:tcPr>
            <w:tcW w:w="726" w:type="dxa"/>
            <w:vAlign w:val="center"/>
          </w:tcPr>
          <w:p w14:paraId="3FCEC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8" w:type="dxa"/>
            <w:vAlign w:val="center"/>
          </w:tcPr>
          <w:p w14:paraId="3C228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B8496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before="13" w:line="220" w:lineRule="exact"/>
              <w:ind w:left="177" w:leftChars="0" w:right="0" w:rightChars="0"/>
              <w:jc w:val="center"/>
              <w:rPr>
                <w:rFonts w:hint="eastAsia" w:ascii="Times New Roman" w:hAnsi="Times New Roman" w:eastAsia="仿宋_GB2312" w:cs="仿宋_GB2312"/>
                <w:spacing w:val="-2"/>
                <w:w w:val="100"/>
                <w:sz w:val="21"/>
                <w:szCs w:val="21"/>
              </w:rPr>
            </w:pPr>
          </w:p>
        </w:tc>
        <w:tc>
          <w:tcPr>
            <w:tcW w:w="892" w:type="dxa"/>
            <w:shd w:val="clear" w:color="auto" w:fill="FFFFFF"/>
            <w:vAlign w:val="center"/>
          </w:tcPr>
          <w:p w14:paraId="79183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-20"/>
                <w:w w:val="100"/>
                <w:sz w:val="21"/>
                <w:szCs w:val="21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9" w:type="dxa"/>
            <w:shd w:val="clear" w:color="auto" w:fill="auto"/>
            <w:vAlign w:val="center"/>
          </w:tcPr>
          <w:p w14:paraId="542568B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before="21" w:line="220" w:lineRule="exact"/>
              <w:ind w:left="3" w:leftChars="0" w:right="-15" w:rightChars="0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w w:val="1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40" w:type="dxa"/>
            <w:vAlign w:val="center"/>
          </w:tcPr>
          <w:p w14:paraId="41AC4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322" w:type="dxa"/>
            <w:vAlign w:val="center"/>
          </w:tcPr>
          <w:p w14:paraId="2285C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0" w:lineRule="exact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w w:val="10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A7E95A2">
      <w:pPr>
        <w:spacing w:before="35" w:line="214" w:lineRule="auto"/>
        <w:ind w:left="5213" w:firstLine="880" w:firstLineChars="200"/>
        <w:rPr>
          <w:rFonts w:hint="eastAsia" w:ascii="方正小标宋简体" w:hAnsi="方正小标宋简体" w:eastAsia="方正小标宋简体" w:cs="方正小标宋简体"/>
          <w:b w:val="0"/>
          <w:bCs w:val="0"/>
          <w:w w:val="100"/>
          <w:sz w:val="44"/>
          <w:szCs w:val="44"/>
          <w:lang w:val="en-US" w:eastAsia="zh-CN"/>
        </w:rPr>
      </w:pPr>
    </w:p>
    <w:p w14:paraId="4FB5227C">
      <w:pPr>
        <w:spacing w:before="35" w:line="214" w:lineRule="auto"/>
        <w:ind w:left="5213" w:firstLine="880" w:firstLineChars="200"/>
        <w:rPr>
          <w:rFonts w:hint="eastAsia" w:ascii="方正小标宋简体" w:hAnsi="方正小标宋简体" w:eastAsia="方正小标宋简体" w:cs="方正小标宋简体"/>
          <w:b w:val="0"/>
          <w:bCs w:val="0"/>
          <w:w w:val="100"/>
          <w:sz w:val="44"/>
          <w:szCs w:val="44"/>
          <w:lang w:val="en-US" w:eastAsia="zh-CN"/>
        </w:rPr>
      </w:pPr>
    </w:p>
    <w:p w14:paraId="1EC29096">
      <w:pPr>
        <w:spacing w:before="35" w:line="214" w:lineRule="auto"/>
        <w:ind w:left="5213" w:firstLine="880" w:firstLineChars="200"/>
        <w:rPr>
          <w:rFonts w:hint="eastAsia" w:ascii="方正小标宋简体" w:hAnsi="方正小标宋简体" w:eastAsia="方正小标宋简体" w:cs="方正小标宋简体"/>
          <w:b w:val="0"/>
          <w:bCs w:val="0"/>
          <w:w w:val="100"/>
          <w:sz w:val="44"/>
          <w:szCs w:val="44"/>
          <w:lang w:val="en-US" w:eastAsia="zh-CN"/>
        </w:rPr>
      </w:pPr>
    </w:p>
    <w:p w14:paraId="3F0DDE7C">
      <w:pPr>
        <w:spacing w:before="35" w:line="214" w:lineRule="auto"/>
        <w:ind w:left="5213" w:firstLine="880" w:firstLineChars="200"/>
        <w:rPr>
          <w:rFonts w:hint="eastAsia" w:ascii="方正小标宋简体" w:hAnsi="方正小标宋简体" w:eastAsia="方正小标宋简体" w:cs="方正小标宋简体"/>
          <w:b w:val="0"/>
          <w:bCs w:val="0"/>
          <w:w w:val="100"/>
          <w:sz w:val="44"/>
          <w:szCs w:val="44"/>
          <w:lang w:val="en-US" w:eastAsia="zh-CN"/>
        </w:rPr>
      </w:pPr>
    </w:p>
    <w:p w14:paraId="25A53708">
      <w:pPr>
        <w:spacing w:before="35" w:line="214" w:lineRule="auto"/>
        <w:ind w:left="5213" w:firstLine="880" w:firstLineChars="200"/>
        <w:rPr>
          <w:rFonts w:hint="eastAsia" w:ascii="方正小标宋简体" w:hAnsi="方正小标宋简体" w:eastAsia="方正小标宋简体" w:cs="方正小标宋简体"/>
          <w:b w:val="0"/>
          <w:bCs w:val="0"/>
          <w:w w:val="100"/>
          <w:sz w:val="44"/>
          <w:szCs w:val="44"/>
          <w:lang w:val="en-US" w:eastAsia="zh-CN"/>
        </w:rPr>
      </w:pPr>
    </w:p>
    <w:p w14:paraId="788AFB44">
      <w:pPr>
        <w:spacing w:before="35" w:line="214" w:lineRule="auto"/>
        <w:ind w:left="5213" w:firstLine="880" w:firstLineChars="200"/>
        <w:rPr>
          <w:rFonts w:hint="eastAsia" w:ascii="方正小标宋简体" w:hAnsi="方正小标宋简体" w:eastAsia="方正小标宋简体" w:cs="方正小标宋简体"/>
          <w:b w:val="0"/>
          <w:bCs w:val="0"/>
          <w:w w:val="100"/>
          <w:sz w:val="44"/>
          <w:szCs w:val="44"/>
          <w:lang w:val="en-US" w:eastAsia="zh-CN"/>
        </w:rPr>
      </w:pPr>
    </w:p>
    <w:p w14:paraId="5A0A6DFE">
      <w:pPr>
        <w:spacing w:before="35" w:line="214" w:lineRule="auto"/>
        <w:ind w:left="5213" w:firstLine="880" w:firstLineChars="200"/>
        <w:rPr>
          <w:rFonts w:hint="eastAsia" w:ascii="方正小标宋简体" w:hAnsi="方正小标宋简体" w:eastAsia="方正小标宋简体" w:cs="方正小标宋简体"/>
          <w:b w:val="0"/>
          <w:bCs w:val="0"/>
          <w:w w:val="100"/>
          <w:sz w:val="44"/>
          <w:szCs w:val="44"/>
          <w:lang w:val="en-US" w:eastAsia="zh-CN"/>
        </w:rPr>
      </w:pPr>
    </w:p>
    <w:p w14:paraId="75397BE6">
      <w:pPr>
        <w:spacing w:before="18"/>
        <w:rPr>
          <w:rFonts w:hint="eastAsia" w:ascii="Times New Roman" w:hAnsi="Times New Roman" w:eastAsia="仿宋_GB2312" w:cs="仿宋_GB2312"/>
          <w:w w:val="100"/>
          <w:sz w:val="21"/>
          <w:szCs w:val="21"/>
        </w:rPr>
      </w:pPr>
    </w:p>
    <w:p w14:paraId="6ED01B34">
      <w:pPr>
        <w:pStyle w:val="2"/>
        <w:rPr>
          <w:rFonts w:ascii="Times New Roman" w:hAnsi="Times New Roman"/>
          <w:w w:val="100"/>
          <w:sz w:val="18"/>
        </w:rPr>
        <w:sectPr>
          <w:footerReference r:id="rId5" w:type="default"/>
          <w:pgSz w:w="16840" w:h="11910" w:orient="landscape"/>
          <w:pgMar w:top="1340" w:right="820" w:bottom="280" w:left="200" w:header="720" w:footer="720" w:gutter="0"/>
          <w:pgNumType w:fmt="decimal"/>
          <w:cols w:space="720" w:num="1"/>
        </w:sectPr>
      </w:pPr>
      <w:bookmarkStart w:id="0" w:name="_GoBack"/>
      <w:bookmarkEnd w:id="0"/>
    </w:p>
    <w:p w14:paraId="42593DC0">
      <w:pPr>
        <w:bidi w:val="0"/>
        <w:jc w:val="left"/>
        <w:rPr>
          <w:lang w:val="en-US" w:eastAsia="zh-CN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8B5D0">
    <w:pPr>
      <w:pStyle w:val="3"/>
      <w:spacing w:line="14" w:lineRule="auto"/>
    </w:pPr>
    <w:r>
      <w:rPr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0680E6A">
                          <w:pPr>
                            <w:pStyle w:val="5"/>
                            <w:ind w:left="440" w:leftChars="200" w:right="440" w:rightChars="20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R/HJZ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680E6A">
                    <w:pPr>
                      <w:pStyle w:val="5"/>
                      <w:ind w:left="440" w:leftChars="200" w:right="440" w:rightChars="20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3D01A7">
                          <w:pPr>
                            <w:pStyle w:val="5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mCSaMkBAACbAwAADgAAAGRycy9lMm9Eb2MueG1srVPNjtMwEL4j8Q6W&#10;79RpkVAVNV3tqlqEhABp4QFcx24s+U8et0lfAN6AExfuPFefg7GTdGG57IFLMp6ZfPN93zi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m4CWOG5x45fv3y4/fl1+fiXL&#10;19mgPkCNfQ8BO9Nw5wdsnvOAyax7UNHmNyoiWEes89VeOSQi8kfr1XpdYUlgbT4gPnv8PERIb6W3&#10;JAcNjbi/Yis/vYc0ts4teZrz99qYskPj/kogZs6wzH3kmKM07IdJ0N63Z9TT4+ob6vCmU2LeOXQW&#10;+aU5iHOwn4NjiPrQIbVl4QXh9piQROGWJ4yw02DcWVE33a98Kf48l67Hf2r7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BCYJJo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73D01A7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C0ADF">
    <w:pPr>
      <w:pStyle w:val="3"/>
      <w:spacing w:line="14" w:lineRule="auto"/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10F79B">
                          <w:pPr>
                            <w:pStyle w:val="5"/>
                            <w:ind w:left="440" w:leftChars="200" w:right="440" w:rightChars="20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hwBLQyAgAAYwQAAA4AAABkcnMvZTJvRG9jLnhtbK1UzY7TMBC+I/EO&#10;lu80aRd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peR3la62eIerCIC91b02FohnuPy8i6q5yKv+BD4Ie4x4u4oguEx0fTyXSaw8XhGw7Azx6f&#10;W+fDO2EUiUZBHbqXRGWHjQ996BASs2mzbqRMHZSatAW9vnq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HAEt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10F79B">
                    <w:pPr>
                      <w:pStyle w:val="5"/>
                      <w:ind w:left="440" w:leftChars="200" w:right="440" w:rightChars="20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01050A">
                          <w:pPr>
                            <w:pStyle w:val="5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Yue6k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F01050A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355949"/>
    <w:rsid w:val="027F1E85"/>
    <w:rsid w:val="1DB943F8"/>
    <w:rsid w:val="234D121E"/>
    <w:rsid w:val="24723822"/>
    <w:rsid w:val="2720587C"/>
    <w:rsid w:val="34355949"/>
    <w:rsid w:val="6B91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PMingLiU" w:hAnsi="PMingLiU" w:eastAsia="PMingLiU" w:cs="PMingLiU"/>
      <w:sz w:val="22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basedOn w:val="1"/>
    <w:qFormat/>
    <w:uiPriority w:val="1"/>
    <w:pPr>
      <w:spacing w:line="400" w:lineRule="exact"/>
    </w:pPr>
    <w:rPr>
      <w:sz w:val="24"/>
    </w:rPr>
  </w:style>
  <w:style w:type="paragraph" w:styleId="3">
    <w:name w:val="Body Text"/>
    <w:basedOn w:val="1"/>
    <w:next w:val="4"/>
    <w:qFormat/>
    <w:uiPriority w:val="1"/>
    <w:rPr>
      <w:rFonts w:ascii="PMingLiU" w:hAnsi="PMingLiU" w:eastAsia="PMingLiU" w:cs="PMingLiU"/>
      <w:sz w:val="32"/>
      <w:szCs w:val="32"/>
      <w:lang w:val="en-US" w:eastAsia="zh-CN" w:bidi="ar-SA"/>
    </w:rPr>
  </w:style>
  <w:style w:type="paragraph" w:customStyle="1" w:styleId="4">
    <w:name w:val="Body Text 21"/>
    <w:basedOn w:val="1"/>
    <w:qFormat/>
    <w:uiPriority w:val="0"/>
    <w:pPr>
      <w:spacing w:after="120" w:afterLines="0" w:line="480" w:lineRule="auto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8">
    <w:name w:val="Table Paragraph"/>
    <w:basedOn w:val="1"/>
    <w:qFormat/>
    <w:uiPriority w:val="1"/>
    <w:rPr>
      <w:rFonts w:ascii="PMingLiU" w:hAnsi="PMingLiU" w:eastAsia="PMingLiU" w:cs="PMingLiU"/>
      <w:lang w:val="en-US" w:eastAsia="zh-CN" w:bidi="ar-SA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1023</Words>
  <Characters>1037</Characters>
  <Lines>0</Lines>
  <Paragraphs>0</Paragraphs>
  <TotalTime>6</TotalTime>
  <ScaleCrop>false</ScaleCrop>
  <LinksUpToDate>false</LinksUpToDate>
  <CharactersWithSpaces>1107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2026-09-15T01:13:00Z</dcterms:created>
  <dc:creator>♛大鹤</dc:creator>
  <cp:lastModifiedBy>猎手</cp:lastModifiedBy>
  <dcterms:modified xsi:type="dcterms:W3CDTF">2026-10-21T00:29:29Z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B8F146A69D734B14A331FED3C53420EE_11</vt:lpwstr>
  </property>
  <property fmtid="{D5CDD505-2E9C-101B-9397-08002B2CF9AE}" pid="4" name="KSOTemplateDocerSaveRecord">
    <vt:lpwstr>eyJoZGlkIjoiNjJiODQwY2NmNzA1MDRlZmRlZDIzODg4MzhiNGJmZDkiLCJ1c2VySWQiOiI0MTE2NTg4ODIifQ==</vt:lpwstr>
  </property>
</Properties>
</file>