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1531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bookmarkStart w:id="0" w:name="_GoBack"/>
      <w:bookmarkEnd w:id="0"/>
      <w:r>
        <w:rPr>
          <w:rFonts w:hint="eastAsia" w:ascii="方正小标宋简体" w:hAnsi="方正小标宋简体" w:eastAsia="方正小标宋简体" w:cs="方正小标宋简体"/>
          <w:color w:val="000000"/>
          <w:kern w:val="0"/>
          <w:sz w:val="44"/>
          <w:szCs w:val="44"/>
          <w:lang w:val="en-US" w:eastAsia="zh-CN" w:bidi="ar"/>
        </w:rPr>
        <w:t>三门峡市陕州区交通运输局</w:t>
      </w:r>
    </w:p>
    <w:p w14:paraId="5D0D0EA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2025年法治建设工作报告</w:t>
      </w:r>
    </w:p>
    <w:p w14:paraId="5D75B2F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kern w:val="0"/>
          <w:sz w:val="32"/>
          <w:szCs w:val="32"/>
          <w:lang w:val="en-US" w:eastAsia="zh-CN" w:bidi="ar"/>
        </w:rPr>
      </w:pPr>
    </w:p>
    <w:p w14:paraId="04480B8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_GB2312" w:hAnsi="黑体" w:eastAsia="仿宋_GB2312" w:cstheme="minorBidi"/>
          <w:kern w:val="2"/>
          <w:sz w:val="32"/>
          <w:szCs w:val="32"/>
          <w:lang w:val="en-US" w:eastAsia="zh-CN" w:bidi="ar-SA"/>
        </w:rPr>
      </w:pPr>
      <w:r>
        <w:rPr>
          <w:rFonts w:hint="eastAsia" w:ascii="仿宋_GB2312" w:hAnsi="黑体" w:eastAsia="仿宋_GB2312" w:cstheme="minorBidi"/>
          <w:kern w:val="2"/>
          <w:sz w:val="32"/>
          <w:szCs w:val="32"/>
          <w:lang w:val="en-US" w:eastAsia="zh-CN" w:bidi="ar-SA"/>
        </w:rPr>
        <w:t>2025年，陕州区交通运输局坚持以习近平新时代中国特色社会主义思想为指导，深入学习贯彻党的二十大精神和习近平法治思想，以深化法治政府部门建设为主线，健全制度体系、优化行业营商环境、多元化解矛盾纠纷，强化法治宣传与培训，将法治要求贯穿交通建设、管理、服务全过程，着力推进行业治理体系和治理能力现代化，为交通强区建设及交通运输高质量发展提供坚实法治保障。现将本年度法治政府建设情况报告如下。</w:t>
      </w:r>
    </w:p>
    <w:p w14:paraId="6B9AEB7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default"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一、抓实法治引领压实第一责任人职责</w:t>
      </w:r>
    </w:p>
    <w:p w14:paraId="00BBFFB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_GB2312" w:hAnsi="黑体" w:eastAsia="仿宋_GB2312" w:cstheme="minorBidi"/>
          <w:kern w:val="2"/>
          <w:sz w:val="32"/>
          <w:szCs w:val="32"/>
          <w:lang w:val="en-US" w:eastAsia="zh-CN" w:bidi="ar-SA"/>
        </w:rPr>
      </w:pPr>
      <w:r>
        <w:rPr>
          <w:rFonts w:hint="eastAsia" w:ascii="仿宋_GB2312" w:hAnsi="黑体" w:eastAsia="仿宋_GB2312" w:cstheme="minorBidi"/>
          <w:kern w:val="2"/>
          <w:sz w:val="32"/>
          <w:szCs w:val="32"/>
          <w:lang w:val="en-US" w:eastAsia="zh-CN" w:bidi="ar-SA"/>
        </w:rPr>
        <w:t>始终把习近平法治思想作为法治交通建设的根本遵循，将其纳入党组理论学习中心组核心学习内容，组织系统研学，深刻领会丰富内涵、精准把握核心要义，做到学深悟透、融会贯通。扎实推动习近平法治思想进机关、进企业，通过专题宣讲、座谈交流等形式促其深入人心、落地生根，切实把习近平法治思想贯穿法治交通建设全过程、各方面，转化为行业治理的实际效能。党政主要负责人严格履行法治建设第一责任人职责，对法治交通建设重要工作亲自部署、重大问题亲自过问、重点环节亲自协调、重要任务亲自督办，针对重大建设项目等关键事项从严把关、督促落实；及时向党委政府报告法治建设重大问题，严格执行重大法治活动备案制度。严格落实党组议事规则和重大事项集体决策制度，带头执行领导干部述廉述职述法制度，将法治素养、依法履职情况纳入干部考核评价重要内容，引导干部不谋私利、不徇私情，让尊法学法守法用法成为自觉行动和必备素质。推进领导干部学法用法制度化、系统化、常态化，把法治建设成效纳入领导干部分类考核指标体系，将法治教育列为理论学习和培训规划必修课，明确应知应会法律目录，抓实党组中心组集体学法，持续提升领导班子和干部运用法治思维、法治方式干事创业的能力。严格落实国家工作人员宪法宣誓制度，常态化开展“尊崇宪法、学习宪法、遵守宪法、维护宪法、运用宪法”宣传教育，以宪法精神引领行业法治建设走深走实。</w:t>
      </w:r>
    </w:p>
    <w:p w14:paraId="165FB23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二、深化政务服务标准化建设</w:t>
      </w:r>
    </w:p>
    <w:p w14:paraId="7D4A9BD1">
      <w:pPr>
        <w:keepNext w:val="0"/>
        <w:keepLines w:val="0"/>
        <w:pageBreakBefore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以标准化、便利化为导向，持续优化政务服务流程，全面提升服务质效。</w:t>
      </w:r>
      <w:r>
        <w:rPr>
          <w:rFonts w:hint="eastAsia" w:ascii="仿宋_GB2312" w:hAnsi="仿宋_GB2312" w:eastAsia="仿宋_GB2312" w:cs="仿宋_GB2312"/>
          <w:b/>
          <w:bCs/>
          <w:color w:val="000000"/>
          <w:sz w:val="32"/>
          <w:szCs w:val="32"/>
          <w:lang w:val="en-US" w:eastAsia="zh-CN"/>
        </w:rPr>
        <w:t>一是</w:t>
      </w:r>
      <w:r>
        <w:rPr>
          <w:rFonts w:hint="eastAsia" w:ascii="仿宋_GB2312" w:hAnsi="仿宋_GB2312" w:eastAsia="仿宋_GB2312" w:cs="仿宋_GB2312"/>
          <w:color w:val="000000"/>
          <w:sz w:val="32"/>
          <w:szCs w:val="32"/>
          <w:lang w:val="en-US" w:eastAsia="zh-CN"/>
        </w:rPr>
        <w:t>推进政务服务标准化，及时、全面公开各类审批事项的办理内容、流程依据、申报材料及承诺时限，为每个政务服务事项量身定制清晰易懂的办理流程图，让群众办事“看得懂、少跑腿”。</w:t>
      </w:r>
      <w:r>
        <w:rPr>
          <w:rFonts w:hint="eastAsia" w:ascii="仿宋_GB2312" w:hAnsi="仿宋_GB2312" w:eastAsia="仿宋_GB2312" w:cs="仿宋_GB2312"/>
          <w:b/>
          <w:bCs/>
          <w:color w:val="000000"/>
          <w:sz w:val="32"/>
          <w:szCs w:val="32"/>
          <w:lang w:val="en-US" w:eastAsia="zh-CN"/>
        </w:rPr>
        <w:t>二是</w:t>
      </w:r>
      <w:r>
        <w:rPr>
          <w:rFonts w:hint="eastAsia" w:ascii="仿宋_GB2312" w:hAnsi="仿宋_GB2312" w:eastAsia="仿宋_GB2312" w:cs="仿宋_GB2312"/>
          <w:color w:val="000000"/>
          <w:sz w:val="32"/>
          <w:szCs w:val="32"/>
          <w:lang w:val="en-US" w:eastAsia="zh-CN"/>
        </w:rPr>
        <w:t>深化“一网通办”，充分运用“互联网+政务服务”“互联网+监管”系统，将全部行政许可服务事项纳入区政务服务中心集中办理，统一入驻河南省政务服务统一工作平台，并在政务服务网全程公示办理信息，实现线上线下服务同源同质。</w:t>
      </w:r>
      <w:r>
        <w:rPr>
          <w:rFonts w:hint="eastAsia" w:ascii="仿宋_GB2312" w:hAnsi="仿宋_GB2312" w:eastAsia="仿宋_GB2312" w:cs="仿宋_GB2312"/>
          <w:b/>
          <w:bCs/>
          <w:color w:val="000000"/>
          <w:sz w:val="32"/>
          <w:szCs w:val="32"/>
          <w:lang w:val="en-US" w:eastAsia="zh-CN"/>
        </w:rPr>
        <w:t>三是</w:t>
      </w:r>
      <w:r>
        <w:rPr>
          <w:rFonts w:hint="eastAsia" w:ascii="仿宋_GB2312" w:hAnsi="仿宋_GB2312" w:eastAsia="仿宋_GB2312" w:cs="仿宋_GB2312"/>
          <w:color w:val="000000"/>
          <w:sz w:val="32"/>
          <w:szCs w:val="32"/>
          <w:lang w:val="en-US" w:eastAsia="zh-CN"/>
        </w:rPr>
        <w:t>优化“一站式”服务模式，推行“一个窗口受理、一次性告知、一条龙服务”，全面落实首问负责、限时办结、容缺受理、信用承诺、延时服务、预约服务等便民举措，大幅压缩办事时间，方便群众就近办事，让企业和群众办事更便捷、更高效，持续提升群众满意度和获得感。</w:t>
      </w:r>
    </w:p>
    <w:p w14:paraId="266045A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三、依法有效化解社会矛盾纠纷</w:t>
      </w:r>
    </w:p>
    <w:p w14:paraId="54D68B12">
      <w:pPr>
        <w:keepNext w:val="0"/>
        <w:keepLines w:val="0"/>
        <w:pageBreakBefore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为扎实推进矛盾纠纷化解工作，有效破解影响社会和谐稳定的突出问题，筑牢行业安全稳定防线，我局高位部署、精准发力，全面抓实矛盾纠纷排查化解各项工作。</w:t>
      </w:r>
      <w:r>
        <w:rPr>
          <w:rFonts w:hint="eastAsia" w:ascii="仿宋_GB2312" w:hAnsi="仿宋_GB2312" w:eastAsia="仿宋_GB2312" w:cs="仿宋_GB2312"/>
          <w:b/>
          <w:bCs/>
          <w:color w:val="000000"/>
          <w:sz w:val="32"/>
          <w:szCs w:val="32"/>
          <w:lang w:val="en-US" w:eastAsia="zh-CN"/>
        </w:rPr>
        <w:t>一是</w:t>
      </w:r>
      <w:r>
        <w:rPr>
          <w:rFonts w:hint="eastAsia" w:ascii="仿宋_GB2312" w:hAnsi="仿宋_GB2312" w:eastAsia="仿宋_GB2312" w:cs="仿宋_GB2312"/>
          <w:color w:val="000000"/>
          <w:sz w:val="32"/>
          <w:szCs w:val="32"/>
        </w:rPr>
        <w:t>拓宽排查维度，所属各单位对道路工程建设、客货危运、公交车运营等重点领域，以及重点群体、重点案件、重点人员开展滚动式、全覆盖排查，做到无空白、无死角，确保隐患早发现、早介入。</w:t>
      </w:r>
      <w:r>
        <w:rPr>
          <w:rFonts w:hint="eastAsia" w:ascii="仿宋_GB2312" w:hAnsi="仿宋_GB2312" w:eastAsia="仿宋_GB2312" w:cs="仿宋_GB2312"/>
          <w:b/>
          <w:sz w:val="32"/>
          <w:szCs w:val="32"/>
          <w:lang w:val="en-US" w:eastAsia="zh-CN"/>
        </w:rPr>
        <w:t>二是</w:t>
      </w:r>
      <w:r>
        <w:rPr>
          <w:rFonts w:hint="eastAsia" w:ascii="仿宋_GB2312" w:hAnsi="仿宋_GB2312" w:eastAsia="仿宋_GB2312" w:cs="仿宋_GB2312"/>
          <w:color w:val="000000"/>
          <w:sz w:val="32"/>
          <w:szCs w:val="32"/>
          <w:lang w:val="en-US" w:eastAsia="zh-CN"/>
        </w:rPr>
        <w:t>矛盾纠纷排查化解高效推进。2025年办</w:t>
      </w:r>
      <w:r>
        <w:rPr>
          <w:rFonts w:hint="eastAsia" w:ascii="仿宋_GB2312" w:hAnsi="仿宋_GB2312" w:eastAsia="仿宋_GB2312" w:cs="仿宋_GB2312"/>
          <w:color w:val="000000"/>
          <w:sz w:val="32"/>
          <w:szCs w:val="32"/>
        </w:rPr>
        <w:t>理信访案件14起，其中国家局1起，国家局网信1起，市信访局2起，区交办3起，人民网市长信箱2起，区纪委信访室转件1起,中央巡视转3起，区委巡查交办1起。道路交通纠纷调解委员会调解1起。每起信访件由分管局长牵头,信访事项按期办结率100%,对信访部门评价满意度100%。</w:t>
      </w:r>
    </w:p>
    <w:p w14:paraId="7859D7B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四、强化法治宣传普及法治精神</w:t>
      </w:r>
    </w:p>
    <w:p w14:paraId="2608D04F">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一是坚持领导干部带头学法。</w:t>
      </w:r>
      <w:r>
        <w:rPr>
          <w:rFonts w:hint="eastAsia" w:ascii="仿宋_GB2312" w:hAnsi="仿宋_GB2312" w:eastAsia="仿宋_GB2312" w:cs="仿宋_GB2312"/>
          <w:color w:val="000000"/>
          <w:sz w:val="32"/>
          <w:szCs w:val="32"/>
          <w:lang w:val="en-US" w:eastAsia="zh-CN"/>
        </w:rPr>
        <w:t>制定</w:t>
      </w:r>
      <w:r>
        <w:rPr>
          <w:rFonts w:hint="eastAsia" w:ascii="仿宋_GB2312" w:hAnsi="仿宋_GB2312" w:eastAsia="仿宋_GB2312" w:cs="仿宋_GB2312"/>
          <w:color w:val="000000"/>
          <w:kern w:val="2"/>
          <w:sz w:val="32"/>
          <w:szCs w:val="32"/>
          <w:lang w:val="en-US" w:eastAsia="zh-CN" w:bidi="ar-SA"/>
        </w:rPr>
        <w:t>局党组</w:t>
      </w:r>
      <w:r>
        <w:rPr>
          <w:rFonts w:hint="eastAsia" w:ascii="仿宋_GB2312" w:hAnsi="仿宋_GB2312" w:eastAsia="仿宋_GB2312" w:cs="仿宋_GB2312"/>
          <w:color w:val="000000"/>
          <w:sz w:val="32"/>
          <w:szCs w:val="32"/>
          <w:lang w:val="en-US" w:eastAsia="zh-CN"/>
        </w:rPr>
        <w:t>中心组学法计划，局领导带头坚持学法，不断提升法治思维以及运用法律解决问题、履职尽责、服务群众、规范行为的能力和水平；今年组织学习习近平讲话精神、《中国共产党纪律处分条例》、《民法典》、《三门峡市落实落细安全生产“三管三必须”若干规定》、《三门峡市加强安全生产责任落实若干制度》等内容。</w:t>
      </w:r>
      <w:r>
        <w:rPr>
          <w:rFonts w:hint="eastAsia" w:ascii="Times New Roman" w:hAnsi="Times New Roman" w:eastAsia="仿宋_GB2312" w:cs="Times New Roman"/>
          <w:b/>
          <w:bCs/>
          <w:sz w:val="32"/>
          <w:szCs w:val="32"/>
          <w:lang w:val="en-US" w:eastAsia="zh-CN"/>
        </w:rPr>
        <w:t>二是营造普法浓厚氛围。</w:t>
      </w:r>
      <w:r>
        <w:rPr>
          <w:rFonts w:hint="eastAsia" w:ascii="Times New Roman" w:hAnsi="Times New Roman" w:eastAsia="仿宋_GB2312" w:cs="Times New Roman"/>
          <w:sz w:val="32"/>
          <w:szCs w:val="32"/>
          <w:lang w:val="en-US" w:eastAsia="zh-CN"/>
        </w:rPr>
        <w:t>创新运用公交站台、公共交通工具、客运站LED显示屏等宣传方式，大力开展</w:t>
      </w:r>
      <w:r>
        <w:rPr>
          <w:rFonts w:hint="eastAsia" w:ascii="Times New Roman" w:hAnsi="Times New Roman" w:eastAsia="仿宋_GB2312" w:cs="Times New Roman"/>
          <w:sz w:val="32"/>
          <w:szCs w:val="32"/>
        </w:rPr>
        <w:t>“美好生活·民法典相伴”主题宣传</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“国家安全教育日”宣传、“全国防灾减灾日”宣传、</w:t>
      </w:r>
      <w:r>
        <w:rPr>
          <w:rFonts w:hint="eastAsia" w:ascii="Times New Roman" w:hAnsi="Times New Roman" w:eastAsia="仿宋_GB2312" w:cs="Times New Roman"/>
          <w:sz w:val="32"/>
          <w:szCs w:val="32"/>
        </w:rPr>
        <w:t>“诚信，让陕州更出彩；信用，让生活更美好”主题宣传</w:t>
      </w:r>
      <w:r>
        <w:rPr>
          <w:rFonts w:hint="eastAsia" w:ascii="Times New Roman" w:hAnsi="Times New Roman" w:eastAsia="仿宋_GB2312" w:cs="Times New Roman"/>
          <w:sz w:val="32"/>
          <w:szCs w:val="32"/>
          <w:lang w:eastAsia="zh-CN"/>
        </w:rPr>
        <w:t>、“安全生产月”</w:t>
      </w:r>
      <w:r>
        <w:rPr>
          <w:rFonts w:hint="eastAsia" w:ascii="Times New Roman" w:hAnsi="Times New Roman" w:eastAsia="仿宋_GB2312" w:cs="Times New Roman"/>
          <w:sz w:val="32"/>
          <w:szCs w:val="32"/>
          <w:lang w:val="en-US" w:eastAsia="zh-CN"/>
        </w:rPr>
        <w:t>宣传、“国际减灾日”宣、“</w:t>
      </w:r>
      <w:r>
        <w:rPr>
          <w:rFonts w:hint="default" w:ascii="Times New Roman" w:hAnsi="Times New Roman" w:eastAsia="仿宋_GB2312" w:cs="Times New Roman"/>
          <w:sz w:val="32"/>
          <w:szCs w:val="32"/>
        </w:rPr>
        <w:t>消防宣传月</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宣传、“12.4宪法宣传日”等主题宣传活动，全年累计接受群众咨询900余人次、发放宣传资料3000余份。</w:t>
      </w:r>
    </w:p>
    <w:p w14:paraId="201139B7">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五、持续推进政务公开</w:t>
      </w:r>
    </w:p>
    <w:p w14:paraId="22EA4798">
      <w:pPr>
        <w:pStyle w:val="14"/>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持续推进政务公开提质增效，以公开促规范、以公开优服务，全面提升政务公开标准化、规范化水平。</w:t>
      </w:r>
      <w:r>
        <w:rPr>
          <w:rFonts w:hint="eastAsia" w:ascii="Times New Roman" w:hAnsi="Times New Roman" w:eastAsia="仿宋_GB2312" w:cs="Times New Roman"/>
          <w:b/>
          <w:bCs/>
          <w:kern w:val="2"/>
          <w:sz w:val="32"/>
          <w:szCs w:val="32"/>
          <w:lang w:val="en-US" w:eastAsia="zh-CN" w:bidi="ar-SA"/>
        </w:rPr>
        <w:t>一是</w:t>
      </w:r>
      <w:r>
        <w:rPr>
          <w:rFonts w:hint="eastAsia" w:ascii="Times New Roman" w:hAnsi="Times New Roman" w:eastAsia="仿宋_GB2312" w:cs="Times New Roman"/>
          <w:kern w:val="2"/>
          <w:sz w:val="32"/>
          <w:szCs w:val="32"/>
          <w:lang w:val="en-US" w:eastAsia="zh-CN" w:bidi="ar-SA"/>
        </w:rPr>
        <w:t>筑牢公开平台基础，陕州区政府门户网站交通运输局子页面作为核心载体，集中发布行业政务信息，统一设置互动交流与在线办事入口，实现服务“一网通达”；在政务服务大厅交通窗口设立政务公开专区，提供信息查询、公开申请、办事咨询等“一站式”服务，打通服务群众“最后一公里”。</w:t>
      </w:r>
      <w:r>
        <w:rPr>
          <w:rFonts w:hint="eastAsia" w:ascii="Times New Roman" w:hAnsi="Times New Roman" w:eastAsia="仿宋_GB2312" w:cs="Times New Roman"/>
          <w:b/>
          <w:bCs/>
          <w:kern w:val="2"/>
          <w:sz w:val="32"/>
          <w:szCs w:val="32"/>
          <w:lang w:val="en-US" w:eastAsia="zh-CN" w:bidi="ar-SA"/>
        </w:rPr>
        <w:t>二是</w:t>
      </w:r>
      <w:r>
        <w:rPr>
          <w:rFonts w:hint="eastAsia" w:ascii="Times New Roman" w:hAnsi="Times New Roman" w:eastAsia="仿宋_GB2312" w:cs="Times New Roman"/>
          <w:kern w:val="2"/>
          <w:sz w:val="32"/>
          <w:szCs w:val="32"/>
          <w:lang w:val="en-US" w:eastAsia="zh-CN" w:bidi="ar-SA"/>
        </w:rPr>
        <w:t>规范办事服务公开，线上线下同步精准公开政务服务事项、办事指南、流程时限等关键信息，推行一次告知、信息主动推送机制，让群众清晰知晓事前准备、实时掌握事中进展、及时获知事后结果。</w:t>
      </w:r>
      <w:r>
        <w:rPr>
          <w:rFonts w:hint="eastAsia" w:ascii="Times New Roman" w:hAnsi="Times New Roman" w:eastAsia="仿宋_GB2312" w:cs="Times New Roman"/>
          <w:b/>
          <w:bCs/>
          <w:kern w:val="2"/>
          <w:sz w:val="32"/>
          <w:szCs w:val="32"/>
          <w:lang w:val="en-US" w:eastAsia="zh-CN" w:bidi="ar-SA"/>
        </w:rPr>
        <w:t>三是</w:t>
      </w:r>
      <w:r>
        <w:rPr>
          <w:rFonts w:hint="eastAsia" w:ascii="Times New Roman" w:hAnsi="Times New Roman" w:eastAsia="仿宋_GB2312" w:cs="Times New Roman"/>
          <w:kern w:val="2"/>
          <w:sz w:val="32"/>
          <w:szCs w:val="32"/>
          <w:lang w:val="en-US" w:eastAsia="zh-CN" w:bidi="ar-SA"/>
        </w:rPr>
        <w:t>强化信用体系支撑，在客货运、维修企业及交通工程等领域全面推行证明事项告知、投资项目信用、招标投标、行政审批等承诺制，引导市场主体强化信用自律，推动行业信用承诺规范化建设，以信用公开助力营商环境持续优化。</w:t>
      </w:r>
    </w:p>
    <w:p w14:paraId="5D3EDF01">
      <w:pPr>
        <w:pStyle w:val="14"/>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leftChars="200" w:firstLine="320" w:firstLineChars="100"/>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六、健全落实依法行政制度</w:t>
      </w:r>
    </w:p>
    <w:p w14:paraId="436CDD99">
      <w:pPr>
        <w:pStyle w:val="14"/>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严格加强行政规范性文件全流程监督管理，坚持“能不制定则不制定”原则，对法律法规规章、上级文件已有明确规定或现行文件仍适用的，坚决不再重复制定。严格落实合法性审查与公平竞争审核制度，全面执行规范性文件“三统一”管理要求，确保文件制定合法合规、规范有序。强化重大行政决策程序刚性约束，加大合法性审查与公平竞争审查力度，坚持重大决策必经法制机构审查、专家论证、集体讨论决定，筑牢依法科学民主决策防线。健全重大决策后评估机制，对决策执行情况、实施效果开展动态跟踪评估，及时优化调整，提升决策质量与执行效能。</w:t>
      </w:r>
    </w:p>
    <w:p w14:paraId="3C65D2F8">
      <w:pPr>
        <w:pStyle w:val="14"/>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leftChars="200" w:firstLine="320" w:firstLineChars="100"/>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七、存在的问题与不足 </w:t>
      </w:r>
    </w:p>
    <w:p w14:paraId="4D8618FE">
      <w:pPr>
        <w:pStyle w:val="14"/>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2025年，我局法治政府建设工作虽然取得了一定成效，但与上级的要求和群众的需求仍有差距。</w:t>
      </w:r>
      <w:r>
        <w:rPr>
          <w:rFonts w:hint="eastAsia"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sz w:val="32"/>
          <w:szCs w:val="32"/>
          <w:lang w:val="en-US" w:eastAsia="zh-CN"/>
        </w:rPr>
        <w:t>推进法治政府建设高质量发展的意识能力有待进一步提高，自觉运用法治思维和法治方式深化改革、推动发展、化解矛盾、依法协调和处理各种问题的意识能力仍有提升空间。</w:t>
      </w:r>
      <w:r>
        <w:rPr>
          <w:rFonts w:hint="eastAsia"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sz w:val="32"/>
          <w:szCs w:val="32"/>
          <w:lang w:val="en-US" w:eastAsia="zh-CN"/>
        </w:rPr>
        <w:t xml:space="preserve">普法宣传质效有待提升。普法宣传方式仍较为传统，对新媒体手段的运用不够充分；普法内容偏重交通运输相关法律法规，对法治理念和公民权益保护的宣传较少，部分重点普法对象的法治意识提升不明显。 </w:t>
      </w:r>
    </w:p>
    <w:p w14:paraId="341A4B17">
      <w:pPr>
        <w:pStyle w:val="14"/>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八、下一步工作计划 </w:t>
      </w:r>
    </w:p>
    <w:p w14:paraId="4042C63D">
      <w:pPr>
        <w:pStyle w:val="14"/>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（一）深入学习贯彻习近平法治思想。</w:t>
      </w:r>
      <w:r>
        <w:rPr>
          <w:rFonts w:hint="eastAsia" w:ascii="Times New Roman" w:hAnsi="Times New Roman" w:eastAsia="仿宋_GB2312" w:cs="Times New Roman"/>
          <w:sz w:val="32"/>
          <w:szCs w:val="32"/>
          <w:lang w:val="en-US" w:eastAsia="zh-CN"/>
        </w:rPr>
        <w:t>坚持党建引领，不断加强党对法治政府部门建设的领导，深入贯彻落实法治政府建设新要求，推动党的二十大精神和习近平法治思想学习宣传贯彻走深走实，为实现“十五五”法治交通发展规划打开局面，全面提升法治意识、营造法治环境。</w:t>
      </w:r>
    </w:p>
    <w:p w14:paraId="15C0BF58">
      <w:pPr>
        <w:pStyle w:val="14"/>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（二）探索创新方式强化普法宣传教育。</w:t>
      </w:r>
      <w:r>
        <w:rPr>
          <w:rFonts w:hint="eastAsia" w:ascii="Times New Roman" w:hAnsi="Times New Roman" w:eastAsia="仿宋_GB2312" w:cs="Times New Roman"/>
          <w:sz w:val="32"/>
          <w:szCs w:val="32"/>
          <w:lang w:val="en-US" w:eastAsia="zh-CN"/>
        </w:rPr>
        <w:t>结合交通运输行业特点，积极探索创新宣传方式，有效落实“谁管理谁普法”的普法责任制，充分运用微信公众号、短视频、科技执法平台等新媒体、新途径，强化对广大交通运输参与者、从业人员开展精准化、个性化的普法宣传教育，不断丰富普法宣传内容，推动交通运输法律法规政策宣传与法治理念、公民权益保护法律知识宣传的深度融合，有效提升全民法治素养。</w:t>
      </w:r>
    </w:p>
    <w:p w14:paraId="747AB574">
      <w:pPr>
        <w:pStyle w:val="14"/>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2026年，我局将以更高的标准、更严的要求、更实的举措，持续推进法治交通建设，不断补齐短板弱项，提升法治治理能力，为交通运输行业高质量发展提供更加坚强的法治保障。</w:t>
      </w:r>
    </w:p>
    <w:p w14:paraId="4586EA65">
      <w:pPr>
        <w:pStyle w:val="14"/>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eastAsia="仿宋_GB2312" w:cs="Times New Roman"/>
          <w:sz w:val="32"/>
          <w:szCs w:val="32"/>
          <w:lang w:eastAsia="zh-CN"/>
        </w:rPr>
      </w:pPr>
    </w:p>
    <w:p w14:paraId="12B959E5">
      <w:pPr>
        <w:pStyle w:val="14"/>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eastAsia="仿宋_GB2312" w:cs="Times New Roman"/>
          <w:sz w:val="32"/>
          <w:szCs w:val="32"/>
          <w:lang w:eastAsia="zh-CN"/>
        </w:rPr>
      </w:pPr>
    </w:p>
    <w:p w14:paraId="3A97AEDB">
      <w:pPr>
        <w:pStyle w:val="14"/>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eastAsia="仿宋_GB2312" w:cs="Times New Roman"/>
          <w:sz w:val="32"/>
          <w:szCs w:val="32"/>
          <w:lang w:eastAsia="zh-CN"/>
        </w:rPr>
      </w:pPr>
    </w:p>
    <w:p w14:paraId="3C77A4D4">
      <w:pPr>
        <w:pStyle w:val="14"/>
        <w:keepNext w:val="0"/>
        <w:keepLines w:val="0"/>
        <w:pageBreakBefore w:val="0"/>
        <w:kinsoku/>
        <w:wordWrap/>
        <w:overflowPunct/>
        <w:topLinePunct w:val="0"/>
        <w:autoSpaceDE/>
        <w:autoSpaceDN/>
        <w:bidi w:val="0"/>
        <w:adjustRightInd/>
        <w:snapToGrid/>
        <w:spacing w:beforeAutospacing="0" w:afterAutospacing="0" w:line="240" w:lineRule="auto"/>
        <w:ind w:firstLine="4800" w:firstLineChars="1500"/>
        <w:jc w:val="both"/>
        <w:textAlignment w:val="auto"/>
        <w:rPr>
          <w:b/>
          <w:bCs/>
        </w:rPr>
      </w:pPr>
      <w:r>
        <w:rPr>
          <w:rFonts w:hint="eastAsia" w:eastAsia="仿宋_GB2312" w:cs="Times New Roman"/>
          <w:sz w:val="32"/>
          <w:szCs w:val="32"/>
          <w:lang w:val="en-US" w:eastAsia="zh-CN"/>
        </w:rPr>
        <w:t>2026年1月28日</w:t>
      </w: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jFjYTZkNGUxN2Q3NzFkNTFiYjUzZGVkOTY0NDYifQ=="/>
  </w:docVars>
  <w:rsids>
    <w:rsidRoot w:val="0A3E0029"/>
    <w:rsid w:val="01853E11"/>
    <w:rsid w:val="02B842C2"/>
    <w:rsid w:val="041F7A18"/>
    <w:rsid w:val="04537A0D"/>
    <w:rsid w:val="0A3E0029"/>
    <w:rsid w:val="130D5F06"/>
    <w:rsid w:val="13BC6D21"/>
    <w:rsid w:val="17F439A7"/>
    <w:rsid w:val="1D441B15"/>
    <w:rsid w:val="1D7B0C2E"/>
    <w:rsid w:val="219F3832"/>
    <w:rsid w:val="24A5600F"/>
    <w:rsid w:val="2FE87E8A"/>
    <w:rsid w:val="365716F5"/>
    <w:rsid w:val="3A573895"/>
    <w:rsid w:val="3A8C7AC5"/>
    <w:rsid w:val="3D1947FF"/>
    <w:rsid w:val="3F33066F"/>
    <w:rsid w:val="43E64F93"/>
    <w:rsid w:val="455D749A"/>
    <w:rsid w:val="480D4F0F"/>
    <w:rsid w:val="4DC1191D"/>
    <w:rsid w:val="5CEC1DF1"/>
    <w:rsid w:val="5E18146E"/>
    <w:rsid w:val="625B6E07"/>
    <w:rsid w:val="625C1429"/>
    <w:rsid w:val="635B76A3"/>
    <w:rsid w:val="6DD71667"/>
    <w:rsid w:val="6F871F4B"/>
    <w:rsid w:val="6FEA2AB3"/>
    <w:rsid w:val="73A750C7"/>
    <w:rsid w:val="7DE92515"/>
    <w:rsid w:val="7FC92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link w:val="15"/>
    <w:semiHidden/>
    <w:unhideWhenUsed/>
    <w:qFormat/>
    <w:uiPriority w:val="0"/>
    <w:pPr>
      <w:keepNext w:val="0"/>
      <w:keepLines w:val="0"/>
      <w:spacing w:beforeLines="0" w:beforeAutospacing="0" w:afterLines="0" w:afterAutospacing="0" w:line="600" w:lineRule="exact"/>
      <w:ind w:firstLine="640" w:firstLineChars="200"/>
      <w:outlineLvl w:val="4"/>
    </w:pPr>
    <w:rPr>
      <w:rFonts w:eastAsia="仿宋_GB2312" w:asciiTheme="minorAscii" w:hAnsiTheme="minorAscii"/>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next w:val="1"/>
    <w:autoRedefine/>
    <w:qFormat/>
    <w:uiPriority w:val="0"/>
    <w:pPr>
      <w:spacing w:line="360" w:lineRule="auto"/>
      <w:ind w:firstLine="567"/>
    </w:pPr>
    <w:rPr>
      <w:rFonts w:hAnsi="宋体"/>
      <w:kern w:val="0"/>
      <w:sz w:val="28"/>
      <w:szCs w:val="20"/>
    </w:rPr>
  </w:style>
  <w:style w:type="paragraph" w:styleId="4">
    <w:name w:val="Body Text"/>
    <w:basedOn w:val="1"/>
    <w:next w:val="5"/>
    <w:autoRedefine/>
    <w:qFormat/>
    <w:uiPriority w:val="0"/>
    <w:pPr>
      <w:widowControl w:val="0"/>
      <w:spacing w:line="600" w:lineRule="exact"/>
      <w:jc w:val="both"/>
    </w:pPr>
    <w:rPr>
      <w:rFonts w:ascii="仿宋_GB2312" w:hAnsi="Calibri" w:eastAsia="仿宋_GB2312" w:cs="Times New Roman"/>
      <w:kern w:val="2"/>
      <w:sz w:val="30"/>
      <w:szCs w:val="24"/>
      <w:lang w:val="en-US" w:eastAsia="zh-CN" w:bidi="ar-SA"/>
    </w:rPr>
  </w:style>
  <w:style w:type="paragraph" w:styleId="5">
    <w:name w:val="Body Text 2"/>
    <w:basedOn w:val="1"/>
    <w:qFormat/>
    <w:uiPriority w:val="0"/>
    <w:pPr>
      <w:spacing w:after="120" w:line="480" w:lineRule="auto"/>
    </w:pPr>
  </w:style>
  <w:style w:type="paragraph" w:styleId="6">
    <w:name w:val="Body Text Indent"/>
    <w:basedOn w:val="1"/>
    <w:next w:val="3"/>
    <w:autoRedefine/>
    <w:qFormat/>
    <w:uiPriority w:val="0"/>
    <w:pPr>
      <w:widowControl w:val="0"/>
      <w:spacing w:line="360" w:lineRule="auto"/>
      <w:ind w:firstLine="567"/>
      <w:jc w:val="both"/>
    </w:pPr>
    <w:rPr>
      <w:rFonts w:ascii="宋体" w:hAnsi="Calibri" w:eastAsia="宋体" w:cs="黑体"/>
      <w:kern w:val="2"/>
      <w:sz w:val="28"/>
      <w:szCs w:val="22"/>
      <w:lang w:val="en-US" w:eastAsia="zh-CN" w:bidi="ar-SA"/>
    </w:rPr>
  </w:style>
  <w:style w:type="paragraph" w:styleId="7">
    <w:name w:val="footer"/>
    <w:basedOn w:val="1"/>
    <w:autoRedefine/>
    <w:qFormat/>
    <w:uiPriority w:val="0"/>
    <w:pPr>
      <w:tabs>
        <w:tab w:val="center" w:pos="4153"/>
        <w:tab w:val="right" w:pos="8306"/>
      </w:tabs>
      <w:snapToGrid w:val="0"/>
      <w:jc w:val="left"/>
    </w:pPr>
    <w:rPr>
      <w:rFonts w:eastAsia="仿宋_GB2312"/>
      <w:sz w:val="2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4"/>
    <w:next w:val="10"/>
    <w:autoRedefine/>
    <w:qFormat/>
    <w:uiPriority w:val="0"/>
    <w:pPr>
      <w:widowControl w:val="0"/>
      <w:spacing w:after="120" w:afterLines="0" w:afterAutospacing="0"/>
      <w:ind w:firstLine="420" w:firstLineChars="100"/>
      <w:jc w:val="both"/>
    </w:pPr>
    <w:rPr>
      <w:rFonts w:ascii="Times New Roman" w:hAnsi="Times New Roman" w:eastAsia="宋体" w:cs="Times New Roman"/>
      <w:kern w:val="2"/>
      <w:sz w:val="21"/>
      <w:szCs w:val="24"/>
      <w:lang w:val="en-US" w:eastAsia="zh-CN" w:bidi="ar-SA"/>
    </w:rPr>
  </w:style>
  <w:style w:type="paragraph" w:styleId="10">
    <w:name w:val="Body Text First Indent 2"/>
    <w:basedOn w:val="6"/>
    <w:next w:val="9"/>
    <w:autoRedefine/>
    <w:qFormat/>
    <w:uiPriority w:val="0"/>
    <w:pPr>
      <w:widowControl w:val="0"/>
      <w:spacing w:after="0" w:line="600" w:lineRule="exact"/>
      <w:ind w:left="0" w:leftChars="0" w:firstLine="420" w:firstLineChars="200"/>
      <w:jc w:val="both"/>
    </w:pPr>
    <w:rPr>
      <w:rFonts w:ascii="Times New Roman" w:hAnsi="Times New Roman" w:eastAsia="仿宋_GB2312" w:cs="Times New Roman"/>
      <w:kern w:val="2"/>
      <w:sz w:val="32"/>
      <w:szCs w:val="32"/>
      <w:lang w:val="en-US" w:eastAsia="zh-CN" w:bidi="ar-SA"/>
    </w:rPr>
  </w:style>
  <w:style w:type="character" w:styleId="13">
    <w:name w:val="Strong"/>
    <w:basedOn w:val="12"/>
    <w:autoRedefine/>
    <w:qFormat/>
    <w:uiPriority w:val="22"/>
    <w:rPr>
      <w:b/>
      <w:bCs/>
    </w:rPr>
  </w:style>
  <w:style w:type="paragraph" w:customStyle="1" w:styleId="14">
    <w:name w:val="Body Text First Indent 21"/>
    <w:autoRedefine/>
    <w:qFormat/>
    <w:uiPriority w:val="0"/>
    <w:pPr>
      <w:widowControl w:val="0"/>
      <w:ind w:left="420" w:leftChars="200" w:firstLine="420" w:firstLineChars="200"/>
      <w:jc w:val="both"/>
    </w:pPr>
    <w:rPr>
      <w:rFonts w:ascii="Times New Roman" w:hAnsi="Times New Roman" w:eastAsia="宋体" w:cs="Times New Roman"/>
      <w:kern w:val="2"/>
      <w:sz w:val="21"/>
      <w:szCs w:val="21"/>
      <w:lang w:val="en-US" w:eastAsia="zh-CN" w:bidi="ar-SA"/>
    </w:rPr>
  </w:style>
  <w:style w:type="character" w:customStyle="1" w:styleId="15">
    <w:name w:val="标题 5 Char"/>
    <w:link w:val="2"/>
    <w:autoRedefine/>
    <w:qFormat/>
    <w:uiPriority w:val="0"/>
    <w:rPr>
      <w:rFonts w:eastAsia="仿宋_GB2312" w:asciiTheme="minorAscii" w:hAnsiTheme="minorAscii"/>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3099</Words>
  <Characters>3136</Characters>
  <Lines>0</Lines>
  <Paragraphs>0</Paragraphs>
  <TotalTime>9</TotalTime>
  <ScaleCrop>false</ScaleCrop>
  <LinksUpToDate>false</LinksUpToDate>
  <CharactersWithSpaces>3139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2022-11-16T07:17:00Z</dcterms:created>
  <dc:creator>Administrator</dc:creator>
  <cp:lastModifiedBy>冰</cp:lastModifiedBy>
  <cp:lastPrinted>2023-12-22T08:46:00Z</cp:lastPrinted>
  <dcterms:modified xsi:type="dcterms:W3CDTF">2026-03-30T07:01:06Z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21D74BDB1CDB4D778FD7779F8C14460D_13</vt:lpwstr>
  </property>
  <property fmtid="{D5CDD505-2E9C-101B-9397-08002B2CF9AE}" pid="4" name="KSOTemplateDocerSaveRecord">
    <vt:lpwstr>eyJoZGlkIjoiOWU3YjFjYTZkNGUxN2Q3NzFkNTFiYjUzZGVkOTY0NDYiLCJ1c2VySWQiOiI2MjQ3NTAwMjYifQ==</vt:lpwstr>
  </property>
</Properties>
</file>