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8738A">
      <w:pPr>
        <w:pStyle w:val="6"/>
        <w:bidi w:val="0"/>
        <w:jc w:val="center"/>
        <w:rPr>
          <w:rFonts w:hint="eastAsia" w:ascii="Times New Roman" w:hAnsi="Times New Roman" w:eastAsia="方正小标宋简体" w:cs="Times New Roman"/>
          <w:spacing w:val="17"/>
          <w:kern w:val="2"/>
          <w:sz w:val="44"/>
          <w:szCs w:val="44"/>
          <w:lang w:val="en-US" w:eastAsia="zh-CN" w:bidi="ar-SA"/>
        </w:rPr>
      </w:pPr>
      <w:r>
        <w:rPr>
          <w:rFonts w:hint="eastAsia" w:ascii="Times New Roman" w:hAnsi="Times New Roman" w:eastAsia="方正小标宋简体" w:cs="Times New Roman"/>
          <w:spacing w:val="17"/>
          <w:kern w:val="2"/>
          <w:sz w:val="44"/>
          <w:szCs w:val="44"/>
          <w:lang w:val="en-US" w:eastAsia="zh-CN" w:bidi="ar-SA"/>
        </w:rPr>
        <w:t>三门峡市市场监督管理局陕州分局</w:t>
      </w:r>
    </w:p>
    <w:p w14:paraId="7C0F1F7B">
      <w:pPr>
        <w:pStyle w:val="6"/>
        <w:bidi w:val="0"/>
        <w:jc w:val="center"/>
        <w:rPr>
          <w:rFonts w:hint="eastAsia" w:ascii="Times New Roman" w:hAnsi="Times New Roman" w:eastAsia="方正小标宋简体" w:cs="Times New Roman"/>
          <w:spacing w:val="17"/>
          <w:kern w:val="2"/>
          <w:sz w:val="44"/>
          <w:szCs w:val="44"/>
          <w:lang w:val="en-US" w:eastAsia="zh-CN" w:bidi="ar-SA"/>
        </w:rPr>
      </w:pPr>
      <w:r>
        <w:rPr>
          <w:rFonts w:hint="eastAsia" w:eastAsia="方正小标宋简体" w:cs="Times New Roman"/>
          <w:spacing w:val="17"/>
          <w:kern w:val="2"/>
          <w:sz w:val="44"/>
          <w:szCs w:val="44"/>
          <w:lang w:val="en-US" w:eastAsia="zh-CN" w:bidi="ar-SA"/>
        </w:rPr>
        <w:t>2025</w:t>
      </w:r>
      <w:r>
        <w:rPr>
          <w:rFonts w:hint="eastAsia" w:ascii="Times New Roman" w:hAnsi="Times New Roman" w:eastAsia="方正小标宋简体" w:cs="Times New Roman"/>
          <w:spacing w:val="17"/>
          <w:kern w:val="2"/>
          <w:sz w:val="44"/>
          <w:szCs w:val="44"/>
          <w:lang w:val="en-US" w:eastAsia="zh-CN" w:bidi="ar-SA"/>
        </w:rPr>
        <w:t>年</w:t>
      </w:r>
      <w:r>
        <w:rPr>
          <w:rFonts w:hint="eastAsia" w:eastAsia="方正小标宋简体" w:cs="Times New Roman"/>
          <w:spacing w:val="17"/>
          <w:kern w:val="2"/>
          <w:sz w:val="44"/>
          <w:szCs w:val="44"/>
          <w:lang w:val="en-US" w:eastAsia="zh-CN" w:bidi="ar-SA"/>
        </w:rPr>
        <w:t>法治政府建设工作报告</w:t>
      </w:r>
    </w:p>
    <w:p w14:paraId="55249AA0">
      <w:pPr>
        <w:rPr>
          <w:rFonts w:hint="eastAsia"/>
          <w:lang w:eastAsia="zh-CN"/>
        </w:rPr>
      </w:pPr>
    </w:p>
    <w:p w14:paraId="397FAB0B">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auto"/>
          <w:kern w:val="0"/>
          <w:sz w:val="32"/>
          <w:szCs w:val="32"/>
          <w:lang w:val="en-US" w:eastAsia="zh-CN" w:bidi="ar"/>
        </w:rPr>
        <w:t>三门峡市市场监督管理局</w:t>
      </w:r>
      <w:r>
        <w:rPr>
          <w:rFonts w:hint="eastAsia" w:ascii="仿宋_GB2312" w:hAnsi="仿宋_GB2312" w:eastAsia="仿宋_GB2312" w:cs="仿宋_GB2312"/>
          <w:sz w:val="32"/>
          <w:szCs w:val="32"/>
          <w:lang w:eastAsia="zh-CN"/>
        </w:rPr>
        <w:t>陕州分局</w:t>
      </w:r>
      <w:r>
        <w:rPr>
          <w:rFonts w:hint="eastAsia" w:ascii="仿宋_GB2312" w:hAnsi="仿宋_GB2312" w:eastAsia="仿宋_GB2312" w:cs="仿宋_GB2312"/>
          <w:sz w:val="32"/>
          <w:szCs w:val="32"/>
        </w:rPr>
        <w:t>认真贯彻三门峡市</w:t>
      </w:r>
      <w:r>
        <w:rPr>
          <w:rFonts w:hint="eastAsia" w:ascii="仿宋_GB2312" w:hAnsi="仿宋_GB2312" w:eastAsia="仿宋_GB2312" w:cs="仿宋_GB2312"/>
          <w:sz w:val="32"/>
          <w:szCs w:val="32"/>
          <w:lang w:eastAsia="zh-CN"/>
        </w:rPr>
        <w:t>陕州区</w:t>
      </w:r>
      <w:r>
        <w:rPr>
          <w:rFonts w:hint="eastAsia" w:ascii="仿宋_GB2312" w:hAnsi="仿宋_GB2312" w:eastAsia="仿宋_GB2312" w:cs="仿宋_GB2312"/>
          <w:sz w:val="32"/>
          <w:szCs w:val="32"/>
        </w:rPr>
        <w:t>法治政府建设工作要求</w:t>
      </w:r>
      <w:r>
        <w:rPr>
          <w:rFonts w:hint="eastAsia" w:ascii="仿宋_GB2312" w:hAnsi="仿宋_GB2312" w:eastAsia="仿宋_GB2312" w:cs="仿宋_GB2312"/>
          <w:sz w:val="32"/>
          <w:szCs w:val="32"/>
          <w:lang w:eastAsia="zh-CN"/>
        </w:rPr>
        <w:t>及全市市场监管系统</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法制建设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要点，落实市局《关于开展整治营商环境领域不正之风规范涉企行政执法办好民生实事工作的通知》</w:t>
      </w:r>
      <w:r>
        <w:rPr>
          <w:rFonts w:hint="eastAsia" w:ascii="仿宋_GB2312" w:hAnsi="仿宋_GB2312" w:eastAsia="仿宋_GB2312" w:cs="仿宋_GB2312"/>
          <w:sz w:val="32"/>
          <w:szCs w:val="32"/>
          <w:lang w:val="en-US" w:eastAsia="zh-CN"/>
        </w:rPr>
        <w:t>,贯彻总局市场监管系统行风建设“巩固提升年”以及解决“乱作为、不作为、不敢为、不善为”问题专项整治要求，结合陕州分局实际，</w:t>
      </w:r>
      <w:r>
        <w:rPr>
          <w:rFonts w:hint="eastAsia" w:ascii="仿宋_GB2312" w:hAnsi="仿宋_GB2312" w:eastAsia="仿宋_GB2312" w:cs="仿宋_GB2312"/>
          <w:sz w:val="32"/>
          <w:szCs w:val="32"/>
        </w:rPr>
        <w:t>全面规范行政</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持续优化营商环境，推进服务全国统一大市场建设，以法治化市场监管助推经济社会高质量发展。</w:t>
      </w:r>
      <w:r>
        <w:rPr>
          <w:rFonts w:hint="eastAsia" w:ascii="仿宋_GB2312" w:hAnsi="仿宋_GB2312" w:eastAsia="仿宋_GB2312" w:cs="仿宋_GB2312"/>
          <w:sz w:val="32"/>
          <w:szCs w:val="32"/>
          <w:lang w:val="en-US" w:eastAsia="zh-CN"/>
        </w:rPr>
        <w:t xml:space="preserve">  </w:t>
      </w:r>
    </w:p>
    <w:p w14:paraId="1F5CD927">
      <w:pPr>
        <w:keepNext w:val="0"/>
        <w:keepLines w:val="0"/>
        <w:pageBreakBefore w:val="0"/>
        <w:numPr>
          <w:ilvl w:val="0"/>
          <w:numId w:val="1"/>
        </w:numPr>
        <w:kinsoku/>
        <w:wordWrap/>
        <w:overflowPunct/>
        <w:topLinePunct w:val="0"/>
        <w:autoSpaceDE/>
        <w:autoSpaceDN/>
        <w:bidi w:val="0"/>
        <w:adjustRightInd/>
        <w:snapToGrid w:val="0"/>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kern w:val="0"/>
          <w:sz w:val="32"/>
          <w:szCs w:val="32"/>
          <w:lang w:val="en-US" w:eastAsia="zh-CN" w:bidi="ar"/>
        </w:rPr>
        <w:t>强化学习培训，夯实法治基础。</w:t>
      </w:r>
      <w:r>
        <w:rPr>
          <w:rFonts w:hint="eastAsia" w:ascii="Times New Roman" w:hAnsi="Times New Roman" w:eastAsia="仿宋_GB2312" w:cs="Times New Roman"/>
          <w:sz w:val="32"/>
          <w:szCs w:val="32"/>
          <w:lang w:val="en-US" w:eastAsia="zh-CN"/>
        </w:rPr>
        <w:t>坚持</w:t>
      </w:r>
      <w:r>
        <w:rPr>
          <w:rFonts w:hint="default" w:ascii="Times New Roman" w:hAnsi="Times New Roman" w:eastAsia="仿宋_GB2312" w:cs="Times New Roman"/>
          <w:sz w:val="32"/>
          <w:szCs w:val="32"/>
        </w:rPr>
        <w:t>以习近平法治思想武装头脑、指导实践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将习近平法治思想作为领导集体学法、执法人员培训、干部培训的重要内容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党政主要负责同志推进法治政府建设第一责任人职责，全面落实领导干部依法决策、定期听取汇报、及时研究解决重大问题等制度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领导干部集体学习应知应会法律知识每季度</w:t>
      </w:r>
      <w:r>
        <w:rPr>
          <w:rFonts w:hint="eastAsia"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一次，</w:t>
      </w:r>
      <w:r>
        <w:rPr>
          <w:rFonts w:hint="eastAsia"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研究法治工作全年两次。</w:t>
      </w:r>
      <w:r>
        <w:rPr>
          <w:rFonts w:hint="eastAsia" w:ascii="Times New Roman" w:hAnsi="Times New Roman" w:eastAsia="仿宋_GB2312" w:cs="Times New Roman"/>
          <w:color w:val="auto"/>
          <w:kern w:val="0"/>
          <w:sz w:val="32"/>
          <w:szCs w:val="32"/>
          <w:lang w:val="en-US" w:eastAsia="zh-CN" w:bidi="ar"/>
        </w:rPr>
        <w:t>组织学习市场监管总局《市场监管执法行为规范》，学习司法部《行政执法人员行为准则》和河南省司法厅等11部门出台的《规范涉企行政执法六条措施》，开展行政执法培训4期。利用3.15消费者权益保护日、4月综治和平安建设宣传月、“5·20世界计量日”、“民法典宣传月”、12.4宪法宣传周等节日大力宣传市场监管法律法规。组织人员参加陕州区法治建设专题培训和区司法局组织的行政审判案件旁听，积极组织人员到区综治中心开展消费者权益纠纷调解工作。</w:t>
      </w:r>
    </w:p>
    <w:p w14:paraId="3130B2B4">
      <w:pPr>
        <w:keepNext w:val="0"/>
        <w:keepLines w:val="0"/>
        <w:pageBreakBefore w:val="0"/>
        <w:numPr>
          <w:ilvl w:val="0"/>
          <w:numId w:val="1"/>
        </w:numPr>
        <w:kinsoku/>
        <w:wordWrap/>
        <w:overflowPunct/>
        <w:topLinePunct w:val="0"/>
        <w:autoSpaceDE/>
        <w:autoSpaceDN/>
        <w:bidi w:val="0"/>
        <w:adjustRightInd/>
        <w:snapToGrid w:val="0"/>
        <w:spacing w:beforeAutospacing="0" w:afterAutospacing="0" w:line="560" w:lineRule="exact"/>
        <w:ind w:left="0" w:leftChars="0" w:firstLine="643"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
          <w:bCs/>
          <w:color w:val="auto"/>
          <w:kern w:val="0"/>
          <w:sz w:val="32"/>
          <w:szCs w:val="32"/>
          <w:lang w:val="en-US" w:eastAsia="zh-CN" w:bidi="ar"/>
        </w:rPr>
        <w:t>坚持审慎监管，深入推进服务型行政执法。</w:t>
      </w:r>
      <w:r>
        <w:rPr>
          <w:rFonts w:hint="eastAsia" w:ascii="Times New Roman" w:hAnsi="Times New Roman" w:eastAsia="仿宋_GB2312" w:cs="Times New Roman"/>
          <w:b w:val="0"/>
          <w:bCs w:val="0"/>
          <w:color w:val="auto"/>
          <w:kern w:val="0"/>
          <w:sz w:val="32"/>
          <w:szCs w:val="32"/>
          <w:lang w:val="en-US" w:eastAsia="zh-CN" w:bidi="ar"/>
        </w:rPr>
        <w:t>扎实开展营商环境领域不正之风和腐败问题专项整治工作。成立</w:t>
      </w:r>
      <w:r>
        <w:rPr>
          <w:rFonts w:hint="default" w:ascii="Times New Roman" w:hAnsi="Times New Roman" w:eastAsia="仿宋_GB2312" w:cs="Times New Roman"/>
          <w:sz w:val="32"/>
          <w:szCs w:val="32"/>
          <w:lang w:val="en-US" w:eastAsia="zh-CN"/>
        </w:rPr>
        <w:t>集中整治工作专班，</w:t>
      </w:r>
      <w:r>
        <w:rPr>
          <w:rFonts w:hint="eastAsia"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val="en-US" w:eastAsia="zh-CN"/>
        </w:rPr>
        <w:t>行政执法规范专项组</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法制</w:t>
      </w:r>
      <w:r>
        <w:rPr>
          <w:rFonts w:hint="eastAsia" w:ascii="Times New Roman" w:hAnsi="Times New Roman" w:eastAsia="仿宋_GB2312" w:cs="Times New Roman"/>
          <w:sz w:val="32"/>
          <w:szCs w:val="32"/>
          <w:lang w:val="en-US" w:eastAsia="zh-CN"/>
        </w:rPr>
        <w:t>室、执法大队为</w:t>
      </w:r>
      <w:r>
        <w:rPr>
          <w:rFonts w:hint="default" w:ascii="Times New Roman" w:hAnsi="Times New Roman" w:eastAsia="仿宋_GB2312" w:cs="Times New Roman"/>
          <w:sz w:val="32"/>
          <w:szCs w:val="32"/>
          <w:lang w:val="en-US" w:eastAsia="zh-CN"/>
        </w:rPr>
        <w:t>牵头</w:t>
      </w:r>
      <w:r>
        <w:rPr>
          <w:rFonts w:hint="eastAsia"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val="en-US" w:eastAsia="zh-CN"/>
        </w:rPr>
        <w:t>室</w:t>
      </w:r>
      <w:r>
        <w:rPr>
          <w:rFonts w:hint="eastAsia" w:ascii="Times New Roman" w:hAnsi="Times New Roman" w:eastAsia="仿宋_GB2312" w:cs="Times New Roman"/>
          <w:sz w:val="32"/>
          <w:szCs w:val="32"/>
          <w:lang w:val="en-US" w:eastAsia="zh-CN"/>
        </w:rPr>
        <w:t>，指导分</w:t>
      </w:r>
      <w:r>
        <w:rPr>
          <w:rFonts w:hint="default" w:ascii="Times New Roman" w:hAnsi="Times New Roman" w:eastAsia="仿宋_GB2312" w:cs="Times New Roman"/>
          <w:sz w:val="32"/>
          <w:szCs w:val="32"/>
          <w:lang w:val="en-US" w:eastAsia="zh-CN"/>
        </w:rPr>
        <w:t>局负有执法监管职能的</w:t>
      </w:r>
      <w:r>
        <w:rPr>
          <w:rFonts w:hint="eastAsia"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lang w:val="en-US" w:eastAsia="zh-CN"/>
        </w:rPr>
        <w:t>室</w:t>
      </w:r>
      <w:r>
        <w:rPr>
          <w:rFonts w:hint="eastAsia" w:ascii="Times New Roman" w:hAnsi="Times New Roman" w:eastAsia="仿宋_GB2312" w:cs="Times New Roman"/>
          <w:sz w:val="32"/>
          <w:szCs w:val="32"/>
          <w:lang w:val="en-US" w:eastAsia="zh-CN"/>
        </w:rPr>
        <w:t>和各市场监管所</w:t>
      </w:r>
      <w:r>
        <w:rPr>
          <w:rFonts w:hint="default" w:ascii="Times New Roman" w:hAnsi="Times New Roman" w:eastAsia="仿宋_GB2312" w:cs="Times New Roman"/>
          <w:sz w:val="32"/>
          <w:szCs w:val="32"/>
          <w:lang w:val="en-US" w:eastAsia="zh-CN"/>
        </w:rPr>
        <w:t>按职责分工组织落实。行政执法规范专项组对</w:t>
      </w:r>
      <w:r>
        <w:rPr>
          <w:rFonts w:hint="eastAsia" w:ascii="Times New Roman" w:hAnsi="Times New Roman" w:eastAsia="仿宋_GB2312" w:cs="Times New Roman"/>
          <w:sz w:val="32"/>
          <w:szCs w:val="32"/>
          <w:lang w:val="en-US" w:eastAsia="zh-CN"/>
        </w:rPr>
        <w:t>营商环境领域不正之风规范涉企行政执法办好民生实事工作</w:t>
      </w:r>
      <w:r>
        <w:rPr>
          <w:rFonts w:hint="default" w:ascii="Times New Roman" w:hAnsi="Times New Roman" w:eastAsia="仿宋_GB2312" w:cs="Times New Roman"/>
          <w:sz w:val="32"/>
          <w:szCs w:val="32"/>
          <w:lang w:val="en-US" w:eastAsia="zh-CN"/>
        </w:rPr>
        <w:t>统筹部署、协调推进、全面指导。</w:t>
      </w:r>
      <w:r>
        <w:rPr>
          <w:rFonts w:hint="eastAsia" w:ascii="Times New Roman" w:hAnsi="Times New Roman" w:eastAsia="仿宋_GB2312" w:cs="Times New Roman"/>
          <w:color w:val="auto"/>
          <w:kern w:val="0"/>
          <w:sz w:val="32"/>
          <w:szCs w:val="32"/>
          <w:lang w:val="en-US" w:eastAsia="zh-CN" w:bidi="ar"/>
        </w:rPr>
        <w:t>组织学习贯彻市场监管总局《关于牢固树立监管为民理念 推行服务型执法的指导意见》和《市场监管部门优化营商环境重点举措（2024年版）》，贯彻总局“首违不罚”“轻微免罚”12项清单要求，落实《河南省市场监督管理实施“四张清单”推进包容审慎监管规定》和《河南省药品监督管理实施“四张清单”推进包容审慎监管规定》等从轻行政处罚、减轻行政处罚、轻微违法行为不予行政处罚、不予实施行政强制措施清单共73项举措，</w:t>
      </w:r>
      <w:r>
        <w:rPr>
          <w:rFonts w:hint="default" w:ascii="Times New Roman" w:hAnsi="Times New Roman" w:eastAsia="仿宋_GB2312" w:cs="Times New Roman"/>
          <w:sz w:val="32"/>
          <w:szCs w:val="32"/>
          <w:lang w:val="en-US" w:eastAsia="zh-CN"/>
        </w:rPr>
        <w:t>聚焦食品、药品、工业产品、特种设备等民生</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val="en-US" w:eastAsia="zh-CN"/>
        </w:rPr>
        <w:t>领域，</w:t>
      </w:r>
      <w:r>
        <w:rPr>
          <w:rFonts w:hint="eastAsia" w:ascii="Times New Roman" w:hAnsi="Times New Roman" w:eastAsia="仿宋_GB2312" w:cs="Times New Roman"/>
          <w:color w:val="auto"/>
          <w:kern w:val="0"/>
          <w:sz w:val="32"/>
          <w:szCs w:val="32"/>
          <w:lang w:val="en-US" w:eastAsia="zh-CN" w:bidi="ar"/>
        </w:rPr>
        <w:t>做到既坚持依法行政，对食品药品、安全生产等与群众生命健康、财产安全密切相关的领域坚持最严的标准，</w:t>
      </w:r>
      <w:r>
        <w:rPr>
          <w:rFonts w:hint="default" w:ascii="Times New Roman" w:hAnsi="Times New Roman" w:eastAsia="仿宋_GB2312" w:cs="Times New Roman"/>
          <w:sz w:val="32"/>
          <w:szCs w:val="32"/>
          <w:lang w:val="en-US" w:eastAsia="zh-CN"/>
        </w:rPr>
        <w:t>实施“零容忍”监管</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kern w:val="0"/>
          <w:sz w:val="32"/>
          <w:szCs w:val="32"/>
          <w:lang w:val="en-US" w:eastAsia="zh-CN" w:bidi="ar"/>
        </w:rPr>
        <w:t>严格执法程序，</w:t>
      </w:r>
      <w:r>
        <w:rPr>
          <w:rFonts w:hint="default" w:ascii="Times New Roman" w:hAnsi="Times New Roman" w:eastAsia="仿宋_GB2312" w:cs="Times New Roman"/>
          <w:sz w:val="32"/>
          <w:szCs w:val="32"/>
          <w:lang w:val="en-US" w:eastAsia="zh-CN"/>
        </w:rPr>
        <w:t>严惩违法行为，保障群众生命健康安全。</w:t>
      </w:r>
      <w:r>
        <w:rPr>
          <w:rFonts w:hint="eastAsia" w:ascii="Times New Roman" w:hAnsi="Times New Roman" w:eastAsia="仿宋_GB2312" w:cs="Times New Roman"/>
          <w:color w:val="auto"/>
          <w:kern w:val="0"/>
          <w:sz w:val="32"/>
          <w:szCs w:val="32"/>
          <w:lang w:val="en-US" w:eastAsia="zh-CN" w:bidi="ar"/>
        </w:rPr>
        <w:t>同时，积极回应企业群众关切，坚持处罚与教育相结合，保障市场主体和群众合法权益，实行首违不罚、轻微不罚。规范行政执法裁量权，激发市场经营主体活力，引导市场主体自觉守法、自我纠错，实现政治效果、社会效果、法律效果相统一。2025年以来，陕州分局共开展行政指导15次，办结各类违法违章案件438件，其中普通程序案件152起，简易程序案件286起，给予”警告”处罚案件268起，占案件总数的65.3%，免予处罚、不予处罚、减轻处罚案件共计57起，占案件总数的13%，减免处罚罚总金额107万元。2025年以来共有行政复议案件11起。</w:t>
      </w:r>
    </w:p>
    <w:p w14:paraId="5508FAB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560" w:lineRule="exact"/>
        <w:ind w:firstLine="643"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仿宋_GB2312" w:hAnsi="仿宋_GB2312" w:eastAsia="仿宋_GB2312" w:cs="仿宋_GB2312"/>
          <w:b/>
          <w:bCs/>
          <w:sz w:val="32"/>
          <w:szCs w:val="32"/>
          <w:lang w:val="en-US" w:eastAsia="zh-CN"/>
        </w:rPr>
        <w:t>三、加强公平竞争审查，服务建设全国统一大市场。</w:t>
      </w:r>
      <w:r>
        <w:rPr>
          <w:rFonts w:hint="eastAsia" w:ascii="Times New Roman" w:hAnsi="Times New Roman" w:eastAsia="仿宋_GB2312" w:cs="Times New Roman"/>
          <w:color w:val="auto"/>
          <w:kern w:val="0"/>
          <w:sz w:val="32"/>
          <w:szCs w:val="32"/>
          <w:lang w:val="en-US" w:eastAsia="zh-CN" w:bidi="ar"/>
        </w:rPr>
        <w:t>2025年，陕州分局认真贯彻陕州区法治政府建设工作要求和上级关于公平竞争审查、整治“内卷式”竞争的工作部署，全面落实市局《</w:t>
      </w:r>
      <w:r>
        <w:rPr>
          <w:rFonts w:hint="default" w:ascii="Times New Roman" w:hAnsi="Times New Roman" w:eastAsia="仿宋_GB2312" w:cs="Times New Roman"/>
          <w:color w:val="auto"/>
          <w:kern w:val="0"/>
          <w:sz w:val="32"/>
          <w:szCs w:val="32"/>
          <w:lang w:val="en-US" w:eastAsia="zh-CN" w:bidi="ar"/>
        </w:rPr>
        <w:t>关于印发全市市场监管系统2025年法治建设、执法稽查、价格监督检查、反垄断工作要点的通知</w:t>
      </w:r>
      <w:r>
        <w:rPr>
          <w:rFonts w:hint="eastAsia" w:ascii="Times New Roman" w:hAnsi="Times New Roman" w:eastAsia="仿宋_GB2312" w:cs="Times New Roman"/>
          <w:color w:val="auto"/>
          <w:kern w:val="0"/>
          <w:sz w:val="32"/>
          <w:szCs w:val="32"/>
          <w:lang w:val="en-US" w:eastAsia="zh-CN" w:bidi="ar"/>
        </w:rPr>
        <w:t>》要求,全面落实《公平竞争审查条例》及其《实施办法》工作要求，发挥公平竞争审查牵头部门作用，开展《公平竞争审查条例》及其实施办法培训3次。8月14日，区政府组织召开全区公平竞争审查工作推进会，区发改委、财政局、农业农村局等30个单位分管领导和部门负责人参加会议。对陕州区政府及其直属部门被抽查文件51份中的6份问题文件，按照《公平竞争审查条例》、《公平竞争审查条例实施办法》强化自查整改落实。在区政府的领导下，我们加强与区政府办、司法局的沟通协调，落实《河南省行政合法性审查工作规定》16条“涉及市场主体经济活动的审查事项，未按照规定经公平竞争审查或者经审查不符合公平竞争规定的，不得提交行政合法性审查”的规定。同时，我们建立陕州区公平竞争审查联络机制，建立微信工作群，由各单位分管领导和分管部门负责人参加，对上级工作部署要求、法律法规宣传等进行线上学习培训，加强与相关单位的沟通交流学习。畅通投诉举报渠道，全面规范开展审查工作，审查规范性文件1件。2025年5月23日，陕州区政府对现行有效的规范性文件进行了清理，并通过政府网站予以公布，继续有效行政规范性文件25件，宣布废止4件规范性文件，剔除目录继续执行文件2件。11月12日，三门峡市市场监管局陕州分局党委委员、副局长张文应邀到陕州区委党校为2025 陕州区秋季学期主体班86名学员做了题为《深入落实公平竞争审查相关制度 助力推动建设全国统一大市场》的精彩授课，重点从公平竞争审查制度和相关法律条文切入，结合相关典型案例深度解读政策措施与经济活动之间的紧密联系，对政府放管服的经济职能作出法律层面的解释，针对公平竞争审查制度的常见问题和实际应用设置了问答环节，授课结束后，对现场学员提出的疑问作出解答。通过一系列工作开展，健全了公平竞争审查工作机制，进一步落实了服务全国统一大市场建设、整治地方保护和市场分割政策，法治化市场监管助推陕州区经济社会高质量发展工作进一步强化。</w:t>
      </w:r>
    </w:p>
    <w:p w14:paraId="5D37AC59">
      <w:pPr>
        <w:numPr>
          <w:ilvl w:val="0"/>
          <w:numId w:val="0"/>
        </w:numPr>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四、下一步打算</w:t>
      </w:r>
    </w:p>
    <w:p w14:paraId="097DB951">
      <w:pPr>
        <w:pStyle w:val="7"/>
        <w:bidi w:val="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下一步，</w:t>
      </w:r>
      <w:r>
        <w:rPr>
          <w:rFonts w:hint="eastAsia" w:ascii="仿宋_GB2312" w:hAnsi="仿宋_GB2312" w:eastAsia="仿宋_GB2312" w:cs="仿宋_GB2312"/>
          <w:sz w:val="32"/>
          <w:szCs w:val="32"/>
          <w:lang w:val="en-US" w:eastAsia="zh-CN"/>
        </w:rPr>
        <w:t>陕州分局将继续坚持以习近平法治思想为指引，全面贯彻落实党的二十大关于法治建设的重大战略部署，把全面推进法治建设作为系统性、全局性工作来抓。</w:t>
      </w:r>
    </w:p>
    <w:p w14:paraId="67137205">
      <w:pPr>
        <w:pStyle w:val="7"/>
        <w:bidi w:val="0"/>
        <w:rPr>
          <w:rFonts w:hint="eastAsia" w:ascii="仿宋" w:hAnsi="仿宋" w:eastAsia="仿宋" w:cs="仿宋"/>
          <w:kern w:val="2"/>
          <w:sz w:val="32"/>
          <w:szCs w:val="32"/>
          <w:lang w:val="en-US" w:eastAsia="zh-CN" w:bidi="ar-SA"/>
        </w:rPr>
      </w:pPr>
      <w:r>
        <w:rPr>
          <w:rFonts w:hint="eastAsia" w:ascii="仿宋_GB2312" w:hAnsi="仿宋_GB2312" w:cs="仿宋_GB2312"/>
          <w:sz w:val="32"/>
          <w:szCs w:val="32"/>
          <w:lang w:val="en-US" w:eastAsia="zh-CN"/>
        </w:rPr>
        <w:t>一是</w:t>
      </w:r>
      <w:r>
        <w:rPr>
          <w:rFonts w:hint="eastAsia" w:ascii="仿宋" w:hAnsi="仿宋" w:eastAsia="仿宋" w:cs="仿宋"/>
          <w:kern w:val="2"/>
          <w:sz w:val="32"/>
          <w:szCs w:val="32"/>
          <w:lang w:val="en-US" w:eastAsia="zh-CN" w:bidi="ar-SA"/>
        </w:rPr>
        <w:t>加强法治宣传培训。</w:t>
      </w:r>
      <w:r>
        <w:rPr>
          <w:rFonts w:hint="default" w:ascii="Times New Roman" w:hAnsi="Times New Roman" w:eastAsia="仿宋_GB2312" w:cs="Times New Roman"/>
          <w:sz w:val="32"/>
          <w:szCs w:val="32"/>
          <w:lang w:val="en-US" w:eastAsia="zh-CN"/>
        </w:rPr>
        <w:t>完善领导干部、法制机构人员、监管执法人员、新录用公务员等全员学法用法制度</w:t>
      </w:r>
      <w:r>
        <w:rPr>
          <w:rFonts w:hint="eastAsia" w:ascii="Times New Roman" w:hAnsi="Times New Roman" w:cs="Times New Roman"/>
          <w:sz w:val="32"/>
          <w:szCs w:val="32"/>
          <w:lang w:val="en-US" w:eastAsia="zh-CN"/>
        </w:rPr>
        <w:t>。</w:t>
      </w:r>
      <w:r>
        <w:rPr>
          <w:rFonts w:hint="eastAsia" w:ascii="仿宋" w:hAnsi="仿宋" w:eastAsia="仿宋" w:cs="仿宋"/>
          <w:kern w:val="2"/>
          <w:sz w:val="32"/>
          <w:szCs w:val="32"/>
          <w:lang w:val="en-US" w:eastAsia="zh-CN" w:bidi="ar-SA"/>
        </w:rPr>
        <w:t>落实《市场监管部门优化营商环境重点举措（2024年版）》，打造法治化营商环境，以大力开展行政执法监督为手段，进一步规范行政执法行为，规范涉企行政检查，落实“扫码入企”要求，全面推进市场监管法治建设工作，夯实市场监管法治基础，聚焦案件与纠纷频发领域，推进市场监管法律法规进机关、进乡村、进企业、进学校、进社区、进网络，通过多种方式，将普法宣传融入到日常监督、行政执法、执法监督全过程、各环节。全面推进线上执法办案平台运用，落实“谁执法、谁普法”责任制，坚持法治宣传教育与市场监管工作相结合，教育引导全社会增强法治观念，推动市场监管体系与能力现代化、法治化，继续为陕州区经济高质量发展贡献力量。</w:t>
      </w:r>
    </w:p>
    <w:p w14:paraId="0EC05227">
      <w:pPr>
        <w:pStyle w:val="7"/>
        <w:bidi w:val="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二是推进服务型执法。</w:t>
      </w:r>
      <w:r>
        <w:rPr>
          <w:rFonts w:hint="eastAsia" w:ascii="仿宋_GB2312" w:hAnsi="仿宋_GB2312" w:eastAsia="仿宋_GB2312" w:cs="仿宋_GB2312"/>
          <w:sz w:val="32"/>
          <w:szCs w:val="32"/>
          <w:lang w:val="en-US" w:eastAsia="zh-CN"/>
        </w:rPr>
        <w:t>继续</w:t>
      </w:r>
      <w:r>
        <w:rPr>
          <w:rFonts w:hint="eastAsia" w:ascii="仿宋_GB2312" w:hAnsi="仿宋_GB2312" w:cs="仿宋_GB2312"/>
          <w:sz w:val="32"/>
          <w:szCs w:val="32"/>
          <w:lang w:val="en-US" w:eastAsia="zh-CN"/>
        </w:rPr>
        <w:t>践行</w:t>
      </w:r>
      <w:r>
        <w:rPr>
          <w:rFonts w:hint="eastAsia" w:ascii="仿宋_GB2312" w:hAnsi="仿宋_GB2312" w:eastAsia="仿宋_GB2312" w:cs="仿宋_GB2312"/>
          <w:sz w:val="32"/>
          <w:szCs w:val="32"/>
          <w:lang w:val="en-US" w:eastAsia="zh-CN"/>
        </w:rPr>
        <w:t>“监管为民”核心理念，持续推进包容审慎监管和柔性执法，</w:t>
      </w:r>
      <w:r>
        <w:rPr>
          <w:rFonts w:hint="eastAsia" w:ascii="仿宋_GB2312" w:hAnsi="仿宋_GB2312" w:cs="仿宋_GB2312"/>
          <w:sz w:val="32"/>
          <w:szCs w:val="32"/>
          <w:lang w:val="en-US" w:eastAsia="zh-CN"/>
        </w:rPr>
        <w:t>规范涉企检查，</w:t>
      </w:r>
      <w:r>
        <w:rPr>
          <w:rFonts w:hint="eastAsia" w:ascii="仿宋_GB2312" w:hAnsi="仿宋_GB2312" w:eastAsia="仿宋_GB2312" w:cs="仿宋_GB2312"/>
          <w:sz w:val="32"/>
          <w:szCs w:val="32"/>
          <w:lang w:val="en-US" w:eastAsia="zh-CN"/>
        </w:rPr>
        <w:t>坚持把依法行政与行风建设三年专项整治活动紧密结合，巩固推进群众身边不正之风和反腐败问题专项整治成果，落实总局《市场监管执法行为规范》要求，推动执法与服务更好融合，创新执法方式、改进工作作风、规范执法行为、提升执法能力，坚持过罚相当和比例原则，落实行政处罚裁量基准要求，落实首违不罚、轻微免罚、减轻处罚规定，推进严格规范公正文明执法</w:t>
      </w:r>
      <w:r>
        <w:rPr>
          <w:rFonts w:hint="eastAsia" w:ascii="仿宋_GB2312" w:hAnsi="仿宋_GB2312" w:cs="仿宋_GB2312"/>
          <w:sz w:val="32"/>
          <w:szCs w:val="32"/>
          <w:lang w:val="en-US" w:eastAsia="zh-CN"/>
        </w:rPr>
        <w:t>，</w:t>
      </w:r>
      <w:r>
        <w:rPr>
          <w:rFonts w:hint="eastAsia" w:ascii="Times New Roman" w:hAnsi="Times New Roman" w:eastAsia="仿宋_GB2312" w:cs="Times New Roman"/>
          <w:color w:val="auto"/>
          <w:kern w:val="0"/>
          <w:sz w:val="32"/>
          <w:szCs w:val="32"/>
          <w:lang w:val="en-US" w:eastAsia="zh-CN" w:bidi="ar"/>
        </w:rPr>
        <w:t>着力构建“预防为主、轻微免罚、重违严惩、过罚相当、事后回访”的服务型执法模式</w:t>
      </w:r>
      <w:r>
        <w:rPr>
          <w:rFonts w:hint="eastAsia" w:cs="Times New Roman"/>
          <w:color w:val="auto"/>
          <w:kern w:val="0"/>
          <w:sz w:val="32"/>
          <w:szCs w:val="32"/>
          <w:lang w:val="en-US" w:eastAsia="zh-CN" w:bidi="ar"/>
        </w:rPr>
        <w:t>。</w:t>
      </w:r>
    </w:p>
    <w:p w14:paraId="7575D45D">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是落实上级分配的其他工作。牵头做好全区公平竞争审查工作，落实《公平竞争审查条例》及其实施办法相关要求，加大培训力度，破除地方保护和市场分割，服务全国统一大市场建设，落实公平竞争审查工作抽查、举报处理机制，当好市场公平竞争的维护者和消费者利益的保护者。</w:t>
      </w:r>
    </w:p>
    <w:p w14:paraId="25C171D0">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369AAD2">
      <w:pPr>
        <w:pStyle w:val="6"/>
        <w:rPr>
          <w:rFonts w:hint="eastAsia" w:ascii="仿宋_GB2312" w:hAnsi="仿宋_GB2312" w:eastAsia="仿宋_GB2312" w:cs="仿宋_GB2312"/>
          <w:sz w:val="32"/>
          <w:szCs w:val="32"/>
          <w:lang w:val="en-US" w:eastAsia="zh-CN"/>
        </w:rPr>
      </w:pPr>
    </w:p>
    <w:p w14:paraId="68E63D5E">
      <w:pPr>
        <w:pStyle w:val="6"/>
        <w:rPr>
          <w:rFonts w:hint="eastAsia" w:ascii="仿宋_GB2312" w:hAnsi="仿宋_GB2312" w:eastAsia="仿宋_GB2312" w:cs="仿宋_GB2312"/>
          <w:sz w:val="32"/>
          <w:szCs w:val="32"/>
          <w:lang w:val="en-US" w:eastAsia="zh-CN"/>
        </w:rPr>
      </w:pPr>
    </w:p>
    <w:p w14:paraId="1066C39A">
      <w:pPr>
        <w:pStyle w:val="6"/>
        <w:ind w:firstLine="5120" w:firstLineChars="1600"/>
        <w:rPr>
          <w:rFonts w:hint="default"/>
          <w:lang w:val="en-US" w:eastAsia="zh-CN"/>
        </w:rPr>
      </w:pPr>
      <w:r>
        <w:rPr>
          <w:rFonts w:hint="eastAsia" w:ascii="仿宋_GB2312" w:hAnsi="仿宋_GB2312" w:eastAsia="仿宋_GB2312" w:cs="仿宋_GB2312"/>
          <w:sz w:val="32"/>
          <w:szCs w:val="32"/>
          <w:lang w:val="en-US" w:eastAsia="zh-CN"/>
        </w:rPr>
        <w:t>2026年1月28</w:t>
      </w:r>
      <w:bookmarkStart w:id="0" w:name="_GoBack"/>
      <w:bookmarkEnd w:id="0"/>
      <w:r>
        <w:rPr>
          <w:rFonts w:hint="eastAsia" w:ascii="仿宋_GB2312" w:hAnsi="仿宋_GB2312" w:eastAsia="仿宋_GB2312" w:cs="仿宋_GB2312"/>
          <w:sz w:val="32"/>
          <w:szCs w:val="32"/>
          <w:lang w:val="en-US" w:eastAsia="zh-CN"/>
        </w:rPr>
        <w:t>日</w:t>
      </w:r>
    </w:p>
    <w:p w14:paraId="29D0950C">
      <w:pPr>
        <w:rPr>
          <w:rFonts w:hint="eastAsia" w:eastAsia="微软雅黑"/>
          <w:lang w:eastAsia="zh-CN"/>
        </w:rPr>
      </w:pPr>
    </w:p>
    <w:p w14:paraId="320F8711"/>
    <w:p w14:paraId="476A91F2"/>
    <w:p w14:paraId="0E927BC3"/>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7EDFF"/>
    <w:multiLevelType w:val="singleLevel"/>
    <w:tmpl w:val="5777ED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B0EC8"/>
    <w:rsid w:val="11946C21"/>
    <w:rsid w:val="15DA15E8"/>
    <w:rsid w:val="1C2B0EC8"/>
    <w:rsid w:val="28BD3A65"/>
    <w:rsid w:val="293E16DD"/>
    <w:rsid w:val="2BC03AA4"/>
    <w:rsid w:val="2D200796"/>
    <w:rsid w:val="371273E8"/>
    <w:rsid w:val="38171401"/>
    <w:rsid w:val="3BBE6A39"/>
    <w:rsid w:val="3C726B44"/>
    <w:rsid w:val="3CB76027"/>
    <w:rsid w:val="40845CA9"/>
    <w:rsid w:val="4A5917AA"/>
    <w:rsid w:val="510236BE"/>
    <w:rsid w:val="54B57410"/>
    <w:rsid w:val="6400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Lines="0" w:line="600" w:lineRule="exact"/>
      <w:ind w:firstLine="880" w:firstLineChars="200"/>
    </w:pPr>
    <w:rPr>
      <w:rFonts w:ascii="仿宋_GB2312" w:hAnsi="仿宋_GB2312"/>
      <w:szCs w:val="28"/>
    </w:rPr>
  </w:style>
  <w:style w:type="paragraph" w:styleId="4">
    <w:name w:val="Body Text Indent"/>
    <w:basedOn w:val="1"/>
    <w:qFormat/>
    <w:uiPriority w:val="0"/>
    <w:pPr>
      <w:spacing w:line="620" w:lineRule="exact"/>
      <w:ind w:firstLine="640" w:firstLineChars="200"/>
    </w:pPr>
    <w:rPr>
      <w:rFonts w:ascii="Times New Roman" w:hAnsi="Times New Roman" w:eastAsia="宋体" w:cs="Times New Roman"/>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2"/>
    <w:next w:val="7"/>
    <w:qFormat/>
    <w:uiPriority w:val="0"/>
    <w:pPr>
      <w:ind w:firstLine="420" w:firstLineChars="100"/>
    </w:pPr>
    <w:rPr>
      <w:rFonts w:ascii="Times New Roman" w:hAnsi="Times New Roman" w:eastAsia="宋体" w:cs="Times New Roman"/>
    </w:rPr>
  </w:style>
  <w:style w:type="paragraph" w:styleId="7">
    <w:name w:val="Body Text First Indent 2"/>
    <w:basedOn w:val="4"/>
    <w:next w:val="6"/>
    <w:qFormat/>
    <w:uiPriority w:val="0"/>
    <w:pPr>
      <w:spacing w:after="0" w:line="600" w:lineRule="exact"/>
      <w:ind w:left="0" w:leftChars="0" w:firstLine="42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安徽分公司</Company>
  <Pages>6</Pages>
  <Words>3043</Words>
  <Characters>3119</Characters>
  <Lines>0</Lines>
  <Paragraphs>0</Paragraphs>
  <TotalTime>0</TotalTime>
  <ScaleCrop>false</ScaleCrop>
  <LinksUpToDate>false</LinksUpToDate>
  <CharactersWithSpaces>3146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2025-11-13T01:36:00Z</dcterms:created>
  <dc:creator>Administrator</dc:creator>
  <cp:lastModifiedBy>木棉花</cp:lastModifiedBy>
  <dcterms:modified xsi:type="dcterms:W3CDTF">2026-03-16T00:36:00Z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FDBDE564888849A18486D5327169B936_13</vt:lpwstr>
  </property>
  <property fmtid="{D5CDD505-2E9C-101B-9397-08002B2CF9AE}" pid="4" name="KSOTemplateDocerSaveRecord">
    <vt:lpwstr>eyJoZGlkIjoiZmE1ZWRkYmVkNDNhNWJhMDBmYTQxM2Q3NTkwZTcyYmMiLCJ1c2VySWQiOiI3NDgyOTQ2ODUifQ==</vt:lpwstr>
  </property>
</Properties>
</file>