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2C" w:rsidRDefault="00AC2260">
      <w:pPr>
        <w:spacing w:line="560" w:lineRule="exact"/>
        <w:jc w:val="center"/>
        <w:rPr>
          <w:rFonts w:ascii="方正小标宋简体" w:eastAsia="方正小标宋简体" w:hAnsi="SimSun" w:cs="SimHei"/>
          <w:sz w:val="44"/>
          <w:szCs w:val="44"/>
          <w:lang/>
        </w:rPr>
      </w:pPr>
      <w:r>
        <w:rPr>
          <w:rFonts w:ascii="方正小标宋简体" w:eastAsia="方正小标宋简体" w:hAnsi="SimSun" w:cs="SimHei" w:hint="eastAsia"/>
          <w:sz w:val="44"/>
          <w:szCs w:val="44"/>
          <w:lang/>
        </w:rPr>
        <w:t>国家税务总局三门峡市陕州区税务局</w:t>
      </w:r>
    </w:p>
    <w:p w:rsidR="00543C2C" w:rsidRDefault="00AC2260">
      <w:pPr>
        <w:spacing w:line="560" w:lineRule="exact"/>
        <w:jc w:val="center"/>
        <w:rPr>
          <w:rFonts w:ascii="方正小标宋简体" w:eastAsia="方正小标宋简体" w:hAnsi="SimSun" w:cs="SimHei"/>
          <w:sz w:val="44"/>
          <w:szCs w:val="44"/>
          <w:lang/>
        </w:rPr>
      </w:pPr>
      <w:r>
        <w:rPr>
          <w:rFonts w:ascii="方正小标宋简体" w:eastAsia="方正小标宋简体" w:hAnsi="SimSun" w:cs="SimHei" w:hint="eastAsia"/>
          <w:sz w:val="44"/>
          <w:szCs w:val="44"/>
          <w:lang/>
        </w:rPr>
        <w:t>202</w:t>
      </w:r>
      <w:r w:rsidR="00DB7F7F">
        <w:rPr>
          <w:rFonts w:ascii="方正小标宋简体" w:eastAsia="方正小标宋简体" w:hAnsi="SimSun" w:cs="SimHei" w:hint="eastAsia"/>
          <w:sz w:val="44"/>
          <w:szCs w:val="44"/>
          <w:lang/>
        </w:rPr>
        <w:t>5</w:t>
      </w:r>
      <w:r>
        <w:rPr>
          <w:rFonts w:ascii="方正小标宋简体" w:eastAsia="方正小标宋简体" w:hAnsi="SimSun" w:cs="SimHei" w:hint="eastAsia"/>
          <w:sz w:val="44"/>
          <w:szCs w:val="44"/>
          <w:lang/>
        </w:rPr>
        <w:t>年度法治政府建设情况报告</w:t>
      </w:r>
    </w:p>
    <w:p w:rsidR="00543C2C" w:rsidRDefault="00543C2C">
      <w:pPr>
        <w:spacing w:line="560" w:lineRule="exact"/>
        <w:jc w:val="center"/>
        <w:rPr>
          <w:rFonts w:ascii="方正小标宋简体" w:eastAsia="方正小标宋简体" w:hAnsi="SimHei" w:cs="SimHei"/>
          <w:sz w:val="44"/>
          <w:szCs w:val="44"/>
        </w:rPr>
      </w:pP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202</w:t>
      </w:r>
      <w:r w:rsidR="00DB7F7F">
        <w:rPr>
          <w:rFonts w:ascii="FangSong_GB2312" w:hAnsi="FangSong_GB2312" w:cs="FangSong_GB2312" w:hint="eastAsia"/>
          <w:szCs w:val="32"/>
        </w:rPr>
        <w:t>5</w:t>
      </w:r>
      <w:r>
        <w:rPr>
          <w:rFonts w:ascii="FangSong_GB2312" w:hAnsi="FangSong_GB2312" w:cs="FangSong_GB2312" w:hint="eastAsia"/>
          <w:szCs w:val="32"/>
        </w:rPr>
        <w:t>年，国家税务总局三门峡市陕州区税务局</w:t>
      </w:r>
      <w:r>
        <w:rPr>
          <w:rFonts w:ascii="FangSong_GB2312" w:hAnsi="FangSong_GB2312" w:cs="FangSong_GB2312" w:hint="eastAsia"/>
          <w:szCs w:val="32"/>
        </w:rPr>
        <w:t>（以下简称陕州区税务局）</w:t>
      </w:r>
      <w:r>
        <w:rPr>
          <w:rFonts w:ascii="FangSong_GB2312" w:hAnsi="FangSong_GB2312" w:cs="FangSong_GB2312" w:hint="eastAsia"/>
          <w:szCs w:val="32"/>
        </w:rPr>
        <w:t>在</w:t>
      </w:r>
      <w:r>
        <w:rPr>
          <w:rFonts w:ascii="FangSong_GB2312" w:hAnsi="FangSong_GB2312" w:cs="FangSong_GB2312" w:hint="eastAsia"/>
          <w:szCs w:val="32"/>
        </w:rPr>
        <w:t>国家税务总局</w:t>
      </w:r>
      <w:r>
        <w:rPr>
          <w:rFonts w:ascii="FangSong_GB2312" w:hAnsi="FangSong_GB2312" w:cs="FangSong_GB2312" w:hint="eastAsia"/>
          <w:szCs w:val="32"/>
        </w:rPr>
        <w:t>三门峡市税</w:t>
      </w:r>
      <w:r>
        <w:rPr>
          <w:rFonts w:ascii="FangSong_GB2312" w:hAnsi="FangSong_GB2312" w:cs="FangSong_GB2312" w:hint="eastAsia"/>
          <w:szCs w:val="32"/>
        </w:rPr>
        <w:t>务局和陕州区委、区政府的正确领导下，</w:t>
      </w:r>
      <w:r>
        <w:rPr>
          <w:rFonts w:ascii="FangSong_GB2312" w:hAnsi="FangSong_GB2312" w:cs="FangSong_GB2312"/>
          <w:szCs w:val="32"/>
        </w:rPr>
        <w:t>紧紧围绕法治政府建设总体要求，深入贯彻落实各项决策部署，将依法行政贯穿税收工作始终，积极推进智慧税务创新，不断提升税收治理能力和服务水平，法治政府建设取得显著成效。现将</w:t>
      </w:r>
      <w:r>
        <w:rPr>
          <w:rFonts w:ascii="FangSong_GB2312" w:hAnsi="FangSong_GB2312" w:cs="FangSong_GB2312" w:hint="eastAsia"/>
          <w:szCs w:val="32"/>
        </w:rPr>
        <w:t>202</w:t>
      </w:r>
      <w:r w:rsidR="00DB7F7F">
        <w:rPr>
          <w:rFonts w:ascii="FangSong_GB2312" w:hAnsi="FangSong_GB2312" w:cs="FangSong_GB2312" w:hint="eastAsia"/>
          <w:szCs w:val="32"/>
        </w:rPr>
        <w:t>5</w:t>
      </w:r>
      <w:r>
        <w:rPr>
          <w:rFonts w:ascii="FangSong_GB2312" w:hAnsi="FangSong_GB2312" w:cs="FangSong_GB2312"/>
          <w:szCs w:val="32"/>
        </w:rPr>
        <w:t>年度法治政府建设情况报告如下</w:t>
      </w:r>
      <w:r>
        <w:rPr>
          <w:rFonts w:ascii="FangSong_GB2312" w:hAnsi="FangSong_GB2312" w:cs="FangSong_GB2312" w:hint="eastAsia"/>
          <w:szCs w:val="32"/>
        </w:rPr>
        <w:t>：</w:t>
      </w:r>
    </w:p>
    <w:p w:rsidR="00543C2C" w:rsidRDefault="00AC2260">
      <w:pPr>
        <w:numPr>
          <w:ilvl w:val="0"/>
          <w:numId w:val="1"/>
        </w:numPr>
        <w:spacing w:line="560" w:lineRule="exact"/>
        <w:ind w:firstLineChars="200" w:firstLine="640"/>
        <w:textAlignment w:val="baseline"/>
        <w:rPr>
          <w:rFonts w:ascii="SimHei" w:eastAsia="SimHei" w:hAnsi="SimHei"/>
          <w:szCs w:val="32"/>
        </w:rPr>
      </w:pPr>
      <w:r>
        <w:rPr>
          <w:rFonts w:ascii="SimHei" w:eastAsia="SimHei" w:hAnsi="SimHei" w:hint="eastAsia"/>
          <w:szCs w:val="32"/>
        </w:rPr>
        <w:t>法治政府建设工作基本情况</w:t>
      </w:r>
    </w:p>
    <w:p w:rsidR="00543C2C" w:rsidRDefault="00AC2260">
      <w:pPr>
        <w:widowControl w:val="0"/>
        <w:numPr>
          <w:ilvl w:val="0"/>
          <w:numId w:val="2"/>
        </w:numPr>
        <w:overflowPunct/>
        <w:autoSpaceDE/>
        <w:autoSpaceDN/>
        <w:snapToGrid w:val="0"/>
        <w:spacing w:line="560" w:lineRule="exact"/>
        <w:ind w:firstLineChars="200" w:firstLine="640"/>
        <w:textAlignment w:val="baseline"/>
        <w:rPr>
          <w:rFonts w:ascii="KaiTi_GB2312" w:eastAsia="KaiTi_GB2312" w:hAnsi="KaiTi_GB2312" w:cs="KaiTi_GB2312"/>
          <w:szCs w:val="32"/>
        </w:rPr>
      </w:pPr>
      <w:r>
        <w:rPr>
          <w:rFonts w:ascii="KaiTi_GB2312" w:eastAsia="KaiTi_GB2312" w:hAnsi="KaiTi_GB2312" w:cs="KaiTi_GB2312" w:hint="eastAsia"/>
          <w:szCs w:val="32"/>
        </w:rPr>
        <w:t>深入学习贯彻习近平法治思想</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陕州区税务局深入</w:t>
      </w:r>
      <w:r>
        <w:rPr>
          <w:rFonts w:ascii="FangSong_GB2312" w:hAnsi="FangSong_GB2312" w:cs="FangSong_GB2312" w:hint="eastAsia"/>
          <w:szCs w:val="32"/>
        </w:rPr>
        <w:t>学习贯彻习近平法治思想，推进新时代法治税务建设，着力提高税收工作法治化水平和执法公信力。</w:t>
      </w:r>
      <w:r>
        <w:rPr>
          <w:rFonts w:ascii="FangSong_GB2312" w:hAnsi="FangSong_GB2312" w:cs="FangSong_GB2312"/>
          <w:szCs w:val="32"/>
        </w:rPr>
        <w:t>将</w:t>
      </w:r>
      <w:r>
        <w:rPr>
          <w:rFonts w:ascii="FangSong_GB2312" w:hAnsi="FangSong_GB2312" w:cs="FangSong_GB2312" w:hint="eastAsia"/>
          <w:szCs w:val="32"/>
        </w:rPr>
        <w:t>党的二十大和二十届二中、三中全会精神和</w:t>
      </w:r>
      <w:r>
        <w:rPr>
          <w:rFonts w:ascii="FangSong_GB2312" w:hAnsi="FangSong_GB2312" w:cs="FangSong_GB2312"/>
          <w:szCs w:val="32"/>
        </w:rPr>
        <w:t>习近平法治思想纳入干部培训计划，</w:t>
      </w:r>
      <w:r>
        <w:rPr>
          <w:rFonts w:ascii="FangSong_GB2312" w:hAnsi="FangSong_GB2312" w:cs="FangSong_GB2312" w:hint="eastAsia"/>
          <w:szCs w:val="32"/>
        </w:rPr>
        <w:t>线上与线下</w:t>
      </w:r>
      <w:r>
        <w:rPr>
          <w:rFonts w:ascii="FangSong_GB2312" w:hAnsi="FangSong_GB2312" w:cs="FangSong_GB2312" w:hint="eastAsia"/>
          <w:szCs w:val="32"/>
        </w:rPr>
        <w:t>相结合，实现学习培训全覆盖。加大对税务干部的法治培训力度，提高税务干部的法治意识和执法水平。</w:t>
      </w:r>
    </w:p>
    <w:p w:rsidR="00543C2C" w:rsidRDefault="00AC2260">
      <w:pPr>
        <w:numPr>
          <w:ilvl w:val="0"/>
          <w:numId w:val="2"/>
        </w:numPr>
        <w:shd w:val="clear" w:color="auto" w:fill="FFFFFF"/>
        <w:ind w:firstLineChars="200" w:firstLine="640"/>
        <w:jc w:val="left"/>
        <w:rPr>
          <w:rFonts w:ascii="KaiTi_GB2312" w:eastAsia="KaiTi_GB2312" w:hAnsi="KaiTi_GB2312" w:cs="KaiTi_GB2312"/>
          <w:kern w:val="2"/>
          <w:szCs w:val="32"/>
        </w:rPr>
      </w:pPr>
      <w:r>
        <w:rPr>
          <w:rFonts w:ascii="KaiTi_GB2312" w:eastAsia="KaiTi_GB2312" w:hAnsi="KaiTi_GB2312" w:cs="KaiTi_GB2312" w:hint="eastAsia"/>
          <w:kern w:val="2"/>
          <w:szCs w:val="32"/>
        </w:rPr>
        <w:t>健全政府机构职能体系，依法全面履行税收工作职</w:t>
      </w:r>
      <w:r>
        <w:rPr>
          <w:rFonts w:ascii="KaiTi_GB2312" w:eastAsia="KaiTi_GB2312" w:hAnsi="KaiTi_GB2312" w:cs="KaiTi_GB2312" w:hint="eastAsia"/>
          <w:kern w:val="2"/>
          <w:szCs w:val="32"/>
        </w:rPr>
        <w:t>能</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szCs w:val="32"/>
        </w:rPr>
        <w:t>严守组织收入原则，坚决不收</w:t>
      </w:r>
      <w:r>
        <w:rPr>
          <w:rFonts w:ascii="FangSong_GB2312" w:hAnsi="FangSong_GB2312" w:cs="FangSong_GB2312"/>
          <w:szCs w:val="32"/>
        </w:rPr>
        <w:t>“</w:t>
      </w:r>
      <w:r>
        <w:rPr>
          <w:rFonts w:ascii="FangSong_GB2312" w:hAnsi="FangSong_GB2312" w:cs="FangSong_GB2312"/>
          <w:szCs w:val="32"/>
        </w:rPr>
        <w:t>过头税费</w:t>
      </w:r>
      <w:r>
        <w:rPr>
          <w:rFonts w:ascii="FangSong_GB2312" w:hAnsi="FangSong_GB2312" w:cs="FangSong_GB2312" w:hint="eastAsia"/>
          <w:szCs w:val="32"/>
        </w:rPr>
        <w:t>”，</w:t>
      </w:r>
      <w:r>
        <w:rPr>
          <w:rFonts w:ascii="FangSong_GB2312" w:hAnsi="FangSong_GB2312" w:cs="FangSong_GB2312"/>
          <w:szCs w:val="32"/>
        </w:rPr>
        <w:t>严格依据税收法律法规组织收入。建立收入质量监控机制，定期对税收收入数据进行分析评估，确保收入质量真实可靠。</w:t>
      </w:r>
      <w:r>
        <w:rPr>
          <w:rFonts w:ascii="FangSong_GB2312" w:hAnsi="FangSong_GB2312" w:cs="FangSong_GB2312" w:hint="eastAsia"/>
          <w:szCs w:val="32"/>
        </w:rPr>
        <w:t>全面落实减税降费政策，对内开展业务培训，对外创新宣传方式，扩大宣传面，确保</w:t>
      </w:r>
      <w:r>
        <w:rPr>
          <w:rFonts w:ascii="FangSong_GB2312" w:hAnsi="FangSong_GB2312" w:cs="FangSong_GB2312" w:hint="eastAsia"/>
          <w:szCs w:val="32"/>
        </w:rPr>
        <w:lastRenderedPageBreak/>
        <w:t>减税降费政策落实到位。推进“放管服”改革，优化纳税服务。深入开展“便民办税春风行动”“高效办成一件事”、税务服务“六进”活动，</w:t>
      </w:r>
      <w:r>
        <w:rPr>
          <w:rFonts w:ascii="FangSong_GB2312" w:hAnsi="FangSong_GB2312" w:cs="FangSong_GB2312" w:hint="eastAsia"/>
          <w:szCs w:val="32"/>
        </w:rPr>
        <w:t>解决纳税人缴费人在办税过程中的堵点、痛点、难点问题。推进办税便利化，严格落实“最多跑一次”清单制度，持续优化税收营商环境</w:t>
      </w:r>
      <w:r>
        <w:rPr>
          <w:rFonts w:ascii="FangSong_GB2312" w:hAnsi="FangSong_GB2312" w:cs="FangSong_GB2312" w:hint="eastAsia"/>
          <w:szCs w:val="32"/>
        </w:rPr>
        <w:t>，</w:t>
      </w:r>
      <w:r>
        <w:rPr>
          <w:rFonts w:ascii="FangSong_GB2312" w:hAnsi="FangSong_GB2312" w:cs="FangSong_GB2312" w:hint="eastAsia"/>
          <w:szCs w:val="32"/>
        </w:rPr>
        <w:t>为企业发展提供源源不断的税动力。</w:t>
      </w:r>
    </w:p>
    <w:p w:rsidR="00543C2C" w:rsidRDefault="00AC2260">
      <w:pPr>
        <w:numPr>
          <w:ilvl w:val="0"/>
          <w:numId w:val="2"/>
        </w:numPr>
        <w:shd w:val="clear" w:color="auto" w:fill="FFFFFF"/>
        <w:ind w:firstLineChars="200" w:firstLine="640"/>
        <w:jc w:val="left"/>
        <w:rPr>
          <w:rFonts w:ascii="KaiTi_GB2312" w:eastAsia="KaiTi_GB2312" w:hAnsi="KaiTi_GB2312" w:cs="KaiTi_GB2312"/>
          <w:kern w:val="2"/>
          <w:szCs w:val="32"/>
        </w:rPr>
      </w:pPr>
      <w:r>
        <w:rPr>
          <w:rFonts w:ascii="KaiTi_GB2312" w:eastAsia="KaiTi_GB2312" w:hAnsi="KaiTi_GB2312" w:cs="KaiTi_GB2312" w:hint="eastAsia"/>
          <w:kern w:val="2"/>
          <w:szCs w:val="32"/>
        </w:rPr>
        <w:t>健全依法行政制度体系，提高税收制度建设质量</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认真落实陕州区税务局全面依法行政工作领导小组会议制度及议事规则，听取依法行政工作情况汇报，分析研判当前形势，加强</w:t>
      </w:r>
      <w:r>
        <w:rPr>
          <w:rFonts w:ascii="FangSong_GB2312" w:hAnsi="FangSong_GB2312" w:cs="FangSong_GB2312" w:hint="eastAsia"/>
          <w:szCs w:val="32"/>
        </w:rPr>
        <w:t>工作统筹，</w:t>
      </w:r>
      <w:r>
        <w:rPr>
          <w:rFonts w:ascii="FangSong_GB2312" w:hAnsi="FangSong_GB2312" w:cs="FangSong_GB2312"/>
          <w:szCs w:val="32"/>
        </w:rPr>
        <w:t>研究解决工作中的重点难点问题</w:t>
      </w:r>
      <w:r>
        <w:rPr>
          <w:rFonts w:ascii="FangSong_GB2312" w:hAnsi="FangSong_GB2312" w:cs="FangSong_GB2312" w:hint="eastAsia"/>
          <w:szCs w:val="32"/>
        </w:rPr>
        <w:t>，保障依法行政工作顺利推进。认真开展</w:t>
      </w:r>
      <w:r>
        <w:rPr>
          <w:rFonts w:ascii="FangSong_GB2312" w:hAnsi="FangSong_GB2312" w:cs="FangSong_GB2312" w:hint="eastAsia"/>
          <w:szCs w:val="32"/>
        </w:rPr>
        <w:t>202</w:t>
      </w:r>
      <w:r w:rsidR="00DB7F7F">
        <w:rPr>
          <w:rFonts w:ascii="FangSong_GB2312" w:hAnsi="FangSong_GB2312" w:cs="FangSong_GB2312" w:hint="eastAsia"/>
          <w:szCs w:val="32"/>
        </w:rPr>
        <w:t>5</w:t>
      </w:r>
      <w:r>
        <w:rPr>
          <w:rFonts w:ascii="FangSong_GB2312" w:hAnsi="FangSong_GB2312" w:cs="FangSong_GB2312" w:hint="eastAsia"/>
          <w:szCs w:val="32"/>
        </w:rPr>
        <w:t>年度税收规范性文件清理工作，经排查，未发现有需要清理的文件。</w:t>
      </w:r>
    </w:p>
    <w:p w:rsidR="00543C2C" w:rsidRDefault="00AC2260">
      <w:pPr>
        <w:spacing w:line="560" w:lineRule="exact"/>
        <w:ind w:firstLineChars="200" w:firstLine="640"/>
        <w:rPr>
          <w:rFonts w:ascii="KaiTi_GB2312" w:eastAsia="KaiTi_GB2312" w:hAnsi="KaiTi_GB2312" w:cs="KaiTi_GB2312"/>
          <w:szCs w:val="32"/>
        </w:rPr>
      </w:pPr>
      <w:r>
        <w:rPr>
          <w:rFonts w:ascii="KaiTi_GB2312" w:eastAsia="KaiTi_GB2312" w:hAnsi="KaiTi_GB2312" w:cs="KaiTi_GB2312" w:hint="eastAsia"/>
          <w:szCs w:val="32"/>
        </w:rPr>
        <w:t>（四）健全行政决策制度体系，推进依法科学民主决策</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严格依法决策，落实重大决策合法性审查制度。</w:t>
      </w:r>
      <w:r>
        <w:rPr>
          <w:rFonts w:ascii="FangSong_GB2312" w:hAnsi="FangSong_GB2312" w:cs="FangSong_GB2312"/>
          <w:szCs w:val="32"/>
        </w:rPr>
        <w:t>严格遵循《重大行政决策程序暂行条例》，对重大行政决策事项，在决策前进行充分调研论证，广泛听取其他政府部门、基层税务分局、纳税人代表等意见建议。建立健全重大决策合法性审查机制，充分发挥公职律师和法律顾问在决策中的作用，为决策提供专业法律支持。</w:t>
      </w:r>
    </w:p>
    <w:p w:rsidR="00543C2C" w:rsidRDefault="00AC2260">
      <w:pPr>
        <w:numPr>
          <w:ilvl w:val="0"/>
          <w:numId w:val="3"/>
        </w:numPr>
        <w:spacing w:line="560" w:lineRule="exact"/>
        <w:ind w:firstLineChars="200" w:firstLine="640"/>
        <w:rPr>
          <w:rFonts w:ascii="KaiTi_GB2312" w:eastAsia="KaiTi_GB2312" w:hAnsi="KaiTi_GB2312" w:cs="KaiTi_GB2312"/>
          <w:szCs w:val="32"/>
        </w:rPr>
      </w:pPr>
      <w:r>
        <w:rPr>
          <w:rFonts w:ascii="KaiTi_GB2312" w:eastAsia="KaiTi_GB2312" w:hAnsi="KaiTi_GB2312" w:cs="KaiTi_GB2312" w:hint="eastAsia"/>
          <w:szCs w:val="32"/>
        </w:rPr>
        <w:t>健全行政执法工作体系，严格规范公正</w:t>
      </w:r>
      <w:r>
        <w:rPr>
          <w:rFonts w:ascii="KaiTi_GB2312" w:eastAsia="KaiTi_GB2312" w:hAnsi="KaiTi_GB2312" w:cs="KaiTi_GB2312" w:hint="eastAsia"/>
          <w:szCs w:val="32"/>
        </w:rPr>
        <w:t>文明执法</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严格按照法定程序实施税收执法行为，确保执法程序合法规范。坚持把“三项制度”工作与推进“放管服”改革、优化营商环境等重点工作相结合，不断提高执法公信力。持续落实税务行</w:t>
      </w:r>
      <w:r>
        <w:rPr>
          <w:rFonts w:ascii="FangSong_GB2312" w:hAnsi="FangSong_GB2312" w:cs="FangSong_GB2312" w:hint="eastAsia"/>
          <w:szCs w:val="32"/>
        </w:rPr>
        <w:lastRenderedPageBreak/>
        <w:t>政处罚“首违不罚”事项清单，</w:t>
      </w:r>
      <w:r>
        <w:rPr>
          <w:rFonts w:ascii="FangSong_GB2312" w:hAnsi="FangSong_GB2312" w:cs="FangSong_GB2312"/>
          <w:szCs w:val="32"/>
        </w:rPr>
        <w:t>同时，通过案例指导、定期培训等方式，规范</w:t>
      </w:r>
      <w:r>
        <w:rPr>
          <w:rFonts w:ascii="FangSong_GB2312" w:hAnsi="FangSong_GB2312" w:cs="FangSong_GB2312" w:hint="eastAsia"/>
          <w:szCs w:val="32"/>
        </w:rPr>
        <w:t>行使</w:t>
      </w:r>
      <w:r>
        <w:rPr>
          <w:rFonts w:ascii="FangSong_GB2312" w:hAnsi="FangSong_GB2312" w:cs="FangSong_GB2312"/>
          <w:szCs w:val="32"/>
        </w:rPr>
        <w:t>税务行政处罚自由裁量权</w:t>
      </w:r>
      <w:r>
        <w:rPr>
          <w:rFonts w:ascii="FangSong_GB2312" w:hAnsi="FangSong_GB2312" w:cs="FangSong_GB2312" w:hint="eastAsia"/>
          <w:szCs w:val="32"/>
        </w:rPr>
        <w:t>。做好执法案卷评查工作，找准行政执法中存在的普遍性、倾向性问题，对案卷评查中发现的问题及时予以整改。严格规范公正文明执法，确保各项税收执法行为执法主体适当、违法事实确凿、处罚依据准确、陈述申辩完整、执法程序规范。</w:t>
      </w:r>
    </w:p>
    <w:p w:rsidR="00543C2C" w:rsidRDefault="00AC2260">
      <w:pPr>
        <w:numPr>
          <w:ilvl w:val="0"/>
          <w:numId w:val="3"/>
        </w:numPr>
        <w:spacing w:line="560" w:lineRule="exact"/>
        <w:ind w:firstLineChars="200" w:firstLine="640"/>
        <w:rPr>
          <w:rFonts w:ascii="KaiTi_GB2312" w:eastAsia="KaiTi_GB2312" w:hAnsi="KaiTi_GB2312" w:cs="KaiTi_GB2312"/>
          <w:szCs w:val="32"/>
        </w:rPr>
      </w:pPr>
      <w:r>
        <w:rPr>
          <w:rFonts w:ascii="KaiTi_GB2312" w:eastAsia="KaiTi_GB2312" w:hAnsi="KaiTi_GB2312" w:cs="KaiTi_GB2312" w:hint="eastAsia"/>
          <w:szCs w:val="32"/>
        </w:rPr>
        <w:t>健全突发事件应对体系，依法预防</w:t>
      </w:r>
      <w:r>
        <w:rPr>
          <w:rFonts w:ascii="KaiTi_GB2312" w:eastAsia="KaiTi_GB2312" w:hAnsi="KaiTi_GB2312" w:cs="KaiTi_GB2312" w:hint="eastAsia"/>
          <w:szCs w:val="32"/>
        </w:rPr>
        <w:t>处置重大突发事</w:t>
      </w:r>
      <w:r>
        <w:rPr>
          <w:rFonts w:ascii="KaiTi_GB2312" w:eastAsia="KaiTi_GB2312" w:hAnsi="KaiTi_GB2312" w:cs="KaiTi_GB2312" w:hint="eastAsia"/>
          <w:szCs w:val="32"/>
        </w:rPr>
        <w:t>件</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坚持运用法治思维和法治方式应对突发事件，加强突发事件监测预警、信息报告、应急响应、恢复重建、调查评估等机制建设，提高突发事件依法处置水平。</w:t>
      </w:r>
      <w:r>
        <w:rPr>
          <w:rFonts w:ascii="FangSong_GB2312" w:hAnsi="FangSong_GB2312" w:cs="FangSong_GB2312"/>
          <w:szCs w:val="32"/>
        </w:rPr>
        <w:t>加强突发事件监测预警，利用大数据、舆情监测系统等手段，及时掌握可能引发突发事件的风险信息。密切关注社会舆情和纳税人诉求，加强与宣传、网信等部门的沟通协作，形成舆情应对合力</w:t>
      </w:r>
      <w:r>
        <w:rPr>
          <w:rFonts w:ascii="FangSong_GB2312" w:hAnsi="FangSong_GB2312" w:cs="FangSong_GB2312" w:hint="eastAsia"/>
          <w:szCs w:val="32"/>
        </w:rPr>
        <w:t>，做好舆情研判和应对处置，加强突发事件信息公开和危机沟通，完善公共舆情应对机制。</w:t>
      </w:r>
    </w:p>
    <w:p w:rsidR="00543C2C" w:rsidRDefault="00AC2260">
      <w:pPr>
        <w:numPr>
          <w:ilvl w:val="0"/>
          <w:numId w:val="3"/>
        </w:numPr>
        <w:shd w:val="clear" w:color="auto" w:fill="FFFFFF"/>
        <w:ind w:firstLineChars="200" w:firstLine="640"/>
        <w:jc w:val="left"/>
        <w:rPr>
          <w:rFonts w:ascii="KaiTi_GB2312" w:eastAsia="KaiTi_GB2312" w:hAnsi="KaiTi_GB2312" w:cs="KaiTi_GB2312"/>
          <w:szCs w:val="32"/>
        </w:rPr>
      </w:pPr>
      <w:r>
        <w:rPr>
          <w:rFonts w:ascii="KaiTi_GB2312" w:eastAsia="KaiTi_GB2312" w:hAnsi="KaiTi_GB2312" w:cs="KaiTi_GB2312" w:hint="eastAsia"/>
          <w:szCs w:val="32"/>
        </w:rPr>
        <w:t>健全社会矛盾纠纷行政预防调处化解体系，完善权利救济和纠纷化解机制</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认真做好复议应诉工作，保障纳税人缴费人合法权益。</w:t>
      </w:r>
      <w:r w:rsidR="00DB7F7F">
        <w:rPr>
          <w:rFonts w:ascii="FangSong_GB2312" w:hAnsi="FangSong_GB2312" w:cs="FangSong_GB2312" w:hint="eastAsia"/>
          <w:szCs w:val="32"/>
        </w:rPr>
        <w:t>5</w:t>
      </w:r>
      <w:r>
        <w:rPr>
          <w:rFonts w:ascii="FangSong_GB2312" w:hAnsi="FangSong_GB2312" w:cs="FangSong_GB2312" w:hint="eastAsia"/>
          <w:szCs w:val="32"/>
        </w:rPr>
        <w:t>办税服务厅设立税费矛盾争议调解室，成立“青蓝先锋”服务团队，积极推动税费争议化解工作，建立起“小事不出分局，大事不出县局”的就地化解机制，切实将矛盾发现在基层，稳控在基层，化解在基层。</w:t>
      </w:r>
    </w:p>
    <w:p w:rsidR="00543C2C" w:rsidRDefault="00AC2260">
      <w:pPr>
        <w:spacing w:line="560" w:lineRule="exact"/>
        <w:ind w:leftChars="100" w:left="320" w:firstLineChars="100" w:firstLine="320"/>
        <w:rPr>
          <w:rFonts w:ascii="KaiTi_GB2312" w:eastAsia="KaiTi_GB2312" w:hAnsi="KaiTi_GB2312" w:cs="KaiTi_GB2312"/>
          <w:szCs w:val="32"/>
        </w:rPr>
      </w:pPr>
      <w:r>
        <w:rPr>
          <w:rFonts w:ascii="KaiTi_GB2312" w:eastAsia="KaiTi_GB2312" w:hAnsi="KaiTi_GB2312" w:cs="KaiTi_GB2312" w:hint="eastAsia"/>
          <w:szCs w:val="32"/>
        </w:rPr>
        <w:t>（八）健全行政权</w:t>
      </w:r>
      <w:r>
        <w:rPr>
          <w:rFonts w:ascii="KaiTi_GB2312" w:eastAsia="KaiTi_GB2312" w:hAnsi="KaiTi_GB2312" w:cs="KaiTi_GB2312" w:hint="eastAsia"/>
          <w:szCs w:val="32"/>
        </w:rPr>
        <w:t>力</w:t>
      </w:r>
      <w:r>
        <w:rPr>
          <w:rFonts w:ascii="KaiTi_GB2312" w:eastAsia="KaiTi_GB2312" w:hAnsi="KaiTi_GB2312" w:cs="KaiTi_GB2312" w:hint="eastAsia"/>
          <w:szCs w:val="32"/>
        </w:rPr>
        <w:t>制约和监督体系，全面推进政务公开</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lastRenderedPageBreak/>
        <w:t>坚持“以公开为常态</w:t>
      </w:r>
      <w:bookmarkStart w:id="0" w:name="_GoBack"/>
      <w:bookmarkEnd w:id="0"/>
      <w:r>
        <w:rPr>
          <w:rFonts w:ascii="FangSong_GB2312" w:hAnsi="FangSong_GB2312" w:cs="FangSong_GB2312" w:hint="eastAsia"/>
          <w:szCs w:val="32"/>
        </w:rPr>
        <w:t>，不公开为例外”的原则，成立政务公开领导小组，由局长负总责，明确一位班子成员进行分管，明</w:t>
      </w:r>
      <w:r>
        <w:rPr>
          <w:rFonts w:ascii="FangSong_GB2312" w:hAnsi="FangSong_GB2312" w:cs="FangSong_GB2312" w:hint="eastAsia"/>
          <w:szCs w:val="32"/>
        </w:rPr>
        <w:t>确工作职责，</w:t>
      </w:r>
      <w:r>
        <w:rPr>
          <w:rFonts w:ascii="FangSong_GB2312" w:hAnsi="FangSong_GB2312" w:cs="FangSong_GB2312"/>
          <w:szCs w:val="32"/>
        </w:rPr>
        <w:t>规范公开流程</w:t>
      </w:r>
      <w:r>
        <w:rPr>
          <w:rFonts w:ascii="FangSong_GB2312" w:hAnsi="FangSong_GB2312" w:cs="FangSong_GB2312" w:hint="eastAsia"/>
          <w:szCs w:val="32"/>
        </w:rPr>
        <w:t>，构建服务型税务政务公开体系，依法依规做好政务信息公开工作，为纳税人提供及时、有效的政务信息，主动接受社会各界和纳税人监督。</w:t>
      </w:r>
      <w:r>
        <w:rPr>
          <w:rFonts w:ascii="FangSong_GB2312" w:hAnsi="FangSong_GB2312" w:cs="FangSong_GB2312"/>
          <w:szCs w:val="32"/>
        </w:rPr>
        <w:t>加强内部监督，建立健全廉政风险防控机制，对税收执法、行政管理等重点领域和关键环节进行风险排查和防控。同时，主动接受人大、政协、审计等外部监督，积极配合各项监督检查工作，对发现的问题及时整改落实。</w:t>
      </w:r>
    </w:p>
    <w:p w:rsidR="00543C2C" w:rsidRDefault="00AC2260">
      <w:pPr>
        <w:spacing w:line="560" w:lineRule="exact"/>
        <w:ind w:firstLineChars="200" w:firstLine="640"/>
      </w:pPr>
      <w:r>
        <w:rPr>
          <w:rFonts w:ascii="KaiTi_GB2312" w:eastAsia="KaiTi_GB2312" w:hAnsi="KaiTi_GB2312" w:cs="KaiTi_GB2312" w:hint="eastAsia"/>
          <w:szCs w:val="32"/>
        </w:rPr>
        <w:t>（九）</w:t>
      </w:r>
      <w:r>
        <w:rPr>
          <w:rFonts w:ascii="KaiTi_GB2312" w:eastAsia="KaiTi_GB2312" w:hAnsi="KaiTi_GB2312" w:cs="KaiTi_GB2312" w:hint="eastAsia"/>
          <w:szCs w:val="32"/>
        </w:rPr>
        <w:t>健全法治政府建设科技保障体系，推进智慧税务创新落实</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202</w:t>
      </w:r>
      <w:r w:rsidR="00DB7F7F">
        <w:rPr>
          <w:rFonts w:ascii="FangSong_GB2312" w:hAnsi="FangSong_GB2312" w:cs="FangSong_GB2312" w:hint="eastAsia"/>
          <w:szCs w:val="32"/>
        </w:rPr>
        <w:t>5</w:t>
      </w:r>
      <w:r>
        <w:rPr>
          <w:rFonts w:ascii="FangSong_GB2312" w:hAnsi="FangSong_GB2312" w:cs="FangSong_GB2312" w:hint="eastAsia"/>
          <w:szCs w:val="32"/>
        </w:rPr>
        <w:t>年新电子税务局上线运行，深化拓展了“非接触式”办税缴费服务事项，真正让纳税人多走“网路”，少跑“马路”</w:t>
      </w:r>
      <w:r>
        <w:rPr>
          <w:rFonts w:ascii="FangSong_GB2312" w:hAnsi="FangSong_GB2312" w:cs="FangSong_GB2312" w:hint="eastAsia"/>
          <w:szCs w:val="32"/>
        </w:rPr>
        <w:t>。</w:t>
      </w:r>
      <w:r>
        <w:rPr>
          <w:rFonts w:ascii="FangSong_GB2312" w:hAnsi="FangSong_GB2312" w:cs="FangSong_GB2312"/>
          <w:szCs w:val="32"/>
        </w:rPr>
        <w:t>积极推进</w:t>
      </w:r>
      <w:r>
        <w:rPr>
          <w:rFonts w:ascii="FangSong_GB2312" w:hAnsi="FangSong_GB2312" w:cs="FangSong_GB2312"/>
          <w:szCs w:val="32"/>
        </w:rPr>
        <w:t>“</w:t>
      </w:r>
      <w:r>
        <w:rPr>
          <w:rFonts w:ascii="FangSong_GB2312" w:hAnsi="FangSong_GB2312" w:cs="FangSong_GB2312"/>
          <w:szCs w:val="32"/>
        </w:rPr>
        <w:t>互联网</w:t>
      </w:r>
      <w:r>
        <w:rPr>
          <w:rFonts w:ascii="FangSong_GB2312" w:hAnsi="FangSong_GB2312" w:cs="FangSong_GB2312"/>
          <w:szCs w:val="32"/>
        </w:rPr>
        <w:t xml:space="preserve"> + </w:t>
      </w:r>
      <w:r>
        <w:rPr>
          <w:rFonts w:ascii="FangSong_GB2312" w:hAnsi="FangSong_GB2312" w:cs="FangSong_GB2312"/>
          <w:szCs w:val="32"/>
        </w:rPr>
        <w:t>税务</w:t>
      </w:r>
      <w:r>
        <w:rPr>
          <w:rFonts w:ascii="FangSong_GB2312" w:hAnsi="FangSong_GB2312" w:cs="FangSong_GB2312"/>
          <w:szCs w:val="32"/>
        </w:rPr>
        <w:t>”</w:t>
      </w:r>
      <w:r>
        <w:rPr>
          <w:rFonts w:ascii="FangSong_GB2312" w:hAnsi="FangSong_GB2312" w:cs="FangSong_GB2312"/>
          <w:szCs w:val="32"/>
        </w:rPr>
        <w:t>建设，深化税收大数据应用。通过对税收数据的分析挖掘，实现对纳税人的精准画像和风险预警，为税收征管和纳税服务提供数据支撑。</w:t>
      </w:r>
      <w:r>
        <w:rPr>
          <w:rFonts w:ascii="FangSong_GB2312" w:hAnsi="FangSong_GB2312" w:cs="FangSong_GB2312" w:hint="eastAsia"/>
          <w:szCs w:val="32"/>
        </w:rPr>
        <w:t>深入推进“互联网</w:t>
      </w:r>
      <w:r>
        <w:rPr>
          <w:rFonts w:ascii="FangSong_GB2312" w:hAnsi="FangSong_GB2312" w:cs="FangSong_GB2312" w:hint="eastAsia"/>
          <w:szCs w:val="32"/>
        </w:rPr>
        <w:t>+</w:t>
      </w:r>
      <w:r>
        <w:rPr>
          <w:rFonts w:ascii="FangSong_GB2312" w:hAnsi="FangSong_GB2312" w:cs="FangSong_GB2312" w:hint="eastAsia"/>
          <w:szCs w:val="32"/>
        </w:rPr>
        <w:t>”监管执法，加强信息化技术、装备的配置和应用，积极推进智慧执法。</w:t>
      </w:r>
    </w:p>
    <w:p w:rsidR="00543C2C" w:rsidRDefault="00AC2260" w:rsidP="00DB7F7F">
      <w:pPr>
        <w:spacing w:line="560" w:lineRule="exact"/>
        <w:ind w:leftChars="200" w:left="640"/>
        <w:rPr>
          <w:rFonts w:ascii="KaiTi_GB2312" w:eastAsia="KaiTi_GB2312" w:hAnsi="KaiTi_GB2312" w:cs="KaiTi_GB2312"/>
          <w:szCs w:val="32"/>
        </w:rPr>
      </w:pPr>
      <w:r>
        <w:rPr>
          <w:rFonts w:ascii="KaiTi_GB2312" w:eastAsia="KaiTi_GB2312" w:hAnsi="KaiTi_GB2312" w:cs="KaiTi_GB2312" w:hint="eastAsia"/>
          <w:szCs w:val="32"/>
        </w:rPr>
        <w:t>（十）加强党的领导，健全依法行政领导体制机制</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加强全面依法行政工作领导小组建设，由区局局长担任组长，其他班子成员任副组长，各股室、税务分局负责人为成员。</w:t>
      </w:r>
      <w:r>
        <w:rPr>
          <w:rFonts w:ascii="FangSong_GB2312" w:hAnsi="FangSong_GB2312" w:cs="FangSong_GB2312"/>
          <w:szCs w:val="32"/>
        </w:rPr>
        <w:t>领导小组定期召开会议，研究部署依法行政工作，协调解决工作</w:t>
      </w:r>
      <w:r>
        <w:rPr>
          <w:rFonts w:ascii="FangSong_GB2312" w:hAnsi="FangSong_GB2312" w:cs="FangSong_GB2312"/>
          <w:szCs w:val="32"/>
        </w:rPr>
        <w:lastRenderedPageBreak/>
        <w:t>中的重大问题。领导小组办公室设在法制股，具体负责组织协调和督促检查工作</w:t>
      </w:r>
      <w:r>
        <w:rPr>
          <w:rFonts w:ascii="FangSong_GB2312" w:hAnsi="FangSong_GB2312" w:cs="FangSong_GB2312"/>
          <w:szCs w:val="32"/>
        </w:rPr>
        <w:t>，确保依法行政工作有序推进。</w:t>
      </w:r>
      <w:r>
        <w:rPr>
          <w:rFonts w:ascii="FangSong_GB2312" w:hAnsi="FangSong_GB2312" w:cs="FangSong_GB2312" w:hint="eastAsia"/>
          <w:szCs w:val="32"/>
        </w:rPr>
        <w:t>建立税务机关领导干部学法制度。由领导干部带头学法，</w:t>
      </w:r>
      <w:r>
        <w:rPr>
          <w:rFonts w:ascii="FangSong_GB2312" w:hAnsi="FangSong_GB2312" w:cs="FangSong_GB2312"/>
          <w:szCs w:val="32"/>
        </w:rPr>
        <w:t>带头参加法律知识培训和考试，发挥示范引领作用，营造全局全员学法用法的良好氛围</w:t>
      </w:r>
      <w:r>
        <w:rPr>
          <w:rFonts w:ascii="FangSong_GB2312" w:hAnsi="FangSong_GB2312" w:cs="FangSong_GB2312" w:hint="eastAsia"/>
          <w:szCs w:val="32"/>
        </w:rPr>
        <w:t>。牢固树立“法无授权不可为、法定职责必须为”的理念，</w:t>
      </w:r>
      <w:r>
        <w:rPr>
          <w:rFonts w:ascii="FangSong_GB2312" w:hAnsi="FangSong_GB2312" w:cs="FangSong_GB2312"/>
          <w:szCs w:val="32"/>
        </w:rPr>
        <w:t>推进税收法治化建设。</w:t>
      </w:r>
    </w:p>
    <w:p w:rsidR="00543C2C" w:rsidRDefault="00AC2260">
      <w:pPr>
        <w:tabs>
          <w:tab w:val="left" w:pos="7700"/>
          <w:tab w:val="right" w:pos="8500"/>
        </w:tabs>
        <w:snapToGrid w:val="0"/>
        <w:spacing w:line="560" w:lineRule="exact"/>
        <w:ind w:firstLineChars="200" w:firstLine="640"/>
        <w:jc w:val="left"/>
        <w:rPr>
          <w:rFonts w:ascii="FangSong_GB2312" w:hAnsi="FangSong_GB2312" w:cs="FangSong_GB2312"/>
          <w:szCs w:val="32"/>
        </w:rPr>
      </w:pPr>
      <w:r>
        <w:rPr>
          <w:rFonts w:ascii="SimHei" w:eastAsia="SimHei" w:hAnsi="SimHei" w:hint="eastAsia"/>
          <w:szCs w:val="32"/>
        </w:rPr>
        <w:t>二、推进法治政府建设工作中存在的问题</w:t>
      </w:r>
      <w:r>
        <w:rPr>
          <w:rFonts w:ascii="SimHei" w:eastAsia="SimHei" w:hAnsi="SimHei" w:hint="eastAsia"/>
          <w:szCs w:val="32"/>
        </w:rPr>
        <w:t xml:space="preserve"> </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陕州区税务局法治政府建设工作稳步推进，</w:t>
      </w:r>
      <w:r>
        <w:rPr>
          <w:rFonts w:ascii="FangSong_GB2312" w:hAnsi="FangSong_GB2312" w:cs="FangSong_GB2312"/>
          <w:szCs w:val="32"/>
        </w:rPr>
        <w:t>但与新时代法治政府建设要求和税收现代化目标相比，仍存在一些差距和不足：</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一是</w:t>
      </w:r>
      <w:r>
        <w:rPr>
          <w:rFonts w:ascii="FangSong_GB2312" w:hAnsi="FangSong_GB2312" w:cs="FangSong_GB2312"/>
          <w:szCs w:val="32"/>
        </w:rPr>
        <w:t>税收法</w:t>
      </w:r>
      <w:r>
        <w:rPr>
          <w:rFonts w:ascii="FangSong_GB2312" w:hAnsi="FangSong_GB2312" w:cs="FangSong_GB2312" w:hint="eastAsia"/>
          <w:szCs w:val="32"/>
        </w:rPr>
        <w:t>治</w:t>
      </w:r>
      <w:r>
        <w:rPr>
          <w:rFonts w:ascii="FangSong_GB2312" w:hAnsi="FangSong_GB2312" w:cs="FangSong_GB2312"/>
          <w:szCs w:val="32"/>
        </w:rPr>
        <w:t>宣传工作的针对性和实效性还需增强。目前的宣传方式主要以集中宣传、线上推送为主，对不同类型纳税人的个性化需求关注不够</w:t>
      </w:r>
      <w:r>
        <w:rPr>
          <w:rFonts w:ascii="FangSong_GB2312" w:hAnsi="FangSong_GB2312" w:cs="FangSong_GB2312" w:hint="eastAsia"/>
          <w:szCs w:val="32"/>
        </w:rPr>
        <w:t>，</w:t>
      </w:r>
      <w:r>
        <w:rPr>
          <w:rFonts w:ascii="FangSong_GB2312" w:hAnsi="FangSong_GB2312" w:cs="FangSong_GB2312"/>
          <w:szCs w:val="32"/>
        </w:rPr>
        <w:t>部分纳</w:t>
      </w:r>
      <w:r>
        <w:rPr>
          <w:rFonts w:ascii="FangSong_GB2312" w:hAnsi="FangSong_GB2312" w:cs="FangSong_GB2312"/>
          <w:szCs w:val="32"/>
        </w:rPr>
        <w:t>税人对税收政策知晓度不高。</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二是</w:t>
      </w:r>
      <w:r>
        <w:rPr>
          <w:rFonts w:ascii="FangSong_GB2312" w:hAnsi="FangSong_GB2312" w:cs="FangSong_GB2312"/>
          <w:szCs w:val="32"/>
        </w:rPr>
        <w:t>智慧税务建设仍面临一些挑战。虽然在</w:t>
      </w:r>
      <w:r>
        <w:rPr>
          <w:rFonts w:ascii="FangSong_GB2312" w:hAnsi="FangSong_GB2312" w:cs="FangSong_GB2312"/>
          <w:szCs w:val="32"/>
        </w:rPr>
        <w:t>“</w:t>
      </w:r>
      <w:r>
        <w:rPr>
          <w:rFonts w:ascii="FangSong_GB2312" w:hAnsi="FangSong_GB2312" w:cs="FangSong_GB2312"/>
          <w:szCs w:val="32"/>
        </w:rPr>
        <w:t>非接触式办税</w:t>
      </w:r>
      <w:r>
        <w:rPr>
          <w:rFonts w:ascii="FangSong_GB2312" w:hAnsi="FangSong_GB2312" w:cs="FangSong_GB2312"/>
          <w:szCs w:val="32"/>
        </w:rPr>
        <w:t>”</w:t>
      </w:r>
      <w:r>
        <w:rPr>
          <w:rFonts w:ascii="FangSong_GB2312" w:hAnsi="FangSong_GB2312" w:cs="FangSong_GB2312"/>
          <w:szCs w:val="32"/>
        </w:rPr>
        <w:t>、税收大数据应用等方面取得了一定进展，</w:t>
      </w:r>
      <w:r>
        <w:rPr>
          <w:rFonts w:ascii="FangSong_GB2312" w:hAnsi="FangSong_GB2312" w:cs="FangSong_GB2312"/>
          <w:szCs w:val="32"/>
        </w:rPr>
        <w:t>但</w:t>
      </w:r>
      <w:r>
        <w:rPr>
          <w:rFonts w:ascii="FangSong_GB2312" w:hAnsi="FangSong_GB2312" w:cs="FangSong_GB2312"/>
          <w:szCs w:val="32"/>
        </w:rPr>
        <w:t>在数据共享、系统整合等方面还存在不足</w:t>
      </w:r>
      <w:r>
        <w:rPr>
          <w:rFonts w:ascii="FangSong_GB2312" w:hAnsi="FangSong_GB2312" w:cs="FangSong_GB2312" w:hint="eastAsia"/>
          <w:szCs w:val="32"/>
        </w:rPr>
        <w:t>，</w:t>
      </w:r>
      <w:r>
        <w:rPr>
          <w:rFonts w:ascii="FangSong_GB2312" w:hAnsi="FangSong_GB2312" w:cs="FangSong_GB2312"/>
          <w:szCs w:val="32"/>
        </w:rPr>
        <w:t>智慧税务建设的整体效能</w:t>
      </w:r>
      <w:r>
        <w:rPr>
          <w:rFonts w:ascii="FangSong_GB2312" w:hAnsi="FangSong_GB2312" w:cs="FangSong_GB2312" w:hint="eastAsia"/>
          <w:szCs w:val="32"/>
        </w:rPr>
        <w:t>有待进一步提升</w:t>
      </w:r>
      <w:r>
        <w:rPr>
          <w:rFonts w:ascii="FangSong_GB2312" w:hAnsi="FangSong_GB2312" w:cs="FangSong_GB2312"/>
          <w:szCs w:val="32"/>
        </w:rPr>
        <w:t>。</w:t>
      </w:r>
    </w:p>
    <w:p w:rsidR="00543C2C" w:rsidRDefault="00AC2260">
      <w:pPr>
        <w:tabs>
          <w:tab w:val="left" w:pos="7700"/>
          <w:tab w:val="right" w:pos="8500"/>
        </w:tabs>
        <w:snapToGrid w:val="0"/>
        <w:spacing w:line="560" w:lineRule="exact"/>
        <w:ind w:firstLineChars="200" w:firstLine="640"/>
        <w:jc w:val="left"/>
        <w:rPr>
          <w:rFonts w:ascii="SimHei" w:eastAsia="SimHei" w:hAnsi="SimHei"/>
          <w:szCs w:val="32"/>
        </w:rPr>
      </w:pPr>
      <w:r>
        <w:rPr>
          <w:rFonts w:ascii="SimHei" w:eastAsia="SimHei" w:hAnsi="SimHei" w:hint="eastAsia"/>
          <w:szCs w:val="32"/>
        </w:rPr>
        <w:t>三、</w:t>
      </w:r>
      <w:r>
        <w:rPr>
          <w:rFonts w:ascii="SimHei" w:eastAsia="SimHei" w:hAnsi="SimHei" w:hint="eastAsia"/>
          <w:szCs w:val="32"/>
        </w:rPr>
        <w:t>202</w:t>
      </w:r>
      <w:r w:rsidR="00DB7F7F">
        <w:rPr>
          <w:rFonts w:ascii="SimHei" w:eastAsia="SimHei" w:hAnsi="SimHei" w:hint="eastAsia"/>
          <w:szCs w:val="32"/>
        </w:rPr>
        <w:t>6</w:t>
      </w:r>
      <w:r>
        <w:rPr>
          <w:rFonts w:ascii="SimHei" w:eastAsia="SimHei" w:hAnsi="SimHei" w:hint="eastAsia"/>
          <w:szCs w:val="32"/>
        </w:rPr>
        <w:t>年工作打算</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szCs w:val="32"/>
        </w:rPr>
        <w:t>202</w:t>
      </w:r>
      <w:r w:rsidR="00DB7F7F">
        <w:rPr>
          <w:rFonts w:ascii="FangSong_GB2312" w:hAnsi="FangSong_GB2312" w:cs="FangSong_GB2312" w:hint="eastAsia"/>
          <w:szCs w:val="32"/>
        </w:rPr>
        <w:t>6</w:t>
      </w:r>
      <w:r>
        <w:rPr>
          <w:rFonts w:ascii="FangSong_GB2312" w:hAnsi="FangSong_GB2312" w:cs="FangSong_GB2312"/>
          <w:szCs w:val="32"/>
        </w:rPr>
        <w:t>年，我局将继续坚持以习近平法治思想为指导，深入贯彻落实</w:t>
      </w:r>
      <w:r>
        <w:rPr>
          <w:rFonts w:ascii="FangSong_GB2312" w:hAnsi="FangSong_GB2312" w:cs="FangSong_GB2312" w:hint="eastAsia"/>
          <w:szCs w:val="32"/>
        </w:rPr>
        <w:t>党的</w:t>
      </w:r>
      <w:r>
        <w:rPr>
          <w:rFonts w:ascii="FangSong_GB2312" w:hAnsi="FangSong_GB2312" w:cs="FangSong_GB2312" w:hint="eastAsia"/>
          <w:szCs w:val="32"/>
        </w:rPr>
        <w:t>二十大和二十届二中、三中全会精神</w:t>
      </w:r>
      <w:r>
        <w:rPr>
          <w:rFonts w:ascii="FangSong_GB2312" w:hAnsi="FangSong_GB2312" w:cs="FangSong_GB2312"/>
          <w:szCs w:val="32"/>
        </w:rPr>
        <w:t>，按照上级税务部门和区委、区政府的工作部署，围绕高质量推进新时代税收现代化目标，持续加强法治政府建设</w:t>
      </w:r>
      <w:r>
        <w:rPr>
          <w:rFonts w:ascii="FangSong_GB2312" w:hAnsi="FangSong_GB2312" w:cs="FangSong_GB2312" w:hint="eastAsia"/>
          <w:szCs w:val="32"/>
        </w:rPr>
        <w:t>。结合税务工作实际，做实做细法治队伍建设、执法风险防范、智慧税务建设、普法长效机制</w:t>
      </w:r>
      <w:r>
        <w:rPr>
          <w:rFonts w:ascii="FangSong_GB2312" w:hAnsi="FangSong_GB2312" w:cs="FangSong_GB2312" w:hint="eastAsia"/>
          <w:szCs w:val="32"/>
        </w:rPr>
        <w:lastRenderedPageBreak/>
        <w:t>建设等重点工作，</w:t>
      </w:r>
      <w:r>
        <w:rPr>
          <w:rFonts w:ascii="FangSong_GB2312" w:hAnsi="FangSong_GB2312" w:cs="FangSong_GB2312"/>
          <w:szCs w:val="32"/>
        </w:rPr>
        <w:t>不断提升法治政府建设水平，为地方经济社会发展提供更加坚实的税收法治保障，推动税收事业高质量发展，努力开创陕州税务法治政府建设新局面。</w:t>
      </w:r>
    </w:p>
    <w:p w:rsidR="00543C2C" w:rsidRDefault="00543C2C">
      <w:pPr>
        <w:spacing w:line="560" w:lineRule="exact"/>
        <w:ind w:firstLineChars="200" w:firstLine="640"/>
        <w:rPr>
          <w:rFonts w:ascii="FangSong_GB2312" w:hAnsi="FangSong_GB2312" w:cs="FangSong_GB2312"/>
          <w:szCs w:val="32"/>
        </w:rPr>
      </w:pPr>
    </w:p>
    <w:p w:rsidR="00543C2C" w:rsidRDefault="00543C2C">
      <w:pPr>
        <w:pStyle w:val="NormalIndent1"/>
        <w:rPr>
          <w:rFonts w:ascii="FangSong_GB2312" w:hAnsi="FangSong_GB2312" w:cs="FangSong_GB2312"/>
          <w:szCs w:val="32"/>
        </w:rPr>
      </w:pPr>
    </w:p>
    <w:p w:rsidR="00543C2C" w:rsidRDefault="00AC2260">
      <w:pPr>
        <w:spacing w:line="560" w:lineRule="exact"/>
        <w:ind w:firstLineChars="1100" w:firstLine="3520"/>
        <w:rPr>
          <w:rFonts w:ascii="FangSong_GB2312" w:hAnsi="FangSong_GB2312" w:cs="FangSong_GB2312"/>
          <w:szCs w:val="32"/>
        </w:rPr>
      </w:pPr>
      <w:r>
        <w:rPr>
          <w:rFonts w:ascii="FangSong_GB2312" w:hAnsi="FangSong_GB2312" w:cs="FangSong_GB2312" w:hint="eastAsia"/>
          <w:szCs w:val="32"/>
        </w:rPr>
        <w:t>国家税务总局三门峡市陕州区税务局</w:t>
      </w:r>
    </w:p>
    <w:p w:rsidR="00543C2C" w:rsidRDefault="00AC2260">
      <w:pPr>
        <w:spacing w:line="560" w:lineRule="exact"/>
        <w:ind w:firstLineChars="200" w:firstLine="640"/>
        <w:rPr>
          <w:rFonts w:ascii="FangSong_GB2312" w:hAnsi="FangSong_GB2312" w:cs="FangSong_GB2312"/>
          <w:szCs w:val="32"/>
        </w:rPr>
      </w:pPr>
      <w:r>
        <w:rPr>
          <w:rFonts w:ascii="FangSong_GB2312" w:hAnsi="FangSong_GB2312" w:cs="FangSong_GB2312" w:hint="eastAsia"/>
          <w:szCs w:val="32"/>
        </w:rPr>
        <w:t xml:space="preserve">                           202</w:t>
      </w:r>
      <w:r w:rsidR="00DB7F7F">
        <w:rPr>
          <w:rFonts w:ascii="FangSong_GB2312" w:hAnsi="FangSong_GB2312" w:cs="FangSong_GB2312" w:hint="eastAsia"/>
          <w:szCs w:val="32"/>
        </w:rPr>
        <w:t>6</w:t>
      </w:r>
      <w:r>
        <w:rPr>
          <w:rFonts w:ascii="FangSong_GB2312" w:hAnsi="FangSong_GB2312" w:cs="FangSong_GB2312" w:hint="eastAsia"/>
          <w:szCs w:val="32"/>
        </w:rPr>
        <w:t>年</w:t>
      </w:r>
      <w:r w:rsidR="00DB7F7F">
        <w:rPr>
          <w:rFonts w:ascii="FangSong_GB2312" w:hAnsi="FangSong_GB2312" w:cs="FangSong_GB2312" w:hint="eastAsia"/>
          <w:szCs w:val="32"/>
        </w:rPr>
        <w:t>1</w:t>
      </w:r>
      <w:r>
        <w:rPr>
          <w:rFonts w:ascii="FangSong_GB2312" w:hAnsi="FangSong_GB2312" w:cs="FangSong_GB2312" w:hint="eastAsia"/>
          <w:szCs w:val="32"/>
        </w:rPr>
        <w:t>月</w:t>
      </w:r>
      <w:r w:rsidR="00976D98">
        <w:rPr>
          <w:rFonts w:ascii="FangSong_GB2312" w:hAnsi="FangSong_GB2312" w:cs="FangSong_GB2312" w:hint="eastAsia"/>
          <w:szCs w:val="32"/>
        </w:rPr>
        <w:t>15</w:t>
      </w:r>
      <w:r>
        <w:rPr>
          <w:rFonts w:ascii="FangSong_GB2312" w:hAnsi="FangSong_GB2312" w:cs="FangSong_GB2312" w:hint="eastAsia"/>
          <w:szCs w:val="32"/>
        </w:rPr>
        <w:t>日</w:t>
      </w:r>
    </w:p>
    <w:sectPr w:rsidR="00543C2C" w:rsidSect="00543C2C">
      <w:footerReference w:type="default" r:id="rId8"/>
      <w:pgSz w:w="11906" w:h="16838"/>
      <w:pgMar w:top="2098" w:right="1531" w:bottom="2098" w:left="1531" w:header="0" w:footer="14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260" w:rsidRDefault="00AC2260" w:rsidP="00543C2C">
      <w:r>
        <w:separator/>
      </w:r>
    </w:p>
  </w:endnote>
  <w:endnote w:type="continuationSeparator" w:id="1">
    <w:p w:rsidR="00AC2260" w:rsidRDefault="00AC2260" w:rsidP="00543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default"/>
    <w:sig w:usb0="800002BF" w:usb1="38CF7CFA"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2C" w:rsidRDefault="00543C2C">
    <w:pPr>
      <w:pStyle w:val="a3"/>
      <w:tabs>
        <w:tab w:val="clear" w:pos="4153"/>
        <w:tab w:val="clear" w:pos="8306"/>
        <w:tab w:val="right" w:pos="8844"/>
      </w:tabs>
    </w:pPr>
    <w:r>
      <w:pict>
        <v:shapetype id="_x0000_t202" coordsize="21600,21600" o:spt="202" path="m,l,21600r21600,l21600,xe">
          <v:stroke joinstyle="miter"/>
          <v:path gradientshapeok="t" o:connecttype="rect"/>
        </v:shapetype>
        <v:shape id="_x0000_s1026" type="#_x0000_t202" style="position:absolute;margin-left:56.9pt;margin-top:-.75pt;width:96.9pt;height:2in;z-index:251659264;mso-position-horizontal:outside;mso-position-horizontal-relative:margin" o:gfxdata="UEsDBAoAAAAAAIdO4kAAAAAAAAAAAAAAAAAEAAAAZHJzL1BLAwQUAAAACACHTuJAs1E9M9QAAAAH&#10;AQAADwAAAGRycy9kb3ducmV2LnhtbE2PMU/DMBSEdyT+g/WQWFDrOKhRG/LSAcHCRunC5saPJMJ+&#10;jmI3Cf31uBOMpzvdfVftF2fFRGPoPSOodQaCuPGm5xbh+PG62oIIUbPR1jMh/FCAfX17U+nS+Jnf&#10;aTrEVqQSDqVG6GIcSilD05HTYe0H4uR9+dHpmOTYSjPqOZU7K/MsK6TTPaeFTg/03FHzfTg7hGJ5&#10;GR7edpTPl8ZO/HlRKpJCvL9T2ROISEv8C8MVP6FDnZhO/swmCIuQjkSEldqAuLq7x3TkhJBviw3I&#10;upL/+etfUEsDBBQAAAAIAIdO4kAMRoW+qgEAAD8DAAAOAAAAZHJzL2Uyb0RvYy54bWytUktuGzEM&#10;3RfIHQTtY40dIDAGHgctghQFijZA0gPIGskjQD+Ismd8gfYGXXXTfc/lc4SSx3Y+u6AbiSKpx8dH&#10;Lm4Ga8hWRtDeNXQ6qSiRTvhWu3VDfzzeXc4pgcRdy413sqE7CfRmefFh0YdaznznTSsjQRAHdR8a&#10;2qUUasZAdNJymPggHQaVj5YnfMY1ayPvEd0aNquqa9b72IbohQRA7+0hSJcFXykp0nelQCZiGorc&#10;UjljOVf5ZMsFr9eRh06LkQZ/BwvLtcOiJ6hbnjjZRP0GymoRPXiVJsJb5pXSQpYesJtp9aqbh44H&#10;WXpBcSCcZIL/Byu+be8j0S3OjhLHLY5o//vX/s+//d+fZJrl6QPUmPUQMC8Nn/yQU0c/oDN3Paho&#10;8439EIyj0LuTuHJIRORPs6vq+gpDAmPT+Ww+r4r87Pw9REifpbckGw2NOL0iKt9+hYQlMfWYkqs5&#10;f6eNKRM07oUDE7OHZe4HjtlKw2oYia98u8N+zBeHWua9OBrxaKyOxiZEve7K4uQaED5uEhYufDLq&#10;AWoshlMqNMeNymvw/F2yznu/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UT0z1AAAAAcBAAAP&#10;AAAAAAAAAAEAIAAAACIAAABkcnMvZG93bnJldi54bWxQSwECFAAUAAAACACHTuJADEaFvqoBAAA/&#10;AwAADgAAAAAAAAABACAAAAAjAQAAZHJzL2Uyb0RvYy54bWxQSwUGAAAAAAYABgBZAQAAPwUAAAAA&#10;" filled="f" stroked="f">
          <v:textbox style="mso-fit-shape-to-text:t" inset="0,0,0,0">
            <w:txbxContent>
              <w:p w:rsidR="00543C2C" w:rsidRDefault="00AC2260">
                <w:pPr>
                  <w:pStyle w:val="a3"/>
                  <w:ind w:firstLineChars="200" w:firstLine="560"/>
                  <w:rPr>
                    <w:rFonts w:ascii="SimSun" w:eastAsia="SimSun" w:hAnsi="SimSun" w:cs="SimSun"/>
                    <w:sz w:val="28"/>
                    <w:szCs w:val="28"/>
                  </w:rPr>
                </w:pPr>
                <w:r>
                  <w:rPr>
                    <w:rFonts w:ascii="SimSun" w:eastAsia="SimSun" w:hAnsi="SimSun" w:cs="SimSun" w:hint="eastAsia"/>
                    <w:sz w:val="28"/>
                    <w:szCs w:val="28"/>
                  </w:rPr>
                  <w:t>—</w:t>
                </w:r>
                <w:r>
                  <w:rPr>
                    <w:rFonts w:ascii="SimSun" w:eastAsia="SimSun" w:hAnsi="SimSun" w:cs="SimSun" w:hint="eastAsia"/>
                    <w:sz w:val="28"/>
                    <w:szCs w:val="28"/>
                  </w:rPr>
                  <w:t xml:space="preserve"> </w:t>
                </w:r>
                <w:r w:rsidR="00543C2C">
                  <w:rPr>
                    <w:rFonts w:ascii="SimSun" w:eastAsia="SimSun" w:hAnsi="SimSun" w:cs="SimSun" w:hint="eastAsia"/>
                    <w:sz w:val="28"/>
                    <w:szCs w:val="28"/>
                  </w:rPr>
                  <w:fldChar w:fldCharType="begin"/>
                </w:r>
                <w:r>
                  <w:rPr>
                    <w:rFonts w:ascii="SimSun" w:eastAsia="SimSun" w:hAnsi="SimSun" w:cs="SimSun" w:hint="eastAsia"/>
                    <w:sz w:val="28"/>
                    <w:szCs w:val="28"/>
                  </w:rPr>
                  <w:instrText xml:space="preserve"> PAGE  \* MERGEFORMAT </w:instrText>
                </w:r>
                <w:r w:rsidR="00543C2C">
                  <w:rPr>
                    <w:rFonts w:ascii="SimSun" w:eastAsia="SimSun" w:hAnsi="SimSun" w:cs="SimSun" w:hint="eastAsia"/>
                    <w:sz w:val="28"/>
                    <w:szCs w:val="28"/>
                  </w:rPr>
                  <w:fldChar w:fldCharType="separate"/>
                </w:r>
                <w:r w:rsidR="00976D98">
                  <w:rPr>
                    <w:rFonts w:ascii="SimSun" w:eastAsia="SimSun" w:hAnsi="SimSun" w:cs="SimSun"/>
                    <w:noProof/>
                    <w:sz w:val="28"/>
                    <w:szCs w:val="28"/>
                  </w:rPr>
                  <w:t>6</w:t>
                </w:r>
                <w:r w:rsidR="00543C2C">
                  <w:rPr>
                    <w:rFonts w:ascii="SimSun" w:eastAsia="SimSun" w:hAnsi="SimSun" w:cs="SimSun" w:hint="eastAsia"/>
                    <w:sz w:val="28"/>
                    <w:szCs w:val="28"/>
                  </w:rPr>
                  <w:fldChar w:fldCharType="end"/>
                </w:r>
                <w:r>
                  <w:rPr>
                    <w:rFonts w:ascii="SimSun" w:eastAsia="SimSun" w:hAnsi="SimSun" w:cs="SimSun" w:hint="eastAsia"/>
                    <w:sz w:val="28"/>
                    <w:szCs w:val="28"/>
                  </w:rPr>
                  <w:t xml:space="preserve"> </w:t>
                </w:r>
                <w:r>
                  <w:rPr>
                    <w:rFonts w:ascii="SimSun" w:eastAsia="SimSun" w:hAnsi="SimSun" w:cs="SimSu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260" w:rsidRDefault="00AC2260" w:rsidP="00543C2C">
      <w:r>
        <w:separator/>
      </w:r>
    </w:p>
  </w:footnote>
  <w:footnote w:type="continuationSeparator" w:id="1">
    <w:p w:rsidR="00AC2260" w:rsidRDefault="00AC2260" w:rsidP="00543C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044474"/>
    <w:multiLevelType w:val="singleLevel"/>
    <w:tmpl w:val="83044474"/>
    <w:lvl w:ilvl="0">
      <w:start w:val="1"/>
      <w:numFmt w:val="chineseCounting"/>
      <w:suff w:val="nothing"/>
      <w:lvlText w:val="%1、"/>
      <w:lvlJc w:val="left"/>
      <w:rPr>
        <w:rFonts w:hint="eastAsia"/>
      </w:rPr>
    </w:lvl>
  </w:abstractNum>
  <w:abstractNum w:abstractNumId="1">
    <w:nsid w:val="F38CE4E1"/>
    <w:multiLevelType w:val="singleLevel"/>
    <w:tmpl w:val="F38CE4E1"/>
    <w:lvl w:ilvl="0">
      <w:start w:val="5"/>
      <w:numFmt w:val="chineseCounting"/>
      <w:suff w:val="nothing"/>
      <w:lvlText w:val="（%1）"/>
      <w:lvlJc w:val="left"/>
      <w:rPr>
        <w:rFonts w:hint="eastAsia"/>
      </w:rPr>
    </w:lvl>
  </w:abstractNum>
  <w:abstractNum w:abstractNumId="2">
    <w:nsid w:val="7FE06282"/>
    <w:multiLevelType w:val="singleLevel"/>
    <w:tmpl w:val="7FE06282"/>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28575B"/>
    <w:rsid w:val="EDEEF895"/>
    <w:rsid w:val="FBFD113B"/>
    <w:rsid w:val="002C40D4"/>
    <w:rsid w:val="00543C2C"/>
    <w:rsid w:val="00976D98"/>
    <w:rsid w:val="00985B3D"/>
    <w:rsid w:val="00AC2260"/>
    <w:rsid w:val="00DB7F7F"/>
    <w:rsid w:val="0CCF23C0"/>
    <w:rsid w:val="1028575B"/>
    <w:rsid w:val="1ADC34A6"/>
    <w:rsid w:val="263C0B18"/>
    <w:rsid w:val="27004D03"/>
    <w:rsid w:val="29952396"/>
    <w:rsid w:val="4BE42158"/>
    <w:rsid w:val="4F3076EC"/>
    <w:rsid w:val="642A3C9B"/>
    <w:rsid w:val="6FC77012"/>
    <w:rsid w:val="73315F8E"/>
    <w:rsid w:val="75934D00"/>
    <w:rsid w:val="75C83BF3"/>
    <w:rsid w:val="7E3F0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543C2C"/>
    <w:pPr>
      <w:overflowPunct w:val="0"/>
      <w:autoSpaceDE w:val="0"/>
      <w:autoSpaceDN w:val="0"/>
      <w:adjustRightInd w:val="0"/>
      <w:jc w:val="both"/>
    </w:pPr>
    <w:rPr>
      <w:rFonts w:ascii="Times New Roman" w:eastAsia="FangSong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1"/>
    <w:next w:val="a"/>
    <w:qFormat/>
    <w:rsid w:val="00543C2C"/>
    <w:pPr>
      <w:suppressAutoHyphens/>
      <w:spacing w:line="660" w:lineRule="exact"/>
      <w:ind w:firstLineChars="200" w:firstLine="720"/>
    </w:pPr>
    <w:rPr>
      <w:rFonts w:eastAsia="KaiTi_GB2312"/>
      <w:sz w:val="36"/>
      <w:szCs w:val="36"/>
    </w:rPr>
  </w:style>
  <w:style w:type="paragraph" w:customStyle="1" w:styleId="1">
    <w:name w:val="正文1"/>
    <w:next w:val="NormalIndent1"/>
    <w:qFormat/>
    <w:rsid w:val="00543C2C"/>
    <w:pPr>
      <w:widowControl w:val="0"/>
      <w:jc w:val="both"/>
    </w:pPr>
    <w:rPr>
      <w:rFonts w:ascii="Calibri" w:eastAsia="SimSun" w:hAnsi="Calibri" w:cs="Times New Roman"/>
      <w:kern w:val="2"/>
      <w:sz w:val="21"/>
      <w:szCs w:val="24"/>
    </w:rPr>
  </w:style>
  <w:style w:type="paragraph" w:styleId="a3">
    <w:name w:val="footer"/>
    <w:basedOn w:val="a"/>
    <w:qFormat/>
    <w:rsid w:val="00543C2C"/>
    <w:pPr>
      <w:tabs>
        <w:tab w:val="center" w:pos="4153"/>
        <w:tab w:val="right" w:pos="8306"/>
      </w:tabs>
      <w:snapToGrid w:val="0"/>
      <w:jc w:val="left"/>
    </w:pPr>
    <w:rPr>
      <w:sz w:val="18"/>
    </w:rPr>
  </w:style>
  <w:style w:type="paragraph" w:styleId="a4">
    <w:name w:val="header"/>
    <w:basedOn w:val="a"/>
    <w:link w:val="Char"/>
    <w:rsid w:val="00DB7F7F"/>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rsid w:val="00DB7F7F"/>
    <w:rPr>
      <w:rFonts w:ascii="Times New Roman" w:eastAsia="FangSong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421</Words>
  <Characters>2400</Characters>
  <Application>Microsoft Office Word</Application>
  <DocSecurity>0</DocSecurity>
  <Lines>20</Lines>
  <Paragraphs>5</Paragraphs>
  <ScaleCrop>false</ScaleCrop>
  <Company>微软中国</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2025-02-25T18:44:00Z</dcterms:created>
  <dcterms:modified xsi:type="dcterms:W3CDTF">2026-01-30T00:27:00Z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