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8A1EC47">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中华人民共和国法治宣传教育法</w:t>
      </w:r>
    </w:p>
    <w:p w14:paraId="3B920401">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（2025年9月12日第十四届全国人民代表大会常务委员会第十七次会议通过）</w:t>
      </w:r>
    </w:p>
    <w:p w14:paraId="5583D60E">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3838FE6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社会法治宣传教育</w:t>
      </w:r>
    </w:p>
    <w:p w14:paraId="5548EC8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国家工作人员法治宣传教育</w:t>
      </w:r>
    </w:p>
    <w:p w14:paraId="71C89F3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青少年法治宣传教育</w:t>
      </w:r>
    </w:p>
    <w:p w14:paraId="121DF83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保障与监督</w:t>
      </w:r>
    </w:p>
    <w:p w14:paraId="32EA706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法律责任</w:t>
      </w:r>
    </w:p>
    <w:p w14:paraId="0C6B4AB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附　　则</w:t>
      </w:r>
    </w:p>
    <w:p w14:paraId="35F7441E">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53CB472F">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为了加强法治宣传教育，提升全民法治素养和社会治理法治化水平，形成全社会尊法学法守法用法的良好氛围，夯实全面依法治国的社会基础，推动建设更高水平的社会主义法治国家，根据宪法，制定本法。</w:t>
      </w:r>
    </w:p>
    <w:p w14:paraId="2DCD58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法治宣传教育坚持中国共产党的领导，坚持以马克思列宁主义、毛泽东思想、邓小平理论、“三个代表”重要思想、科学发展观、习近平新时代中国特色社会主义思想为指导，贯彻习近平法治思想，弘扬社会主义法治精神，推动法治成为社会共识和基本准则，为全面建设社会主义现代化国家营造良好法治环境。</w:t>
      </w:r>
    </w:p>
    <w:p w14:paraId="625525D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法治宣传教育坚持以人民为中心、服务大局、守正创新，坚持与依法治理、法治实践相融合，坚持依法治国和以德治国相结合，坚持依法治国和依规治党有机统一，践行社会主义核心价值观，健全党委领导、人大监督、政府主导、各方协同、社会参与的工作机制。</w:t>
      </w:r>
    </w:p>
    <w:p w14:paraId="148A47C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国家实行公民终身法治教育制度，将法治教育纳入国民教育、干部教育、社会教育体系。</w:t>
      </w:r>
    </w:p>
    <w:p w14:paraId="2133066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法治宣传教育的主要内容包括：</w:t>
      </w:r>
    </w:p>
    <w:p w14:paraId="346D16D3">
      <w:pPr>
        <w:ind w:firstLine="632" w:firstLineChars="200"/>
        <w:rPr>
          <w:rFonts w:ascii="Times New Roman" w:hAnsi="Times New Roman" w:cs="仿宋_GB2312"/>
          <w:sz w:val="32"/>
          <w:szCs w:val="32"/>
        </w:rPr>
      </w:pPr>
      <w:r>
        <w:rPr>
          <w:rFonts w:hint="eastAsia" w:ascii="Times New Roman" w:hAnsi="Times New Roman" w:cs="仿宋_GB2312"/>
          <w:sz w:val="32"/>
          <w:szCs w:val="32"/>
        </w:rPr>
        <w:t>（一）习近平法治思想；</w:t>
      </w:r>
    </w:p>
    <w:p w14:paraId="0B66F0C2">
      <w:pPr>
        <w:ind w:firstLine="632" w:firstLineChars="200"/>
        <w:rPr>
          <w:rFonts w:ascii="Times New Roman" w:hAnsi="Times New Roman" w:cs="仿宋_GB2312"/>
          <w:sz w:val="32"/>
          <w:szCs w:val="32"/>
        </w:rPr>
      </w:pPr>
      <w:r>
        <w:rPr>
          <w:rFonts w:hint="eastAsia" w:ascii="Times New Roman" w:hAnsi="Times New Roman" w:cs="仿宋_GB2312"/>
          <w:sz w:val="32"/>
          <w:szCs w:val="32"/>
        </w:rPr>
        <w:t>（二）宪法的规定、原则和精神；</w:t>
      </w:r>
    </w:p>
    <w:p w14:paraId="17D20563">
      <w:pPr>
        <w:ind w:firstLine="632" w:firstLineChars="200"/>
        <w:rPr>
          <w:rFonts w:ascii="Times New Roman" w:hAnsi="Times New Roman" w:cs="仿宋_GB2312"/>
          <w:sz w:val="32"/>
          <w:szCs w:val="32"/>
        </w:rPr>
      </w:pPr>
      <w:r>
        <w:rPr>
          <w:rFonts w:hint="eastAsia" w:ascii="Times New Roman" w:hAnsi="Times New Roman" w:cs="仿宋_GB2312"/>
          <w:sz w:val="32"/>
          <w:szCs w:val="32"/>
        </w:rPr>
        <w:t>（三）法治原则、法律制度和法律常识；</w:t>
      </w:r>
    </w:p>
    <w:p w14:paraId="60A346D5">
      <w:pPr>
        <w:ind w:firstLine="632" w:firstLineChars="200"/>
        <w:rPr>
          <w:rFonts w:ascii="Times New Roman" w:hAnsi="Times New Roman" w:cs="仿宋_GB2312"/>
          <w:sz w:val="32"/>
          <w:szCs w:val="32"/>
        </w:rPr>
      </w:pPr>
      <w:r>
        <w:rPr>
          <w:rFonts w:hint="eastAsia" w:ascii="Times New Roman" w:hAnsi="Times New Roman" w:cs="仿宋_GB2312"/>
          <w:sz w:val="32"/>
          <w:szCs w:val="32"/>
        </w:rPr>
        <w:t>（四）全面依法治国的实践和成就；</w:t>
      </w:r>
    </w:p>
    <w:p w14:paraId="3D8E973B">
      <w:pPr>
        <w:ind w:firstLine="632" w:firstLineChars="200"/>
        <w:rPr>
          <w:rFonts w:ascii="Times New Roman" w:hAnsi="Times New Roman" w:cs="仿宋_GB2312"/>
          <w:sz w:val="32"/>
          <w:szCs w:val="32"/>
        </w:rPr>
      </w:pPr>
      <w:r>
        <w:rPr>
          <w:rFonts w:hint="eastAsia" w:ascii="Times New Roman" w:hAnsi="Times New Roman" w:cs="仿宋_GB2312"/>
          <w:sz w:val="32"/>
          <w:szCs w:val="32"/>
        </w:rPr>
        <w:t>（五）社会主义法治文化、中华优秀传统法律文化；</w:t>
      </w:r>
    </w:p>
    <w:p w14:paraId="1E9BBAD9">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（六）其他应当纳入法治宣传教育的内容。</w:t>
      </w:r>
    </w:p>
    <w:p w14:paraId="063A447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国家编制全国法治宣传教育规划。</w:t>
      </w:r>
    </w:p>
    <w:p w14:paraId="4D88F4B7">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省、自治区、直辖市应当依据全国法治宣传教育规划，结合实际情况制定本行政区域相关规划。</w:t>
      </w:r>
    </w:p>
    <w:p w14:paraId="0B41EF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国务院司法行政部门主管全国法治宣传教育工作。县级以上地方人民政府司法行政部门主管本行政区域的法治宣传教育工作。</w:t>
      </w:r>
    </w:p>
    <w:p w14:paraId="1AE6FF2F">
      <w:pPr>
        <w:ind w:firstLine="632" w:firstLineChars="200"/>
        <w:rPr>
          <w:rFonts w:ascii="Times New Roman" w:hAnsi="Times New Roman" w:cs="仿宋_GB2312"/>
          <w:sz w:val="32"/>
          <w:szCs w:val="32"/>
        </w:rPr>
      </w:pPr>
      <w:r>
        <w:rPr>
          <w:rFonts w:hint="eastAsia" w:ascii="Times New Roman" w:hAnsi="Times New Roman" w:cs="仿宋_GB2312"/>
          <w:sz w:val="32"/>
          <w:szCs w:val="32"/>
        </w:rPr>
        <w:t>中央和国家机关各部门应当将法治宣传教育工作纳入本部门、本系统法治建设总体部署并组织落实。</w:t>
      </w:r>
    </w:p>
    <w:p w14:paraId="12DB19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国家机关和武装力量、各政党和各群团组织、事业单位，应当结合各自的职责组织开展法治宣传教育。</w:t>
      </w:r>
    </w:p>
    <w:p w14:paraId="77A3CF32">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鼓励和支持企业、其他组织以及个人开展和参与法治宣传教育。</w:t>
      </w:r>
    </w:p>
    <w:p w14:paraId="0FCF602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国家机关按照“谁执法谁普法”的精神，实行普法责任制。</w:t>
      </w:r>
    </w:p>
    <w:p w14:paraId="414891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国家加强涉外法治宣传教育，提升法治文化国际传播能力，积极阐释中国特色涉外法治理念、主张和成功实践。</w:t>
      </w:r>
    </w:p>
    <w:p w14:paraId="7CD83407">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国家鼓励和支持开展法治宣传教育国际交流合作。</w:t>
      </w:r>
    </w:p>
    <w:p w14:paraId="5B6BBB4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开展法治宣传教育，应当遵守宪法和法律，遵守公共秩序，尊重社会公德。</w:t>
      </w:r>
    </w:p>
    <w:p w14:paraId="76ADAF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对在法治宣传教育工作中做出显著成绩的单位和个人，按照国家有关规定给予表彰、奖励。</w:t>
      </w:r>
    </w:p>
    <w:p w14:paraId="5CC3F36D">
      <w:pPr>
        <w:rPr>
          <w:rFonts w:ascii="Times New Roman" w:hAnsi="Times New Roman" w:eastAsia="宋体" w:cs="宋体"/>
          <w:szCs w:val="32"/>
        </w:rPr>
      </w:pPr>
    </w:p>
    <w:p w14:paraId="364F7933">
      <w:pPr>
        <w:jc w:val="center"/>
        <w:rPr>
          <w:rFonts w:ascii="Times New Roman" w:hAnsi="Times New Roman" w:eastAsia="黑体" w:cs="黑体"/>
          <w:szCs w:val="32"/>
        </w:rPr>
      </w:pPr>
      <w:r>
        <w:rPr>
          <w:rFonts w:hint="eastAsia" w:ascii="Times New Roman" w:hAnsi="Times New Roman" w:eastAsia="黑体" w:cs="黑体"/>
          <w:szCs w:val="32"/>
        </w:rPr>
        <w:t>第二章　社会法治宣传教育</w:t>
      </w:r>
    </w:p>
    <w:p w14:paraId="13E6B07F">
      <w:pPr>
        <w:rPr>
          <w:rFonts w:ascii="Times New Roman" w:hAnsi="Times New Roman" w:eastAsia="宋体" w:cs="宋体"/>
          <w:szCs w:val="32"/>
        </w:rPr>
      </w:pPr>
    </w:p>
    <w:p w14:paraId="0299497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国家加强宪法宣传教育，推动宪法宣传教育常态化、长效化，增强全社会的宪法意识，弘扬宪法精神，加强宪法实施。</w:t>
      </w:r>
    </w:p>
    <w:p w14:paraId="39A71C0E">
      <w:pPr>
        <w:ind w:firstLine="632" w:firstLineChars="200"/>
        <w:rPr>
          <w:rFonts w:ascii="Times New Roman" w:hAnsi="Times New Roman" w:cs="仿宋_GB2312"/>
          <w:sz w:val="32"/>
          <w:szCs w:val="32"/>
        </w:rPr>
      </w:pPr>
      <w:r>
        <w:rPr>
          <w:rFonts w:hint="eastAsia" w:ascii="Times New Roman" w:hAnsi="Times New Roman" w:cs="仿宋_GB2312"/>
          <w:sz w:val="32"/>
          <w:szCs w:val="32"/>
        </w:rPr>
        <w:t>每年12月4日为国家宪法日，国家通过多种形式开展宪法宣传教育活动。</w:t>
      </w:r>
    </w:p>
    <w:p w14:paraId="7E94305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国家加强宪法和特别行政区基本法宣传教育，增强香港特别行政区同胞、澳门特别行政区同胞维护宪法和基本法确定的特别行政区宪制秩序的意识。</w:t>
      </w:r>
    </w:p>
    <w:p w14:paraId="4CAA588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国家通过多种形式开展国家安全法治宣传教育，增强全民国家安全意识。</w:t>
      </w:r>
    </w:p>
    <w:p w14:paraId="17DC206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国家利用重大节日、纪念日等，结合法律法规的公布施行，组织开展群众性法治宣传教育活动，持续深入开展全民普法，推动法治宣传教育融入法治实践、基层治理和日常生活，在全社会树立宪法法律至上、法律面前人人平等等基本法治观念。</w:t>
      </w:r>
    </w:p>
    <w:p w14:paraId="30306F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法律法规制定机关应当加强立法全过程宣传解读，积极采取多种形式发布信息、介绍情况、回应关切；通过公开征求意见，召开座谈会、论证会、听证会，设立基层立法联系点等形式，扩大社会参与，将立法与法治宣传教育有机结合。</w:t>
      </w:r>
    </w:p>
    <w:p w14:paraId="34B510C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行政机关应当将法治宣传教育融入日常管理、服务、执法和争议解决过程，综合运用释法说理、疏导回应、指导示范、组织听证、发布解读典型案例等方式，开展法治宣传教育。</w:t>
      </w:r>
    </w:p>
    <w:p w14:paraId="57AFF4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监察机关、审判机关、检察机关等应当将法治宣传教育融入案件办理过程，结合各自的职责，运用依法公开审理案件、法律文书释法说理、发布解读典型案例等方式，开展法治宣传教育。</w:t>
      </w:r>
    </w:p>
    <w:p w14:paraId="449E37B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民族事务部门应当以铸牢中华民族共同体意识为主线，开展法治宣传教育，促进民族团结进步，增强中华民族凝聚力，推进中华民族共同体建设。</w:t>
      </w:r>
    </w:p>
    <w:p w14:paraId="2524D1A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宗教事务部门应当加强法治宣传教育，引导宗教界人士和信教群众自觉维护宪法法律权威，在法律法规规定范围内开展活动。</w:t>
      </w:r>
    </w:p>
    <w:p w14:paraId="59EB07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网信、电信、公安等部门应当加强对网络服务提供者和网络用户的法治宣传教育，引导其自觉遵守法律法规、尊重社会公德，营造文明安全的网络环境。</w:t>
      </w:r>
    </w:p>
    <w:p w14:paraId="7EE2197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应急管理、卫生健康、公安等部门应当组织开展自然灾害、事故灾难、公共卫生事件和社会安全事件应对的法治宣传教育，推动全社会提高突发事件预防和应对能力。</w:t>
      </w:r>
    </w:p>
    <w:p w14:paraId="4572AAA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民政、人力资源社会保障等部门应当根据老年人、残疾人、进城务工人员等群体的需求和特点，开展有针对性的法治宣传教育，提高其依法维护自身合法权益的意识和能力。</w:t>
      </w:r>
    </w:p>
    <w:p w14:paraId="2623E977">
      <w:pPr>
        <w:ind w:firstLine="632" w:firstLineChars="200"/>
        <w:rPr>
          <w:rFonts w:ascii="Times New Roman" w:hAnsi="Times New Roman" w:cs="仿宋_GB2312"/>
          <w:sz w:val="32"/>
          <w:szCs w:val="32"/>
        </w:rPr>
      </w:pPr>
      <w:r>
        <w:rPr>
          <w:rFonts w:hint="eastAsia" w:ascii="Times New Roman" w:hAnsi="Times New Roman" w:cs="仿宋_GB2312"/>
          <w:sz w:val="32"/>
          <w:szCs w:val="32"/>
        </w:rPr>
        <w:t>对老年人、残疾人开展法治宣传教育，条件具备的同步采取语音、大字、盲文、手语等无障碍信息交流方式。</w:t>
      </w:r>
    </w:p>
    <w:p w14:paraId="587CC8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各级人民政府应当加强基层法治宣传教育，支持、指导和帮助村民委员会、居民委员会开展法治宣传教育，引导村民、居民依法维护自身合法权益、表达诉求、解决纠纷。</w:t>
      </w:r>
    </w:p>
    <w:p w14:paraId="2228781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各级人民政府应当根据新经济新领域发展需要，加强对相关组织和人员的法治宣传教育，引导其依法维护自身合法权益、履行法定义务。</w:t>
      </w:r>
    </w:p>
    <w:p w14:paraId="780E02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工会、共产主义青年团、妇女联合会、工商业联合会、法学会、残疾人联合会等群团组织，应当在各自的职责范围内开展法治宣传教育。</w:t>
      </w:r>
    </w:p>
    <w:p w14:paraId="745768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行业协会、商会等加强对会员的法治宣传教育，提高会员维护自身合法权益、防范法律风险的能力，提升行业治理法治化水平。</w:t>
      </w:r>
    </w:p>
    <w:p w14:paraId="4BAB0B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企业加强对职工的法治教育培训，建立并实施管理人员学法用法制度，提升管理法治化水平。</w:t>
      </w:r>
    </w:p>
    <w:p w14:paraId="2108BFD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法律服务机构和法律服务工作者在提供法律服务、调解处理矛盾纠纷时，结合工作开展法治宣传教育。</w:t>
      </w:r>
    </w:p>
    <w:p w14:paraId="56E8AF1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公共场所的经营者、管理者应当依法在其经营管理的场所内，围绕消费者权益保护、反电信网络诈骗、食品药品安全、消防安全、个人信息保护、产品责任等群众关心的问题，开展法治宣传教育。</w:t>
      </w:r>
    </w:p>
    <w:p w14:paraId="7127EA01">
      <w:pPr>
        <w:ind w:firstLine="632" w:firstLineChars="200"/>
        <w:rPr>
          <w:rFonts w:ascii="Times New Roman" w:hAnsi="Times New Roman" w:cs="仿宋_GB2312"/>
          <w:sz w:val="32"/>
          <w:szCs w:val="32"/>
        </w:rPr>
      </w:pPr>
      <w:r>
        <w:rPr>
          <w:rFonts w:hint="eastAsia" w:ascii="Times New Roman" w:hAnsi="Times New Roman" w:cs="仿宋_GB2312"/>
          <w:sz w:val="32"/>
          <w:szCs w:val="32"/>
        </w:rPr>
        <w:t>网络服务提供者应当依法对从业人员和网络用户开展法治宣传教育。</w:t>
      </w:r>
    </w:p>
    <w:p w14:paraId="0AF5735A">
      <w:pPr>
        <w:ind w:firstLine="632" w:firstLineChars="200"/>
        <w:rPr>
          <w:rFonts w:ascii="Times New Roman" w:hAnsi="Times New Roman" w:cs="仿宋_GB2312"/>
          <w:sz w:val="32"/>
          <w:szCs w:val="32"/>
        </w:rPr>
      </w:pPr>
      <w:r>
        <w:rPr>
          <w:rFonts w:hint="eastAsia" w:ascii="Times New Roman" w:hAnsi="Times New Roman" w:cs="仿宋_GB2312"/>
          <w:sz w:val="32"/>
          <w:szCs w:val="32"/>
        </w:rPr>
        <w:t>金融机构应当依法对工作人员和客户开展法治宣传教育。</w:t>
      </w:r>
    </w:p>
    <w:p w14:paraId="009FF6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国家加强对开展境外投资合作、对外援助的企业以及出境人员等的法治宣传教育，提供涉外法律服务，引导其遵守我国和当地法律，防范和应对法律风险。</w:t>
      </w:r>
    </w:p>
    <w:p w14:paraId="7AC30D12">
      <w:pPr>
        <w:rPr>
          <w:rFonts w:ascii="Times New Roman" w:hAnsi="Times New Roman" w:eastAsia="宋体" w:cs="宋体"/>
          <w:szCs w:val="32"/>
        </w:rPr>
      </w:pPr>
    </w:p>
    <w:p w14:paraId="26E81AA8">
      <w:pPr>
        <w:jc w:val="center"/>
        <w:rPr>
          <w:rFonts w:ascii="Times New Roman" w:hAnsi="Times New Roman" w:eastAsia="黑体" w:cs="黑体"/>
          <w:szCs w:val="32"/>
        </w:rPr>
      </w:pPr>
      <w:r>
        <w:rPr>
          <w:rFonts w:hint="eastAsia" w:ascii="Times New Roman" w:hAnsi="Times New Roman" w:eastAsia="黑体" w:cs="黑体"/>
          <w:szCs w:val="32"/>
        </w:rPr>
        <w:t>第三章　国家工作人员法治宣传教育</w:t>
      </w:r>
    </w:p>
    <w:p w14:paraId="7193F62B">
      <w:pPr>
        <w:rPr>
          <w:rFonts w:ascii="Times New Roman" w:hAnsi="Times New Roman" w:eastAsia="宋体" w:cs="宋体"/>
          <w:szCs w:val="32"/>
        </w:rPr>
      </w:pPr>
    </w:p>
    <w:p w14:paraId="2B259BE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国家加强国家工作人员宪法宣传教育。国家工作人员应当加强宪法学习，树立宪法意识，恪守宪法原则，弘扬宪法精神，履行宪法使命。</w:t>
      </w:r>
    </w:p>
    <w:p w14:paraId="1D882051">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国家实行宪法宣誓制度，彰显宪法权威，激励和教育国家工作人员忠于宪法、遵守宪法、维护宪法。</w:t>
      </w:r>
    </w:p>
    <w:p w14:paraId="679CB7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国家工作人员应当带头尊法学法守法用法，树立依法履职的法治观念，提高运用法治思维和法治方式深化改革、推动发展、化解矛盾、维护稳定、应对风险的能力。</w:t>
      </w:r>
    </w:p>
    <w:p w14:paraId="79049D4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录用国家工作人员，应当将有关法律知识纳入录用考试内容。</w:t>
      </w:r>
    </w:p>
    <w:p w14:paraId="0F3C0A2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健全国家工作人员日常学法制度。国家工作人员所在单位应当根据工作性质和特点，采取多种形式开展法治教育。</w:t>
      </w:r>
    </w:p>
    <w:p w14:paraId="62FD4325">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有关部门应当将法治教育纳入国家工作人员教育培训规划、计划。</w:t>
      </w:r>
    </w:p>
    <w:p w14:paraId="35BAE3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实行领导干部应知应会党内法规和法律法规清单制度。</w:t>
      </w:r>
    </w:p>
    <w:p w14:paraId="40BBD096">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有关部门、单位应当将宪法和与履职密切相关的法律法规纳入领导干部应知应会法律法规清单，并动态调整。</w:t>
      </w:r>
    </w:p>
    <w:p w14:paraId="6E8BF97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加强对领导干部学法用法情况的监督。领导干部学法用法情况应当按照规定列入年度述职内容。</w:t>
      </w:r>
    </w:p>
    <w:p w14:paraId="7C025EEF">
      <w:pPr>
        <w:rPr>
          <w:rFonts w:ascii="Times New Roman" w:hAnsi="Times New Roman" w:eastAsia="宋体" w:cs="宋体"/>
          <w:szCs w:val="32"/>
        </w:rPr>
      </w:pPr>
    </w:p>
    <w:p w14:paraId="47C27AF8">
      <w:pPr>
        <w:jc w:val="center"/>
        <w:rPr>
          <w:rFonts w:ascii="Times New Roman" w:hAnsi="Times New Roman" w:eastAsia="黑体" w:cs="黑体"/>
          <w:szCs w:val="32"/>
        </w:rPr>
      </w:pPr>
      <w:r>
        <w:rPr>
          <w:rFonts w:hint="eastAsia" w:ascii="Times New Roman" w:hAnsi="Times New Roman" w:eastAsia="黑体" w:cs="黑体"/>
          <w:szCs w:val="32"/>
        </w:rPr>
        <w:t>第四章　青少年法治宣传教育</w:t>
      </w:r>
    </w:p>
    <w:p w14:paraId="4A8C988D">
      <w:pPr>
        <w:rPr>
          <w:rFonts w:ascii="Times New Roman" w:hAnsi="Times New Roman" w:eastAsia="宋体" w:cs="宋体"/>
          <w:szCs w:val="32"/>
        </w:rPr>
      </w:pPr>
    </w:p>
    <w:p w14:paraId="4E4592A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国家、社会、学校、家庭加强协同配合，根据青少年的身心特点和成长需求，对青少年开展法治宣传教育，普及青少年在家庭生活、校园学习、社会活动中所必需的法律知识，教育引导青少年树立守法意识、规则意识、诚信意识和防范违法犯罪的意识，自觉遵守法律规定，规范自身行为，维护自身合法权益，尊重他人合法权益。</w:t>
      </w:r>
    </w:p>
    <w:p w14:paraId="330E24F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教育行政部门应当将法治教育融入学校教育的各个阶段，明确各级各类学校法治教育目标、内容以及评价要求，推广法治实践教学和案例教学，将法治教育内容融入相关教材，将法治素养纳入学生综合素质评价范围。</w:t>
      </w:r>
    </w:p>
    <w:p w14:paraId="30731732">
      <w:pPr>
        <w:ind w:firstLine="632" w:firstLineChars="200"/>
        <w:rPr>
          <w:rFonts w:ascii="Times New Roman" w:hAnsi="Times New Roman" w:cs="仿宋_GB2312"/>
          <w:sz w:val="32"/>
          <w:szCs w:val="32"/>
        </w:rPr>
      </w:pPr>
      <w:r>
        <w:rPr>
          <w:rFonts w:hint="eastAsia" w:ascii="Times New Roman" w:hAnsi="Times New Roman" w:cs="仿宋_GB2312"/>
          <w:sz w:val="32"/>
          <w:szCs w:val="32"/>
        </w:rPr>
        <w:t>教育行政部门应当加强法治教育师资培养和培训，建立稳定的专职或者兼职法治教育师资队伍。</w:t>
      </w:r>
    </w:p>
    <w:p w14:paraId="4C479B21">
      <w:pPr>
        <w:ind w:firstLine="632" w:firstLineChars="200"/>
        <w:rPr>
          <w:rFonts w:ascii="Times New Roman" w:hAnsi="Times New Roman" w:cs="仿宋_GB2312"/>
          <w:sz w:val="32"/>
          <w:szCs w:val="32"/>
        </w:rPr>
      </w:pPr>
      <w:r>
        <w:rPr>
          <w:rFonts w:hint="eastAsia" w:ascii="Times New Roman" w:hAnsi="Times New Roman" w:cs="仿宋_GB2312"/>
          <w:sz w:val="32"/>
          <w:szCs w:val="32"/>
        </w:rPr>
        <w:t>教育行政部门应当加强对学校各类法治宣传教育活动的协调指导。</w:t>
      </w:r>
    </w:p>
    <w:p w14:paraId="1AC18B5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各级各类学校应当开设法治教育课程，利用青少年法治教育实践基地等场所开展法治实践教育。中小学校应当按照要求聘任法治副校长，配备受过专业培养或者经过专门培训、能够胜任法治教育任务的教师，可以聘任校外法治辅导员。</w:t>
      </w:r>
    </w:p>
    <w:p w14:paraId="111CBCC9">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各级各类学校应当将法治宣传教育融入学校教育与日常管理，开展多种形式的法治主题教育，加强校园法治文化建设。</w:t>
      </w:r>
    </w:p>
    <w:p w14:paraId="5FF7928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审判机关、检察机关以及公安、司法行政等部门，律师协会等社会组织，应当支持学校按照教育教学计划开展法治教育，提供法治实践教育资源，支持教育行政部门、学校开发法治教育课程。</w:t>
      </w:r>
    </w:p>
    <w:p w14:paraId="2BDBDE8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未成年人的父母或者其他监护人应当提高对未成年人进行法治教育的意识和能力，针对不同年龄段未成年人的身心发展特点，教育未成年人增强自我保护意识，养成守法行为习惯。</w:t>
      </w:r>
    </w:p>
    <w:p w14:paraId="2996035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网络服务提供者应当依法开展未成年人网络法治宣传教育，履行未成年人网络保护义务，引导未成年人养成文明网络行为习惯，营造有利于未成年人身心健康的网络环境。</w:t>
      </w:r>
    </w:p>
    <w:p w14:paraId="2302D894">
      <w:pPr>
        <w:rPr>
          <w:rFonts w:ascii="Times New Roman" w:hAnsi="Times New Roman" w:eastAsia="宋体" w:cs="宋体"/>
          <w:szCs w:val="32"/>
        </w:rPr>
      </w:pPr>
    </w:p>
    <w:p w14:paraId="00A6FAA9">
      <w:pPr>
        <w:jc w:val="center"/>
        <w:rPr>
          <w:rFonts w:ascii="Times New Roman" w:hAnsi="Times New Roman" w:eastAsia="黑体" w:cs="黑体"/>
          <w:szCs w:val="32"/>
        </w:rPr>
      </w:pPr>
      <w:r>
        <w:rPr>
          <w:rFonts w:hint="eastAsia" w:ascii="Times New Roman" w:hAnsi="Times New Roman" w:eastAsia="黑体" w:cs="黑体"/>
          <w:szCs w:val="32"/>
        </w:rPr>
        <w:t>第五章　保障与监督</w:t>
      </w:r>
    </w:p>
    <w:p w14:paraId="4D7519EF">
      <w:pPr>
        <w:rPr>
          <w:rFonts w:ascii="Times New Roman" w:hAnsi="Times New Roman" w:eastAsia="宋体" w:cs="宋体"/>
          <w:szCs w:val="32"/>
        </w:rPr>
      </w:pPr>
    </w:p>
    <w:p w14:paraId="3B663A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县级以上人民政府应当将法治宣传教育工作纳入本地区法治建设总体部署，纳入精神文明建设和平安建设。</w:t>
      </w:r>
    </w:p>
    <w:p w14:paraId="2B264D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司法行政部门应当会同有关部门、单位加强法治宣传教育人才队伍建设，分层分类开展培训。</w:t>
      </w:r>
    </w:p>
    <w:p w14:paraId="2C0CCAFE">
      <w:pPr>
        <w:ind w:firstLine="632" w:firstLineChars="200"/>
        <w:rPr>
          <w:rFonts w:ascii="Times New Roman" w:hAnsi="Times New Roman" w:cs="仿宋_GB2312"/>
          <w:sz w:val="32"/>
          <w:szCs w:val="32"/>
        </w:rPr>
      </w:pPr>
      <w:r>
        <w:rPr>
          <w:rFonts w:hint="eastAsia" w:ascii="Times New Roman" w:hAnsi="Times New Roman" w:cs="仿宋_GB2312"/>
          <w:sz w:val="32"/>
          <w:szCs w:val="32"/>
        </w:rPr>
        <w:t>司法行政部门在基层群众中培养具有较好法治素养和基层工作经验，能发挥示范作用的人员，指导、支持其积极开展法治宣传教育，带头参与法治实践。</w:t>
      </w:r>
    </w:p>
    <w:p w14:paraId="6AA49FC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司法行政部门应当推进法治宣传教育专家库建设，选聘优秀法治人才组成普法讲师团，组织开展法治宣讲活动。其他部门可以根据需要，建设具有部门工作特点的法治宣传教育专家库或者讲师团。</w:t>
      </w:r>
    </w:p>
    <w:p w14:paraId="5DA2F916">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鼓励和支持国家工作人员，从事法学教育、研究工作的人员和法学专业学生，以及从事法律服务工作的人员等，开展普法志愿服务，参与有关部门和单位开展的法律咨询、法治讲座等活动。</w:t>
      </w:r>
    </w:p>
    <w:p w14:paraId="55CACFD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国家鼓励和支持法治宣传教育理论研究，加强法治传播、法治文化等相关人才培养。</w:t>
      </w:r>
    </w:p>
    <w:p w14:paraId="430722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国家健全媒体公益普法制度，引导报刊、广播、电视等新闻媒体和网络服务提供者履行公益普法责任，开展公益法治宣传教育。</w:t>
      </w:r>
    </w:p>
    <w:p w14:paraId="34E75177">
      <w:pPr>
        <w:ind w:firstLine="632" w:firstLineChars="200"/>
        <w:rPr>
          <w:rFonts w:ascii="Times New Roman" w:hAnsi="Times New Roman" w:cs="仿宋_GB2312"/>
          <w:sz w:val="32"/>
          <w:szCs w:val="32"/>
        </w:rPr>
      </w:pPr>
      <w:r>
        <w:rPr>
          <w:rFonts w:hint="eastAsia" w:ascii="Times New Roman" w:hAnsi="Times New Roman" w:cs="仿宋_GB2312"/>
          <w:sz w:val="32"/>
          <w:szCs w:val="32"/>
        </w:rPr>
        <w:t>报刊、广播、电视等新闻媒体和网络服务提供者应当通过开设法治专栏专题、刊播法治公益广告、报道法治新闻等形式，加强法治宣传教育。</w:t>
      </w:r>
    </w:p>
    <w:p w14:paraId="661984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文化和旅游、新闻出版、广播电视、电影、网信等部门应当加强法治文化建设，鼓励和支持优秀法治文艺作品、出版物、广播电视、电影和网络视听作品的创作生产和宣传推广。</w:t>
      </w:r>
    </w:p>
    <w:p w14:paraId="2FBC119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县级以上人民政府应当加强对法治文化相关文物等文化遗产的保护和利用，宣传代表性人物的事迹和精神，弘扬社会主义法治文化，推动中华优秀传统法律文化的创造性转化、创新性发展。</w:t>
      </w:r>
    </w:p>
    <w:p w14:paraId="44CF0B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县级以上人民政府应当依据国土空间规划，因地制宜统筹规划、建设法治文化场所，在公共设施建设和公共空间利用时体现法治元素。</w:t>
      </w:r>
    </w:p>
    <w:p w14:paraId="2CC6A392">
      <w:pPr>
        <w:ind w:firstLine="632" w:firstLineChars="200"/>
        <w:rPr>
          <w:rFonts w:ascii="Times New Roman" w:hAnsi="Times New Roman" w:cs="仿宋_GB2312"/>
          <w:sz w:val="32"/>
          <w:szCs w:val="32"/>
        </w:rPr>
      </w:pPr>
      <w:r>
        <w:rPr>
          <w:rFonts w:hint="eastAsia" w:ascii="Times New Roman" w:hAnsi="Times New Roman" w:cs="仿宋_GB2312"/>
          <w:sz w:val="32"/>
          <w:szCs w:val="32"/>
        </w:rPr>
        <w:t>司法行政部门应当建立法治文化场所名录，向社会公布。</w:t>
      </w:r>
    </w:p>
    <w:p w14:paraId="4DFC816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负有法治宣传教育职责的部门、单位应当根据不同地区、行业、群体的法治需求精准开展法治宣传教育，采取生动活泼、通俗易懂、群众喜闻乐见的形式和方法，发挥法治人物、见义勇为人员等典型示范作用，讲好中国宪法故事、中国法治故事，增强法治宣传教育的针对性和实效性，力戒形式主义。</w:t>
      </w:r>
    </w:p>
    <w:p w14:paraId="47704A1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鼓励创新法治宣传教育形式和方法，支持运用新平台新技术新产品和无障碍方式开展法治宣传教育。</w:t>
      </w:r>
    </w:p>
    <w:p w14:paraId="5507FA02">
      <w:pPr>
        <w:ind w:firstLine="632" w:firstLineChars="200"/>
        <w:rPr>
          <w:rFonts w:ascii="Times New Roman" w:hAnsi="Times New Roman" w:cs="仿宋_GB2312"/>
          <w:sz w:val="32"/>
          <w:szCs w:val="32"/>
        </w:rPr>
      </w:pPr>
      <w:r>
        <w:rPr>
          <w:rFonts w:hint="eastAsia" w:ascii="Times New Roman" w:hAnsi="Times New Roman" w:cs="仿宋_GB2312"/>
          <w:sz w:val="32"/>
          <w:szCs w:val="32"/>
        </w:rPr>
        <w:t>法治宣传教育的内容应当准确、清楚，避免误导公众。</w:t>
      </w:r>
    </w:p>
    <w:p w14:paraId="02001F0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县级以上人民政府应当将法治宣传教育经费列入本级预算，加强资金管理，提高资金使用效益，保障法治宣传教育工作需要。</w:t>
      </w:r>
    </w:p>
    <w:p w14:paraId="2478BA91">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国家机关、群团组织、事业单位应当合理安排经费，保障法治宣传教育工作开展。</w:t>
      </w:r>
    </w:p>
    <w:p w14:paraId="469FB55E">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国家鼓励、引导社会资金参与法治宣传教育工作，并依法加强管理。</w:t>
      </w:r>
    </w:p>
    <w:p w14:paraId="53AE745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司法行政部门组织对法治宣传教育规划实施情况进行评估，并将评估结果向社会公布，接受社会监督。</w:t>
      </w:r>
    </w:p>
    <w:p w14:paraId="3C3C1C8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县级以上人民政府司法行政部门发现同级负有法治宣传教育职责的部门、单位，未依法履行法治宣传教育职责的，应当及时发出普法提示。有关部门、单位收到普法提示后，应当及时采取改进措施并反馈相关情况。</w:t>
      </w:r>
    </w:p>
    <w:p w14:paraId="7130F1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各级人民代表大会常务委员会应当通过听取和审议专项工作报告、执法检查、专题询问、专题调研等方式，加强对法治宣传教育工作的监督。</w:t>
      </w:r>
    </w:p>
    <w:p w14:paraId="66A470BD">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县级以上人民政府应当向本级人民代表大会常务委员会报告法治宣传教育工作情况，依法接受监督。</w:t>
      </w:r>
    </w:p>
    <w:p w14:paraId="0138B791">
      <w:pPr>
        <w:rPr>
          <w:rFonts w:ascii="Times New Roman" w:hAnsi="Times New Roman" w:eastAsia="宋体" w:cs="宋体"/>
          <w:szCs w:val="32"/>
        </w:rPr>
      </w:pPr>
    </w:p>
    <w:p w14:paraId="3ACD3833">
      <w:pPr>
        <w:jc w:val="center"/>
        <w:rPr>
          <w:rFonts w:ascii="Times New Roman" w:hAnsi="Times New Roman" w:eastAsia="黑体" w:cs="黑体"/>
          <w:szCs w:val="32"/>
        </w:rPr>
      </w:pPr>
      <w:r>
        <w:rPr>
          <w:rFonts w:hint="eastAsia" w:ascii="Times New Roman" w:hAnsi="Times New Roman" w:eastAsia="黑体" w:cs="黑体"/>
          <w:szCs w:val="32"/>
        </w:rPr>
        <w:t>第六章　法律责任</w:t>
      </w:r>
    </w:p>
    <w:p w14:paraId="23A9E135">
      <w:pPr>
        <w:rPr>
          <w:rFonts w:ascii="Times New Roman" w:hAnsi="Times New Roman" w:eastAsia="宋体" w:cs="宋体"/>
          <w:szCs w:val="32"/>
        </w:rPr>
      </w:pPr>
    </w:p>
    <w:p w14:paraId="3720B3A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县级以上人民政府司法行政部门未依法履行法治宣传教育工作职责的，由本级人民政府或者上级司法行政部门责令限期改正；逾期未改正的，予以通报批评；情节严重的，对负有责任的领导人员和直接责任人员依法给予处分。</w:t>
      </w:r>
    </w:p>
    <w:p w14:paraId="069063AA">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有关部门、单位收到普法提示后，未及时采取改进措施的，予以通报批评；情节严重的，对负有责任的领导人员和直接责任人员依法给予处分。</w:t>
      </w:r>
    </w:p>
    <w:p w14:paraId="00F3AE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违反法治宣传教育经费管理规定的，由有关主管部门责令限期改正；情节严重的，对负有责任的领导人员和直接责任人员依法给予处分。</w:t>
      </w:r>
    </w:p>
    <w:p w14:paraId="5C8F714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侵占、破坏法治宣传教育设施，损毁展品、器材的，由有关主管部门责令限期改正，并给予批评教育。</w:t>
      </w:r>
    </w:p>
    <w:p w14:paraId="18B601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违反本法规定开展法治宣</w:t>
      </w:r>
      <w:bookmarkStart w:id="0" w:name="_GoBack"/>
      <w:bookmarkEnd w:id="0"/>
      <w:r>
        <w:rPr>
          <w:rFonts w:hint="eastAsia" w:ascii="Times New Roman" w:hAnsi="Times New Roman" w:cs="仿宋_GB2312"/>
          <w:sz w:val="32"/>
          <w:szCs w:val="32"/>
        </w:rPr>
        <w:t>传教育，造成不良社会影响的，由有关主管部门予以制止，并给予批评教育。</w:t>
      </w:r>
    </w:p>
    <w:p w14:paraId="799E977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违反本法规定，造成他人损害的，依法承担民事责任；构成违反治安管理行为的，依法给予治安管理处罚；构成犯罪的，依法追究刑事责任。</w:t>
      </w:r>
    </w:p>
    <w:p w14:paraId="77044640">
      <w:pPr>
        <w:rPr>
          <w:rFonts w:ascii="Times New Roman" w:hAnsi="Times New Roman" w:eastAsia="宋体" w:cs="宋体"/>
          <w:szCs w:val="32"/>
        </w:rPr>
      </w:pPr>
    </w:p>
    <w:p w14:paraId="3B951667">
      <w:pPr>
        <w:jc w:val="center"/>
        <w:rPr>
          <w:rFonts w:ascii="Times New Roman" w:hAnsi="Times New Roman" w:eastAsia="黑体" w:cs="黑体"/>
          <w:szCs w:val="32"/>
        </w:rPr>
      </w:pPr>
      <w:r>
        <w:rPr>
          <w:rFonts w:hint="eastAsia" w:ascii="Times New Roman" w:hAnsi="Times New Roman" w:eastAsia="黑体" w:cs="黑体"/>
          <w:szCs w:val="32"/>
        </w:rPr>
        <w:t>第七章　附　　则</w:t>
      </w:r>
    </w:p>
    <w:p w14:paraId="7EAFB60E">
      <w:pPr>
        <w:rPr>
          <w:rFonts w:ascii="Times New Roman" w:hAnsi="Times New Roman" w:eastAsia="宋体" w:cs="宋体"/>
          <w:szCs w:val="32"/>
        </w:rPr>
      </w:pPr>
    </w:p>
    <w:p w14:paraId="3DE48A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中国人民解放军、中国人民武装警察部队依照本法和中央军事委员会的有关规定开展法治宣传教育工作。</w:t>
      </w:r>
    </w:p>
    <w:p w14:paraId="2317670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本法自2025年11月1日起施行。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ans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4FE915C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5667</Words>
  <Characters>5676</Characters>
  <Lines>87</Lines>
  <Paragraphs>24</Paragraphs>
  <TotalTime>7</TotalTime>
  <ScaleCrop>false</ScaleCrop>
  <LinksUpToDate>false</LinksUpToDate>
  <CharactersWithSpaces>5765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2025-09-15T02:17:23Z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089DABA21E2E46988B9EE82213EC0992_13</vt:lpwstr>
  </property>
  <property fmtid="{D5CDD505-2E9C-101B-9397-08002B2CF9AE}" pid="3" name="KSOProductBuildVer">
    <vt:lpwstr>2052-12.1.0.22529</vt:lpwstr>
  </property>
  <property fmtid="{D5CDD505-2E9C-101B-9397-08002B2CF9AE}" pid="4" name="KSOTemplateDocerSaveRecord">
    <vt:lpwstr>eyJoZGlkIjoiODNhMzdkNWUzNjk1MjcyMWU0OGRjOWNkZTlmNTgwMWIiLCJ1c2VySWQiOiIxMDUwODI5NDE0In0=</vt:lpwstr>
  </property>
</Properties>
</file>