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769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三门峡市陕州区住房和城乡建设局</w:t>
      </w:r>
    </w:p>
    <w:p w14:paraId="5FA4D48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2025年度法治政府建设情况工作报告</w:t>
      </w:r>
    </w:p>
    <w:p w14:paraId="11683F1C">
      <w:pP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</w:p>
    <w:p w14:paraId="3AF5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2025年，在区委、区政府的正确领导下，我局坚持以习近平法治思想为指导，深入贯彻落实中央、省、市关于法治政府建设的决策部署，紧紧围绕住建领域中心工作，扎实推进依法行政，法治政府建设取得积极成效。现将工作情况报告如下：</w:t>
      </w:r>
    </w:p>
    <w:p w14:paraId="0F70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一、主要工作及成效</w:t>
      </w:r>
    </w:p>
    <w:p w14:paraId="5A82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（一）依法全面履行政府职能</w:t>
      </w:r>
    </w:p>
    <w:p w14:paraId="54A3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1.深化"放管服"改革。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持续优化营商环境，推进工程建设项目审批制度改革，压缩审批时限，精简审批材料。</w:t>
      </w:r>
    </w:p>
    <w:p w14:paraId="79F9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2.落实权责清单制度。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动态调整并公布行政权力事项清单、责任清单，确保权责一致、依法履职。</w:t>
      </w:r>
    </w:p>
    <w:p w14:paraId="43BF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3.加强事中事后监管。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全面推行"双随机、一公开"监管，制定年度行政检查计划，开展各类检查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300余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次，检查结果及时公开。建立信用监管机制，对失信主体实施联合惩戒。</w:t>
      </w:r>
    </w:p>
    <w:p w14:paraId="36220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（二）完善依法行政制度体系</w:t>
      </w:r>
    </w:p>
    <w:p w14:paraId="5C5C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1.加强规范性文件管理。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严格执行规范性文件制定程序，落实合法性审查、集体讨论决定、公开发布等要求。全年制定规范性文件X件，均按规定备案。</w:t>
      </w:r>
    </w:p>
    <w:p w14:paraId="5C19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2.开展文件清理工作。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对现行有效的规范性文件进行全面清理，废止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件，确保与上位法一致。</w:t>
      </w:r>
    </w:p>
    <w:p w14:paraId="10850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3.健全重大行政决策机制。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落实公众参与、专家论证、风险评估、合法性审查、集体讨论决定等程序，重大行政决策事项均经过合法性审查。</w:t>
      </w:r>
    </w:p>
    <w:p w14:paraId="5E04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（三）推进严格规范公正文明执法</w:t>
      </w:r>
    </w:p>
    <w:p w14:paraId="3D9E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1.规范执法行为。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全面推行行政执法"三项制度"，落实执法公示、执法全过程记录、重大执法决定法制审核。全年办理行政处罚案件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件，无行政复议被撤销、行政诉讼败诉案件。</w:t>
      </w:r>
    </w:p>
    <w:p w14:paraId="02D4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2.加强执法队伍建设。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组织执法人员参加法律知识培训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累计120余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人次，落实持证上岗制度，执法人员持证率100%。</w:t>
      </w:r>
    </w:p>
    <w:p w14:paraId="32BF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3.创新执法方式。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推行说理式执法、柔性执法，对轻微违法行为依法从轻、减轻或免予处罚，营造良好营商环境。</w:t>
      </w:r>
    </w:p>
    <w:p w14:paraId="744AB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（四）强化对行政权力的制约和监督</w:t>
      </w:r>
    </w:p>
    <w:p w14:paraId="7B56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1.自觉接受监督。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认真办理人大代表建议、政协委员提案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件，办复率100%。</w:t>
      </w:r>
    </w:p>
    <w:p w14:paraId="0B89B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2.全面推进政务公开。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通过政府网站、政务新媒体等渠道，主动公开政府信息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条，及时回应社会关切。</w:t>
      </w:r>
    </w:p>
    <w:p w14:paraId="5C2C8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3.加强内部监督。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开展行政执法案卷评查，对发现的问题及时整改。落实行政执法责任制，严格责任追究。</w:t>
      </w:r>
    </w:p>
    <w:p w14:paraId="09229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（五）畅通投诉举报渠道。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完善12345政务服务热线、信访等渠道，及时处理群众反映问题。全年受理各类投诉举报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918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件，办结率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%。</w:t>
      </w:r>
    </w:p>
    <w:p w14:paraId="5861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（六）提升工作人员法治思维和依法行政能力</w:t>
      </w:r>
    </w:p>
    <w:p w14:paraId="7ED06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1.加强法治教育培训。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将法治教育纳入干部培训内容，组织领导干部学法用法考试，合格率100%。</w:t>
      </w:r>
    </w:p>
    <w:p w14:paraId="24C7C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2.落实"谁执法谁普法"责任制。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结合"安全生产月""宪法宣传周"等活动，开展普法宣传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次，发放宣传资料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600余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份。</w:t>
      </w:r>
    </w:p>
    <w:p w14:paraId="3A35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3.推进法治文化建设。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营造尊法学法守法用法的良好氛围。</w:t>
      </w:r>
    </w:p>
    <w:p w14:paraId="4B73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二、存在的问题和不足</w:t>
      </w:r>
    </w:p>
    <w:p w14:paraId="3CDD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（一）法治意识有待进一步增强。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部分工作人员运用法治思维和法治方式解决问题的能力还需提升。</w:t>
      </w:r>
    </w:p>
    <w:p w14:paraId="4D6E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（二）执法规范化水平需进一步提高。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个别执法案卷存在记录不规范、程序不严谨等问题。</w:t>
      </w:r>
    </w:p>
    <w:p w14:paraId="0620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（三）普法宣传的针对性和实效性有待加强。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宣传形式较为单一，群众参与度不高。</w:t>
      </w:r>
    </w:p>
    <w:p w14:paraId="253B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（四）基层执法力量相对薄弱。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执法人员数量与监管任务不匹配，专业能力有待提升。</w:t>
      </w:r>
    </w:p>
    <w:p w14:paraId="35028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三、2026年工作打算</w:t>
      </w:r>
    </w:p>
    <w:p w14:paraId="5FBF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（一）持续深化法治政府建设。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深入学习贯彻习近平法治思想，全面落实法治政府建设各项任务。</w:t>
      </w:r>
    </w:p>
    <w:p w14:paraId="674B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（二）提升依法行政能力。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加强执法人员培训，严格规范公正文明执法，提高执法办案质量。</w:t>
      </w:r>
    </w:p>
    <w:p w14:paraId="061E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（三）优化法治化营商环境。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深化"放管服"改革，加强事中事后监管，服务高质量发展。</w:t>
      </w:r>
    </w:p>
    <w:p w14:paraId="64272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（四）强化权力运行监督。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全面推进政务公开，自觉接受各方监督，确保权力在阳光下运行。</w:t>
      </w:r>
    </w:p>
    <w:p w14:paraId="2B2F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1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（五）加强法治宣传教育。</w:t>
      </w:r>
      <w:r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  <w:t>创新普法方式，提升普法实效，营造良好法治环境。</w:t>
      </w:r>
    </w:p>
    <w:p w14:paraId="3C32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</w:p>
    <w:p w14:paraId="58EC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 xml:space="preserve">                                 2026年1月28日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74E1A"/>
    <w:rsid w:val="0FFF09BA"/>
    <w:rsid w:val="27EB05C2"/>
    <w:rsid w:val="2F6F1945"/>
    <w:rsid w:val="3A26548A"/>
    <w:rsid w:val="704D3ECC"/>
    <w:rsid w:val="771B4E9F"/>
    <w:rsid w:val="7F4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1472</Characters>
  <Lines>0</Lines>
  <Paragraphs>0</Paragraphs>
  <TotalTime>0</TotalTime>
  <ScaleCrop>false</ScaleCrop>
  <LinksUpToDate>false</LinksUpToDate>
  <CharactersWithSpaces>1472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2026-01-29T06:06:00Z</dcterms:created>
  <dc:creator>Administrator</dc:creator>
  <cp:lastModifiedBy>木棉花</cp:lastModifiedBy>
  <dcterms:modified xsi:type="dcterms:W3CDTF">2026-03-16T00:35:31Z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eyJoZGlkIjoiZmE1ZWRkYmVkNDNhNWJhMDBmYTQxM2Q3NTkwZTcyYmMiLCJ1c2VySWQiOiI3NDgyOTQ2ODUifQ==</vt:lpwstr>
  </property>
  <property fmtid="{D5CDD505-2E9C-101B-9397-08002B2CF9AE}" pid="4" name="ICV">
    <vt:lpwstr>E7AACB67A8624DEF8798EBABF56E59A5_12</vt:lpwstr>
  </property>
</Properties>
</file>