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1A2F7B">
      <w:pPr>
        <w:numPr>
          <w:ilvl w:val="0"/>
          <w:numId w:val="0"/>
        </w:numPr>
        <w:spacing w:line="360" w:lineRule="auto"/>
        <w:jc w:val="both"/>
        <w:rPr>
          <w:rFonts w:hint="eastAsia" w:ascii="宋体" w:hAnsi="宋体" w:eastAsia="宋体" w:cs="宋体"/>
          <w:b/>
          <w:bCs/>
          <w:color w:val="000000" w:themeColor="text1"/>
          <w:sz w:val="28"/>
          <w:szCs w:val="28"/>
          <w14:textFill>
            <w14:solidFill>
              <w14:schemeClr w14:val="tx1"/>
            </w14:solidFill>
          </w14:textFill>
        </w:rPr>
      </w:pPr>
      <w:bookmarkStart w:id="42" w:name="_GoBack"/>
      <w:bookmarkEnd w:id="42"/>
    </w:p>
    <w:p w14:paraId="2CBF20CD">
      <w:pPr>
        <w:numPr>
          <w:ilvl w:val="0"/>
          <w:numId w:val="0"/>
        </w:numPr>
        <w:spacing w:line="360" w:lineRule="auto"/>
        <w:jc w:val="center"/>
        <w:rPr>
          <w:rFonts w:hint="eastAsia" w:ascii="宋体" w:hAnsi="宋体" w:eastAsia="宋体" w:cs="宋体"/>
          <w:b/>
          <w:bCs/>
          <w:color w:val="000000" w:themeColor="text1"/>
          <w:sz w:val="36"/>
          <w:szCs w:val="36"/>
          <w14:textFill>
            <w14:solidFill>
              <w14:schemeClr w14:val="tx1"/>
            </w14:solidFill>
          </w14:textFill>
        </w:rPr>
      </w:pPr>
      <w:r>
        <w:rPr>
          <w:rFonts w:hint="eastAsia" w:ascii="宋体" w:hAnsi="宋体" w:eastAsia="宋体" w:cs="宋体"/>
          <w:b/>
          <w:bCs/>
          <w:color w:val="000000" w:themeColor="text1"/>
          <w:sz w:val="36"/>
          <w:szCs w:val="36"/>
          <w14:textFill>
            <w14:solidFill>
              <w14:schemeClr w14:val="tx1"/>
            </w14:solidFill>
          </w14:textFill>
        </w:rPr>
        <w:t>三门峡市陕州区住房和城乡建设局</w:t>
      </w:r>
    </w:p>
    <w:p w14:paraId="7C31F893">
      <w:pPr>
        <w:numPr>
          <w:ilvl w:val="0"/>
          <w:numId w:val="0"/>
        </w:numPr>
        <w:spacing w:line="360" w:lineRule="auto"/>
        <w:jc w:val="center"/>
        <w:rPr>
          <w:rFonts w:hint="eastAsia" w:ascii="宋体" w:hAnsi="宋体" w:eastAsia="宋体" w:cs="宋体"/>
          <w:b/>
          <w:bCs/>
          <w:color w:val="000000" w:themeColor="text1"/>
          <w:sz w:val="36"/>
          <w:szCs w:val="36"/>
          <w:lang w:eastAsia="zh-CN"/>
          <w14:textFill>
            <w14:solidFill>
              <w14:schemeClr w14:val="tx1"/>
            </w14:solidFill>
          </w14:textFill>
        </w:rPr>
      </w:pPr>
      <w:r>
        <w:rPr>
          <w:rFonts w:hint="eastAsia" w:ascii="宋体" w:hAnsi="宋体" w:eastAsia="宋体" w:cs="宋体"/>
          <w:b/>
          <w:bCs/>
          <w:color w:val="000000" w:themeColor="text1"/>
          <w:sz w:val="36"/>
          <w:szCs w:val="36"/>
          <w14:textFill>
            <w14:solidFill>
              <w14:schemeClr w14:val="tx1"/>
            </w14:solidFill>
          </w14:textFill>
        </w:rPr>
        <w:t>王寨路、</w:t>
      </w:r>
      <w:r>
        <w:rPr>
          <w:rFonts w:hint="eastAsia" w:ascii="宋体" w:hAnsi="宋体" w:eastAsia="宋体" w:cs="宋体"/>
          <w:b/>
          <w:bCs/>
          <w:color w:val="000000" w:themeColor="text1"/>
          <w:sz w:val="36"/>
          <w:szCs w:val="36"/>
          <w:lang w:eastAsia="zh-CN"/>
          <w14:textFill>
            <w14:solidFill>
              <w14:schemeClr w14:val="tx1"/>
            </w14:solidFill>
          </w14:textFill>
        </w:rPr>
        <w:t>金华路</w:t>
      </w:r>
      <w:r>
        <w:rPr>
          <w:rFonts w:hint="eastAsia" w:ascii="宋体" w:hAnsi="宋体" w:eastAsia="宋体" w:cs="宋体"/>
          <w:b/>
          <w:bCs/>
          <w:color w:val="000000" w:themeColor="text1"/>
          <w:sz w:val="36"/>
          <w:szCs w:val="36"/>
          <w:lang w:val="en-US" w:eastAsia="zh-CN"/>
          <w14:textFill>
            <w14:solidFill>
              <w14:schemeClr w14:val="tx1"/>
            </w14:solidFill>
          </w14:textFill>
        </w:rPr>
        <w:t>跨金水河桥梁</w:t>
      </w:r>
      <w:r>
        <w:rPr>
          <w:rFonts w:hint="eastAsia" w:ascii="宋体" w:hAnsi="宋体" w:eastAsia="宋体" w:cs="宋体"/>
          <w:b/>
          <w:bCs/>
          <w:color w:val="000000" w:themeColor="text1"/>
          <w:sz w:val="36"/>
          <w:szCs w:val="36"/>
          <w:lang w:eastAsia="zh-CN"/>
          <w14:textFill>
            <w14:solidFill>
              <w14:schemeClr w14:val="tx1"/>
            </w14:solidFill>
          </w14:textFill>
        </w:rPr>
        <w:t>工程项目</w:t>
      </w:r>
    </w:p>
    <w:p w14:paraId="6B6BEC41">
      <w:pPr>
        <w:numPr>
          <w:ilvl w:val="0"/>
          <w:numId w:val="0"/>
        </w:numPr>
        <w:spacing w:line="360" w:lineRule="auto"/>
        <w:jc w:val="center"/>
        <w:rPr>
          <w:rFonts w:hint="eastAsia" w:ascii="宋体" w:hAnsi="宋体" w:eastAsia="宋体" w:cs="宋体"/>
          <w:b/>
          <w:bCs/>
          <w:color w:val="000000" w:themeColor="text1"/>
          <w:sz w:val="36"/>
          <w:szCs w:val="36"/>
          <w:lang w:val="en-US" w:eastAsia="zh-CN"/>
          <w14:textFill>
            <w14:solidFill>
              <w14:schemeClr w14:val="tx1"/>
            </w14:solidFill>
          </w14:textFill>
        </w:rPr>
      </w:pPr>
      <w:r>
        <w:rPr>
          <w:rFonts w:hint="eastAsia" w:ascii="宋体" w:hAnsi="宋体" w:eastAsia="宋体" w:cs="宋体"/>
          <w:b/>
          <w:bCs/>
          <w:color w:val="000000" w:themeColor="text1"/>
          <w:sz w:val="36"/>
          <w:szCs w:val="36"/>
          <w:lang w:val="en-US" w:eastAsia="zh-CN"/>
          <w14:textFill>
            <w14:solidFill>
              <w14:schemeClr w14:val="tx1"/>
            </w14:solidFill>
          </w14:textFill>
        </w:rPr>
        <w:t>绩效评价报告</w:t>
      </w:r>
    </w:p>
    <w:p w14:paraId="5D5AA035">
      <w:pPr>
        <w:numPr>
          <w:ilvl w:val="0"/>
          <w:numId w:val="0"/>
        </w:numPr>
        <w:spacing w:line="360" w:lineRule="auto"/>
        <w:jc w:val="center"/>
        <w:rPr>
          <w:rFonts w:hint="eastAsia" w:ascii="宋体" w:hAnsi="宋体" w:eastAsia="宋体" w:cs="宋体"/>
          <w:b/>
          <w:bCs/>
          <w:color w:val="000000" w:themeColor="text1"/>
          <w:sz w:val="28"/>
          <w:szCs w:val="28"/>
          <w14:textFill>
            <w14:solidFill>
              <w14:schemeClr w14:val="tx1"/>
            </w14:solidFill>
          </w14:textFill>
        </w:rPr>
      </w:pPr>
    </w:p>
    <w:p w14:paraId="6A288DB5">
      <w:pPr>
        <w:numPr>
          <w:ilvl w:val="0"/>
          <w:numId w:val="0"/>
        </w:numPr>
        <w:spacing w:line="360" w:lineRule="auto"/>
        <w:jc w:val="center"/>
        <w:rPr>
          <w:rFonts w:hint="eastAsia" w:ascii="宋体" w:hAnsi="宋体" w:eastAsia="宋体" w:cs="宋体"/>
          <w:b/>
          <w:bCs/>
          <w:color w:val="000000" w:themeColor="text1"/>
          <w:sz w:val="28"/>
          <w:szCs w:val="28"/>
          <w14:textFill>
            <w14:solidFill>
              <w14:schemeClr w14:val="tx1"/>
            </w14:solidFill>
          </w14:textFill>
        </w:rPr>
      </w:pPr>
    </w:p>
    <w:p w14:paraId="70F3EE86">
      <w:pPr>
        <w:numPr>
          <w:ilvl w:val="0"/>
          <w:numId w:val="0"/>
        </w:numPr>
        <w:spacing w:line="360" w:lineRule="auto"/>
        <w:jc w:val="center"/>
        <w:rPr>
          <w:rFonts w:hint="eastAsia" w:ascii="宋体" w:hAnsi="宋体" w:eastAsia="宋体" w:cs="宋体"/>
          <w:b/>
          <w:bCs/>
          <w:color w:val="000000" w:themeColor="text1"/>
          <w:sz w:val="28"/>
          <w:szCs w:val="28"/>
          <w14:textFill>
            <w14:solidFill>
              <w14:schemeClr w14:val="tx1"/>
            </w14:solidFill>
          </w14:textFill>
        </w:rPr>
      </w:pPr>
    </w:p>
    <w:p w14:paraId="000D5CF6">
      <w:pPr>
        <w:numPr>
          <w:ilvl w:val="0"/>
          <w:numId w:val="0"/>
        </w:numPr>
        <w:spacing w:line="360" w:lineRule="auto"/>
        <w:jc w:val="center"/>
        <w:rPr>
          <w:rFonts w:hint="eastAsia" w:ascii="宋体" w:hAnsi="宋体" w:eastAsia="宋体" w:cs="宋体"/>
          <w:b/>
          <w:bCs/>
          <w:color w:val="000000" w:themeColor="text1"/>
          <w:sz w:val="28"/>
          <w:szCs w:val="28"/>
          <w14:textFill>
            <w14:solidFill>
              <w14:schemeClr w14:val="tx1"/>
            </w14:solidFill>
          </w14:textFill>
        </w:rPr>
      </w:pPr>
    </w:p>
    <w:p w14:paraId="424D5A03">
      <w:pPr>
        <w:numPr>
          <w:ilvl w:val="0"/>
          <w:numId w:val="0"/>
        </w:numPr>
        <w:spacing w:line="360" w:lineRule="auto"/>
        <w:jc w:val="center"/>
        <w:rPr>
          <w:rFonts w:hint="eastAsia" w:ascii="宋体" w:hAnsi="宋体" w:eastAsia="宋体" w:cs="宋体"/>
          <w:b/>
          <w:bCs/>
          <w:color w:val="000000" w:themeColor="text1"/>
          <w:sz w:val="28"/>
          <w:szCs w:val="28"/>
          <w14:textFill>
            <w14:solidFill>
              <w14:schemeClr w14:val="tx1"/>
            </w14:solidFill>
          </w14:textFill>
        </w:rPr>
      </w:pPr>
    </w:p>
    <w:p w14:paraId="31AD5F6F">
      <w:pPr>
        <w:numPr>
          <w:ilvl w:val="0"/>
          <w:numId w:val="0"/>
        </w:numPr>
        <w:spacing w:line="360" w:lineRule="auto"/>
        <w:jc w:val="center"/>
        <w:rPr>
          <w:rFonts w:hint="eastAsia" w:ascii="宋体" w:hAnsi="宋体" w:eastAsia="宋体" w:cs="宋体"/>
          <w:b/>
          <w:bCs/>
          <w:color w:val="000000" w:themeColor="text1"/>
          <w:sz w:val="28"/>
          <w:szCs w:val="28"/>
          <w14:textFill>
            <w14:solidFill>
              <w14:schemeClr w14:val="tx1"/>
            </w14:solidFill>
          </w14:textFill>
        </w:rPr>
      </w:pPr>
    </w:p>
    <w:p w14:paraId="2504AC2B">
      <w:pPr>
        <w:numPr>
          <w:ilvl w:val="0"/>
          <w:numId w:val="0"/>
        </w:numPr>
        <w:spacing w:line="360" w:lineRule="auto"/>
        <w:jc w:val="center"/>
        <w:rPr>
          <w:rFonts w:hint="eastAsia" w:ascii="宋体" w:hAnsi="宋体" w:eastAsia="宋体" w:cs="宋体"/>
          <w:b/>
          <w:bCs/>
          <w:color w:val="000000" w:themeColor="text1"/>
          <w:sz w:val="28"/>
          <w:szCs w:val="28"/>
          <w14:textFill>
            <w14:solidFill>
              <w14:schemeClr w14:val="tx1"/>
            </w14:solidFill>
          </w14:textFill>
        </w:rPr>
      </w:pPr>
    </w:p>
    <w:p w14:paraId="733CFBD7">
      <w:pPr>
        <w:numPr>
          <w:ilvl w:val="0"/>
          <w:numId w:val="0"/>
        </w:numPr>
        <w:spacing w:line="360" w:lineRule="auto"/>
        <w:jc w:val="center"/>
        <w:rPr>
          <w:rFonts w:hint="eastAsia" w:ascii="宋体" w:hAnsi="宋体" w:eastAsia="宋体" w:cs="宋体"/>
          <w:b/>
          <w:bCs/>
          <w:color w:val="000000" w:themeColor="text1"/>
          <w:sz w:val="28"/>
          <w:szCs w:val="28"/>
          <w14:textFill>
            <w14:solidFill>
              <w14:schemeClr w14:val="tx1"/>
            </w14:solidFill>
          </w14:textFill>
        </w:rPr>
      </w:pPr>
    </w:p>
    <w:p w14:paraId="37053F24">
      <w:pPr>
        <w:numPr>
          <w:ilvl w:val="0"/>
          <w:numId w:val="0"/>
        </w:numPr>
        <w:spacing w:line="360" w:lineRule="auto"/>
        <w:jc w:val="center"/>
        <w:rPr>
          <w:rFonts w:hint="eastAsia" w:ascii="宋体" w:hAnsi="宋体" w:eastAsia="宋体" w:cs="宋体"/>
          <w:b/>
          <w:bCs/>
          <w:color w:val="000000" w:themeColor="text1"/>
          <w:sz w:val="28"/>
          <w:szCs w:val="28"/>
          <w14:textFill>
            <w14:solidFill>
              <w14:schemeClr w14:val="tx1"/>
            </w14:solidFill>
          </w14:textFill>
        </w:rPr>
      </w:pPr>
    </w:p>
    <w:p w14:paraId="058CADC1">
      <w:pPr>
        <w:numPr>
          <w:ilvl w:val="0"/>
          <w:numId w:val="0"/>
        </w:numPr>
        <w:spacing w:line="360" w:lineRule="auto"/>
        <w:jc w:val="center"/>
        <w:rPr>
          <w:rFonts w:hint="eastAsia" w:ascii="宋体" w:hAnsi="宋体" w:eastAsia="宋体" w:cs="宋体"/>
          <w:b/>
          <w:bCs/>
          <w:color w:val="000000" w:themeColor="text1"/>
          <w:sz w:val="28"/>
          <w:szCs w:val="28"/>
          <w14:textFill>
            <w14:solidFill>
              <w14:schemeClr w14:val="tx1"/>
            </w14:solidFill>
          </w14:textFill>
        </w:rPr>
      </w:pPr>
    </w:p>
    <w:p w14:paraId="5AA6CBD3">
      <w:pPr>
        <w:numPr>
          <w:ilvl w:val="0"/>
          <w:numId w:val="0"/>
        </w:numPr>
        <w:spacing w:line="360" w:lineRule="auto"/>
        <w:jc w:val="center"/>
        <w:rPr>
          <w:rFonts w:hint="eastAsia" w:ascii="宋体" w:hAnsi="宋体" w:eastAsia="宋体" w:cs="宋体"/>
          <w:b/>
          <w:bCs/>
          <w:color w:val="000000" w:themeColor="text1"/>
          <w:sz w:val="28"/>
          <w:szCs w:val="28"/>
          <w14:textFill>
            <w14:solidFill>
              <w14:schemeClr w14:val="tx1"/>
            </w14:solidFill>
          </w14:textFill>
        </w:rPr>
      </w:pPr>
    </w:p>
    <w:p w14:paraId="60C366AA">
      <w:pPr>
        <w:numPr>
          <w:ilvl w:val="0"/>
          <w:numId w:val="0"/>
        </w:numPr>
        <w:spacing w:line="360" w:lineRule="auto"/>
        <w:jc w:val="center"/>
        <w:rPr>
          <w:rFonts w:hint="eastAsia" w:ascii="宋体" w:hAnsi="宋体" w:eastAsia="宋体" w:cs="宋体"/>
          <w:b/>
          <w:bCs/>
          <w:color w:val="000000" w:themeColor="text1"/>
          <w:sz w:val="28"/>
          <w:szCs w:val="28"/>
          <w14:textFill>
            <w14:solidFill>
              <w14:schemeClr w14:val="tx1"/>
            </w14:solidFill>
          </w14:textFill>
        </w:rPr>
      </w:pPr>
    </w:p>
    <w:p w14:paraId="2FC6B223">
      <w:pPr>
        <w:numPr>
          <w:ilvl w:val="0"/>
          <w:numId w:val="0"/>
        </w:numPr>
        <w:spacing w:line="360" w:lineRule="auto"/>
        <w:jc w:val="center"/>
        <w:rPr>
          <w:rFonts w:hint="eastAsia" w:ascii="宋体" w:hAnsi="宋体" w:eastAsia="宋体" w:cs="宋体"/>
          <w:b/>
          <w:bCs/>
          <w:color w:val="000000" w:themeColor="text1"/>
          <w:sz w:val="28"/>
          <w:szCs w:val="28"/>
          <w14:textFill>
            <w14:solidFill>
              <w14:schemeClr w14:val="tx1"/>
            </w14:solidFill>
          </w14:textFill>
        </w:rPr>
      </w:pPr>
    </w:p>
    <w:p w14:paraId="38F1524A">
      <w:pPr>
        <w:numPr>
          <w:ilvl w:val="0"/>
          <w:numId w:val="0"/>
        </w:numPr>
        <w:spacing w:line="360" w:lineRule="auto"/>
        <w:ind w:firstLine="1124" w:firstLineChars="400"/>
        <w:jc w:val="left"/>
        <w:rPr>
          <w:rFonts w:hint="eastAsia"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实施单位：三门峡市陕州区住房和城乡建设局</w:t>
      </w:r>
    </w:p>
    <w:p w14:paraId="2232732D">
      <w:pPr>
        <w:numPr>
          <w:ilvl w:val="0"/>
          <w:numId w:val="0"/>
        </w:numPr>
        <w:spacing w:line="360" w:lineRule="auto"/>
        <w:ind w:firstLine="1124" w:firstLineChars="400"/>
        <w:jc w:val="left"/>
        <w:rPr>
          <w:rFonts w:hint="eastAsia"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委托单位：三门峡市陕州区财政局</w:t>
      </w:r>
    </w:p>
    <w:p w14:paraId="17B3C944">
      <w:pPr>
        <w:numPr>
          <w:ilvl w:val="0"/>
          <w:numId w:val="0"/>
        </w:numPr>
        <w:spacing w:line="360" w:lineRule="auto"/>
        <w:ind w:firstLine="1124" w:firstLineChars="400"/>
        <w:jc w:val="left"/>
        <w:rPr>
          <w:rFonts w:hint="eastAsia"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评价单位：河南德友会计师事务所（普通合伙）</w:t>
      </w:r>
    </w:p>
    <w:p w14:paraId="607AACC4">
      <w:pPr>
        <w:numPr>
          <w:ilvl w:val="0"/>
          <w:numId w:val="0"/>
        </w:numPr>
        <w:spacing w:line="360" w:lineRule="auto"/>
        <w:ind w:firstLine="1124" w:firstLineChars="400"/>
        <w:jc w:val="left"/>
        <w:rPr>
          <w:rFonts w:hint="default" w:ascii="宋体" w:hAnsi="宋体" w:eastAsia="宋体" w:cs="宋体"/>
          <w:b/>
          <w:bCs/>
          <w:color w:val="000000" w:themeColor="text1"/>
          <w:sz w:val="28"/>
          <w:szCs w:val="28"/>
          <w:lang w:val="en-US"/>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评价日期：2025年12月</w:t>
      </w:r>
      <w:r>
        <w:rPr>
          <w:rFonts w:hint="eastAsia" w:ascii="宋体" w:hAnsi="宋体" w:cs="宋体"/>
          <w:b/>
          <w:bCs/>
          <w:color w:val="000000" w:themeColor="text1"/>
          <w:sz w:val="28"/>
          <w:szCs w:val="28"/>
          <w:lang w:val="en-US" w:eastAsia="zh-CN"/>
          <w14:textFill>
            <w14:solidFill>
              <w14:schemeClr w14:val="tx1"/>
            </w14:solidFill>
          </w14:textFill>
        </w:rPr>
        <w:t>23日</w:t>
      </w:r>
    </w:p>
    <w:p w14:paraId="6A05D4EC">
      <w:pPr>
        <w:numPr>
          <w:ilvl w:val="0"/>
          <w:numId w:val="0"/>
        </w:numPr>
        <w:spacing w:line="360" w:lineRule="auto"/>
        <w:jc w:val="both"/>
        <w:rPr>
          <w:rFonts w:hint="eastAsia" w:ascii="宋体" w:hAnsi="宋体" w:eastAsia="宋体" w:cs="宋体"/>
          <w:b/>
          <w:bCs/>
          <w:color w:val="000000" w:themeColor="text1"/>
          <w:sz w:val="28"/>
          <w:szCs w:val="28"/>
          <w14:textFill>
            <w14:solidFill>
              <w14:schemeClr w14:val="tx1"/>
            </w14:solidFill>
          </w14:textFill>
        </w:rPr>
      </w:pPr>
    </w:p>
    <w:sdt>
      <w:sdtPr>
        <w:rPr>
          <w:rFonts w:ascii="宋体" w:hAnsi="宋体" w:eastAsia="宋体" w:cs="Calibri"/>
          <w:b w:val="0"/>
          <w:bCs w:val="0"/>
          <w:kern w:val="2"/>
          <w:sz w:val="28"/>
          <w:szCs w:val="28"/>
          <w:lang w:val="en-US" w:eastAsia="zh-CN" w:bidi="ar-SA"/>
        </w:rPr>
        <w:id w:val="147474101"/>
        <w15:color w:val="DBDBDB"/>
        <w:docPartObj>
          <w:docPartGallery w:val="Table of Contents"/>
          <w:docPartUnique/>
        </w:docPartObj>
      </w:sdtPr>
      <w:sdtEndPr>
        <w:rPr>
          <w:rFonts w:hint="eastAsia" w:ascii="宋体" w:hAnsi="宋体" w:eastAsia="宋体" w:cs="宋体"/>
          <w:b w:val="0"/>
          <w:bCs/>
          <w:color w:val="000000" w:themeColor="text1"/>
          <w:kern w:val="2"/>
          <w:sz w:val="21"/>
          <w:szCs w:val="28"/>
          <w:lang w:val="en-US" w:eastAsia="zh-CN" w:bidi="ar-SA"/>
          <w14:textFill>
            <w14:solidFill>
              <w14:schemeClr w14:val="tx1"/>
            </w14:solidFill>
          </w14:textFill>
        </w:rPr>
      </w:sdtEndPr>
      <w:sdtContent>
        <w:p w14:paraId="61DCC9A4">
          <w:pPr>
            <w:spacing w:before="0" w:beforeLines="0" w:after="0" w:afterLines="0" w:line="360" w:lineRule="auto"/>
            <w:ind w:left="0" w:leftChars="0" w:right="0" w:rightChars="0" w:firstLine="0" w:firstLineChars="0"/>
            <w:jc w:val="center"/>
            <w:rPr>
              <w:rFonts w:hint="eastAsia" w:ascii="宋体" w:hAnsi="宋体" w:eastAsia="宋体" w:cs="宋体"/>
              <w:b w:val="0"/>
              <w:bCs w:val="0"/>
              <w:sz w:val="28"/>
              <w:szCs w:val="28"/>
            </w:rPr>
          </w:pPr>
          <w:r>
            <w:rPr>
              <w:rFonts w:hint="eastAsia" w:ascii="宋体" w:hAnsi="宋体" w:eastAsia="宋体" w:cs="宋体"/>
              <w:b w:val="0"/>
              <w:bCs w:val="0"/>
              <w:sz w:val="28"/>
              <w:szCs w:val="28"/>
            </w:rPr>
            <w:t>目</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录</w:t>
          </w:r>
        </w:p>
        <w:p w14:paraId="0B1E6977">
          <w:pPr>
            <w:pStyle w:val="6"/>
            <w:tabs>
              <w:tab w:val="right" w:leader="dot" w:pos="8306"/>
            </w:tabs>
          </w:pPr>
          <w:r>
            <w:rPr>
              <w:rFonts w:hint="eastAsia" w:ascii="宋体" w:hAnsi="宋体" w:eastAsia="宋体" w:cs="宋体"/>
              <w:b/>
              <w:bCs/>
              <w:color w:val="000000" w:themeColor="text1"/>
              <w:sz w:val="24"/>
              <w:szCs w:val="24"/>
              <w14:textFill>
                <w14:solidFill>
                  <w14:schemeClr w14:val="tx1"/>
                </w14:solidFill>
              </w14:textFill>
            </w:rPr>
            <w:fldChar w:fldCharType="begin"/>
          </w:r>
          <w:r>
            <w:rPr>
              <w:rFonts w:hint="eastAsia" w:ascii="宋体" w:hAnsi="宋体" w:eastAsia="宋体" w:cs="宋体"/>
              <w:b/>
              <w:bCs/>
              <w:color w:val="000000" w:themeColor="text1"/>
              <w:sz w:val="24"/>
              <w:szCs w:val="24"/>
              <w14:textFill>
                <w14:solidFill>
                  <w14:schemeClr w14:val="tx1"/>
                </w14:solidFill>
              </w14:textFill>
            </w:rPr>
            <w:instrText xml:space="preserve">TOC \o "1-3" \h \u </w:instrText>
          </w:r>
          <w:r>
            <w:rPr>
              <w:rFonts w:hint="eastAsia" w:ascii="宋体" w:hAnsi="宋体" w:eastAsia="宋体" w:cs="宋体"/>
              <w:b/>
              <w:bCs/>
              <w:color w:val="000000" w:themeColor="text1"/>
              <w:sz w:val="24"/>
              <w:szCs w:val="24"/>
              <w14:textFill>
                <w14:solidFill>
                  <w14:schemeClr w14:val="tx1"/>
                </w14:solidFill>
              </w14:textFill>
            </w:rPr>
            <w:fldChar w:fldCharType="separate"/>
          </w: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_Toc10583 </w:instrText>
          </w:r>
          <w:r>
            <w:rPr>
              <w:rFonts w:hint="eastAsia" w:ascii="宋体" w:hAnsi="宋体" w:eastAsia="宋体" w:cs="宋体"/>
              <w:bCs/>
              <w:szCs w:val="24"/>
            </w:rPr>
            <w:fldChar w:fldCharType="separate"/>
          </w:r>
          <w:r>
            <w:rPr>
              <w:rFonts w:hint="eastAsia" w:ascii="宋体" w:hAnsi="宋体" w:eastAsia="宋体" w:cs="宋体"/>
              <w:bCs/>
              <w:szCs w:val="28"/>
            </w:rPr>
            <w:t xml:space="preserve">一、 </w:t>
          </w:r>
          <w:r>
            <w:rPr>
              <w:rFonts w:hint="eastAsia" w:ascii="宋体" w:hAnsi="宋体" w:eastAsia="宋体" w:cs="宋体"/>
              <w:bCs/>
              <w:snapToGrid w:val="0"/>
              <w:kern w:val="0"/>
              <w:szCs w:val="28"/>
            </w:rPr>
            <w:t>概述</w:t>
          </w:r>
          <w:r>
            <w:tab/>
          </w:r>
          <w:r>
            <w:fldChar w:fldCharType="begin"/>
          </w:r>
          <w:r>
            <w:instrText xml:space="preserve"> PAGEREF _Toc10583 \h </w:instrText>
          </w:r>
          <w:r>
            <w:fldChar w:fldCharType="separate"/>
          </w:r>
          <w:r>
            <w:t>1</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6884F209">
          <w:pPr>
            <w:pStyle w:val="7"/>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_Toc21733 </w:instrText>
          </w:r>
          <w:r>
            <w:rPr>
              <w:rFonts w:hint="eastAsia" w:ascii="宋体" w:hAnsi="宋体" w:eastAsia="宋体" w:cs="宋体"/>
              <w:bCs/>
              <w:szCs w:val="24"/>
            </w:rPr>
            <w:fldChar w:fldCharType="separate"/>
          </w:r>
          <w:r>
            <w:rPr>
              <w:rFonts w:hint="eastAsia" w:ascii="宋体" w:hAnsi="宋体" w:eastAsia="宋体" w:cs="宋体"/>
              <w:kern w:val="44"/>
              <w:szCs w:val="28"/>
            </w:rPr>
            <w:t>（一） 项目单位基本情况</w:t>
          </w:r>
          <w:r>
            <w:tab/>
          </w:r>
          <w:r>
            <w:fldChar w:fldCharType="begin"/>
          </w:r>
          <w:r>
            <w:instrText xml:space="preserve"> PAGEREF _Toc21733 \h </w:instrText>
          </w:r>
          <w:r>
            <w:fldChar w:fldCharType="separate"/>
          </w:r>
          <w:r>
            <w:t>1</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3CF189CF">
          <w:pPr>
            <w:pStyle w:val="7"/>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_Toc12470 </w:instrText>
          </w:r>
          <w:r>
            <w:rPr>
              <w:rFonts w:hint="eastAsia" w:ascii="宋体" w:hAnsi="宋体" w:eastAsia="宋体" w:cs="宋体"/>
              <w:bCs/>
              <w:szCs w:val="24"/>
            </w:rPr>
            <w:fldChar w:fldCharType="separate"/>
          </w:r>
          <w:r>
            <w:rPr>
              <w:rFonts w:hint="eastAsia" w:ascii="宋体" w:hAnsi="宋体" w:eastAsia="宋体" w:cs="宋体"/>
              <w:kern w:val="44"/>
              <w:szCs w:val="28"/>
            </w:rPr>
            <w:t xml:space="preserve">（二） </w:t>
          </w:r>
          <w:r>
            <w:rPr>
              <w:rFonts w:hint="eastAsia" w:ascii="宋体" w:hAnsi="宋体" w:eastAsia="宋体" w:cs="宋体"/>
              <w:kern w:val="44"/>
              <w:szCs w:val="28"/>
              <w:lang w:val="en-US" w:eastAsia="zh-CN"/>
            </w:rPr>
            <w:t>项目单位</w:t>
          </w:r>
          <w:r>
            <w:rPr>
              <w:rFonts w:hint="eastAsia" w:ascii="宋体" w:hAnsi="宋体" w:eastAsia="宋体" w:cs="宋体"/>
              <w:kern w:val="44"/>
              <w:szCs w:val="28"/>
            </w:rPr>
            <w:t>机构组成</w:t>
          </w:r>
          <w:r>
            <w:tab/>
          </w:r>
          <w:r>
            <w:fldChar w:fldCharType="begin"/>
          </w:r>
          <w:r>
            <w:instrText xml:space="preserve"> PAGEREF _Toc12470 \h </w:instrText>
          </w:r>
          <w:r>
            <w:fldChar w:fldCharType="separate"/>
          </w:r>
          <w:r>
            <w:t>1</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3FBFA6E9">
          <w:pPr>
            <w:pStyle w:val="7"/>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_Toc24448 </w:instrText>
          </w:r>
          <w:r>
            <w:rPr>
              <w:rFonts w:hint="eastAsia" w:ascii="宋体" w:hAnsi="宋体" w:eastAsia="宋体" w:cs="宋体"/>
              <w:bCs/>
              <w:szCs w:val="24"/>
            </w:rPr>
            <w:fldChar w:fldCharType="separate"/>
          </w:r>
          <w:r>
            <w:rPr>
              <w:rFonts w:hint="eastAsia" w:ascii="宋体" w:hAnsi="宋体" w:eastAsia="宋体" w:cs="宋体"/>
              <w:kern w:val="44"/>
              <w:szCs w:val="28"/>
            </w:rPr>
            <w:t xml:space="preserve">（三） </w:t>
          </w:r>
          <w:r>
            <w:rPr>
              <w:rFonts w:hint="eastAsia" w:ascii="宋体" w:hAnsi="宋体" w:eastAsia="宋体" w:cs="宋体"/>
              <w:kern w:val="44"/>
              <w:szCs w:val="28"/>
              <w:lang w:val="en-US" w:eastAsia="zh-CN"/>
            </w:rPr>
            <w:t>项目单位</w:t>
          </w:r>
          <w:r>
            <w:rPr>
              <w:rFonts w:hint="eastAsia" w:ascii="宋体" w:hAnsi="宋体" w:eastAsia="宋体" w:cs="宋体"/>
              <w:kern w:val="44"/>
              <w:szCs w:val="28"/>
            </w:rPr>
            <w:t>主要职责</w:t>
          </w:r>
          <w:r>
            <w:tab/>
          </w:r>
          <w:r>
            <w:fldChar w:fldCharType="begin"/>
          </w:r>
          <w:r>
            <w:instrText xml:space="preserve"> PAGEREF _Toc24448 \h </w:instrText>
          </w:r>
          <w:r>
            <w:fldChar w:fldCharType="separate"/>
          </w:r>
          <w:r>
            <w:t>4</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6A3AB06F">
          <w:pPr>
            <w:pStyle w:val="7"/>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_Toc13148 </w:instrText>
          </w:r>
          <w:r>
            <w:rPr>
              <w:rFonts w:hint="eastAsia" w:ascii="宋体" w:hAnsi="宋体" w:eastAsia="宋体" w:cs="宋体"/>
              <w:bCs/>
              <w:szCs w:val="24"/>
            </w:rPr>
            <w:fldChar w:fldCharType="separate"/>
          </w:r>
          <w:r>
            <w:rPr>
              <w:rFonts w:hint="eastAsia" w:ascii="宋体" w:hAnsi="宋体" w:eastAsia="宋体" w:cs="宋体"/>
              <w:kern w:val="44"/>
              <w:szCs w:val="28"/>
            </w:rPr>
            <w:t>（四） 项目概况</w:t>
          </w:r>
          <w:r>
            <w:tab/>
          </w:r>
          <w:r>
            <w:fldChar w:fldCharType="begin"/>
          </w:r>
          <w:r>
            <w:instrText xml:space="preserve"> PAGEREF _Toc13148 \h </w:instrText>
          </w:r>
          <w:r>
            <w:fldChar w:fldCharType="separate"/>
          </w:r>
          <w:r>
            <w:t>7</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03CC9953">
          <w:pPr>
            <w:pStyle w:val="3"/>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_Toc25166 </w:instrText>
          </w:r>
          <w:r>
            <w:rPr>
              <w:rFonts w:hint="eastAsia" w:ascii="宋体" w:hAnsi="宋体" w:eastAsia="宋体" w:cs="宋体"/>
              <w:bCs/>
              <w:szCs w:val="24"/>
            </w:rPr>
            <w:fldChar w:fldCharType="separate"/>
          </w:r>
          <w:r>
            <w:rPr>
              <w:rFonts w:hint="default" w:ascii="宋体" w:hAnsi="宋体" w:eastAsia="宋体" w:cs="宋体"/>
              <w:kern w:val="44"/>
              <w:szCs w:val="28"/>
              <w:lang w:val="en-US" w:eastAsia="zh-CN"/>
            </w:rPr>
            <w:t xml:space="preserve">1． </w:t>
          </w:r>
          <w:r>
            <w:rPr>
              <w:rFonts w:hint="eastAsia" w:ascii="宋体" w:hAnsi="宋体" w:eastAsia="宋体" w:cs="宋体"/>
              <w:kern w:val="44"/>
              <w:szCs w:val="28"/>
              <w:lang w:val="en-US" w:eastAsia="zh-CN"/>
            </w:rPr>
            <w:t>项目主要内容</w:t>
          </w:r>
          <w:r>
            <w:tab/>
          </w:r>
          <w:r>
            <w:fldChar w:fldCharType="begin"/>
          </w:r>
          <w:r>
            <w:instrText xml:space="preserve"> PAGEREF _Toc25166 \h </w:instrText>
          </w:r>
          <w:r>
            <w:fldChar w:fldCharType="separate"/>
          </w:r>
          <w:r>
            <w:t>7</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47B95F1C">
          <w:pPr>
            <w:pStyle w:val="3"/>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_Toc13402 </w:instrText>
          </w:r>
          <w:r>
            <w:rPr>
              <w:rFonts w:hint="eastAsia" w:ascii="宋体" w:hAnsi="宋体" w:eastAsia="宋体" w:cs="宋体"/>
              <w:bCs/>
              <w:szCs w:val="24"/>
            </w:rPr>
            <w:fldChar w:fldCharType="separate"/>
          </w:r>
          <w:r>
            <w:rPr>
              <w:rFonts w:hint="default" w:ascii="宋体" w:hAnsi="宋体" w:eastAsia="宋体" w:cs="宋体"/>
              <w:kern w:val="44"/>
              <w:szCs w:val="28"/>
              <w:lang w:val="en-US" w:eastAsia="zh-CN"/>
            </w:rPr>
            <w:t xml:space="preserve">2． </w:t>
          </w:r>
          <w:r>
            <w:rPr>
              <w:rFonts w:hint="eastAsia" w:ascii="宋体" w:hAnsi="宋体" w:eastAsia="宋体" w:cs="宋体"/>
              <w:kern w:val="44"/>
              <w:szCs w:val="28"/>
              <w:highlight w:val="none"/>
              <w:lang w:val="en-US" w:eastAsia="zh-CN"/>
            </w:rPr>
            <w:t>立项依据</w:t>
          </w:r>
          <w:r>
            <w:tab/>
          </w:r>
          <w:r>
            <w:fldChar w:fldCharType="begin"/>
          </w:r>
          <w:r>
            <w:instrText xml:space="preserve"> PAGEREF _Toc13402 \h </w:instrText>
          </w:r>
          <w:r>
            <w:fldChar w:fldCharType="separate"/>
          </w:r>
          <w:r>
            <w:t>7</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78FF7201">
          <w:pPr>
            <w:pStyle w:val="3"/>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_Toc17984 </w:instrText>
          </w:r>
          <w:r>
            <w:rPr>
              <w:rFonts w:hint="eastAsia" w:ascii="宋体" w:hAnsi="宋体" w:eastAsia="宋体" w:cs="宋体"/>
              <w:bCs/>
              <w:szCs w:val="24"/>
            </w:rPr>
            <w:fldChar w:fldCharType="separate"/>
          </w:r>
          <w:r>
            <w:rPr>
              <w:rFonts w:hint="default" w:ascii="宋体" w:hAnsi="宋体" w:eastAsia="宋体" w:cs="宋体"/>
              <w:kern w:val="44"/>
              <w:szCs w:val="28"/>
              <w:lang w:val="en-US" w:eastAsia="zh-CN"/>
            </w:rPr>
            <w:t xml:space="preserve">3． </w:t>
          </w:r>
          <w:r>
            <w:rPr>
              <w:rFonts w:hint="eastAsia" w:ascii="宋体" w:hAnsi="宋体" w:eastAsia="宋体" w:cs="宋体"/>
              <w:kern w:val="44"/>
              <w:szCs w:val="28"/>
              <w:highlight w:val="none"/>
              <w:lang w:val="en-US" w:eastAsia="zh-CN"/>
            </w:rPr>
            <w:t>项目背景</w:t>
          </w:r>
          <w:r>
            <w:tab/>
          </w:r>
          <w:r>
            <w:fldChar w:fldCharType="begin"/>
          </w:r>
          <w:r>
            <w:instrText xml:space="preserve"> PAGEREF _Toc17984 \h </w:instrText>
          </w:r>
          <w:r>
            <w:fldChar w:fldCharType="separate"/>
          </w:r>
          <w:r>
            <w:t>8</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1A9E8FAE">
          <w:pPr>
            <w:pStyle w:val="7"/>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_Toc19036 </w:instrText>
          </w:r>
          <w:r>
            <w:rPr>
              <w:rFonts w:hint="eastAsia" w:ascii="宋体" w:hAnsi="宋体" w:eastAsia="宋体" w:cs="宋体"/>
              <w:bCs/>
              <w:szCs w:val="24"/>
            </w:rPr>
            <w:fldChar w:fldCharType="separate"/>
          </w:r>
          <w:r>
            <w:rPr>
              <w:rFonts w:hint="eastAsia" w:ascii="宋体" w:hAnsi="宋体" w:eastAsia="宋体" w:cs="宋体"/>
              <w:kern w:val="44"/>
              <w:szCs w:val="28"/>
            </w:rPr>
            <w:t xml:space="preserve">（五） </w:t>
          </w:r>
          <w:r>
            <w:rPr>
              <w:rFonts w:hint="eastAsia" w:ascii="宋体" w:hAnsi="宋体" w:eastAsia="宋体" w:cs="宋体"/>
              <w:kern w:val="44"/>
              <w:szCs w:val="28"/>
              <w:highlight w:val="none"/>
            </w:rPr>
            <w:t>项目资金情况</w:t>
          </w:r>
          <w:r>
            <w:tab/>
          </w:r>
          <w:r>
            <w:fldChar w:fldCharType="begin"/>
          </w:r>
          <w:r>
            <w:instrText xml:space="preserve"> PAGEREF _Toc19036 \h </w:instrText>
          </w:r>
          <w:r>
            <w:fldChar w:fldCharType="separate"/>
          </w:r>
          <w:r>
            <w:t>11</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745E2683">
          <w:pPr>
            <w:pStyle w:val="7"/>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_Toc23249 </w:instrText>
          </w:r>
          <w:r>
            <w:rPr>
              <w:rFonts w:hint="eastAsia" w:ascii="宋体" w:hAnsi="宋体" w:eastAsia="宋体" w:cs="宋体"/>
              <w:bCs/>
              <w:szCs w:val="24"/>
            </w:rPr>
            <w:fldChar w:fldCharType="separate"/>
          </w:r>
          <w:r>
            <w:rPr>
              <w:rFonts w:hint="eastAsia" w:ascii="宋体" w:hAnsi="宋体" w:eastAsia="宋体" w:cs="宋体"/>
              <w:kern w:val="44"/>
              <w:szCs w:val="28"/>
            </w:rPr>
            <w:t xml:space="preserve">（六） </w:t>
          </w:r>
          <w:r>
            <w:rPr>
              <w:rFonts w:hint="eastAsia" w:ascii="宋体" w:hAnsi="宋体" w:eastAsia="宋体" w:cs="宋体"/>
              <w:kern w:val="44"/>
              <w:szCs w:val="28"/>
              <w:highlight w:val="none"/>
            </w:rPr>
            <w:t>绩效目标</w:t>
          </w:r>
          <w:r>
            <w:tab/>
          </w:r>
          <w:r>
            <w:fldChar w:fldCharType="begin"/>
          </w:r>
          <w:r>
            <w:instrText xml:space="preserve"> PAGEREF _Toc23249 \h </w:instrText>
          </w:r>
          <w:r>
            <w:fldChar w:fldCharType="separate"/>
          </w:r>
          <w:r>
            <w:t>12</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71395424">
          <w:pPr>
            <w:pStyle w:val="6"/>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_Toc13444 </w:instrText>
          </w:r>
          <w:r>
            <w:rPr>
              <w:rFonts w:hint="eastAsia" w:ascii="宋体" w:hAnsi="宋体" w:eastAsia="宋体" w:cs="宋体"/>
              <w:bCs/>
              <w:szCs w:val="24"/>
            </w:rPr>
            <w:fldChar w:fldCharType="separate"/>
          </w:r>
          <w:r>
            <w:rPr>
              <w:rFonts w:hint="eastAsia" w:ascii="宋体" w:hAnsi="宋体" w:eastAsia="宋体" w:cs="宋体"/>
              <w:bCs/>
              <w:snapToGrid w:val="0"/>
              <w:kern w:val="0"/>
              <w:szCs w:val="28"/>
            </w:rPr>
            <w:t>二、 评价工作简述</w:t>
          </w:r>
          <w:r>
            <w:tab/>
          </w:r>
          <w:r>
            <w:fldChar w:fldCharType="begin"/>
          </w:r>
          <w:r>
            <w:instrText xml:space="preserve"> PAGEREF _Toc13444 \h </w:instrText>
          </w:r>
          <w:r>
            <w:fldChar w:fldCharType="separate"/>
          </w:r>
          <w:r>
            <w:t>15</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242C0960">
          <w:pPr>
            <w:pStyle w:val="7"/>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_Toc8674 </w:instrText>
          </w:r>
          <w:r>
            <w:rPr>
              <w:rFonts w:hint="eastAsia" w:ascii="宋体" w:hAnsi="宋体" w:eastAsia="宋体" w:cs="宋体"/>
              <w:bCs/>
              <w:szCs w:val="24"/>
            </w:rPr>
            <w:fldChar w:fldCharType="separate"/>
          </w:r>
          <w:r>
            <w:rPr>
              <w:rFonts w:hint="eastAsia" w:ascii="宋体" w:hAnsi="宋体" w:eastAsia="宋体" w:cs="宋体"/>
              <w:kern w:val="44"/>
              <w:szCs w:val="28"/>
            </w:rPr>
            <w:t>（一） 基本情况</w:t>
          </w:r>
          <w:r>
            <w:tab/>
          </w:r>
          <w:r>
            <w:fldChar w:fldCharType="begin"/>
          </w:r>
          <w:r>
            <w:instrText xml:space="preserve"> PAGEREF _Toc8674 \h </w:instrText>
          </w:r>
          <w:r>
            <w:fldChar w:fldCharType="separate"/>
          </w:r>
          <w:r>
            <w:t>15</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60549D0B">
          <w:pPr>
            <w:pStyle w:val="3"/>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_Toc22357 </w:instrText>
          </w:r>
          <w:r>
            <w:rPr>
              <w:rFonts w:hint="eastAsia" w:ascii="宋体" w:hAnsi="宋体" w:eastAsia="宋体" w:cs="宋体"/>
              <w:bCs/>
              <w:szCs w:val="24"/>
            </w:rPr>
            <w:fldChar w:fldCharType="separate"/>
          </w:r>
          <w:r>
            <w:rPr>
              <w:rFonts w:hint="default" w:ascii="宋体" w:hAnsi="宋体" w:eastAsia="宋体" w:cs="宋体"/>
              <w:kern w:val="44"/>
              <w:szCs w:val="28"/>
              <w:lang w:val="en-US" w:eastAsia="zh-CN"/>
            </w:rPr>
            <w:t xml:space="preserve">1． </w:t>
          </w:r>
          <w:r>
            <w:rPr>
              <w:rFonts w:hint="eastAsia" w:ascii="宋体" w:hAnsi="宋体" w:eastAsia="宋体" w:cs="宋体"/>
              <w:kern w:val="44"/>
              <w:szCs w:val="28"/>
              <w:lang w:val="en-US" w:eastAsia="zh-CN"/>
            </w:rPr>
            <w:t>评价目的</w:t>
          </w:r>
          <w:r>
            <w:tab/>
          </w:r>
          <w:r>
            <w:fldChar w:fldCharType="begin"/>
          </w:r>
          <w:r>
            <w:instrText xml:space="preserve"> PAGEREF _Toc22357 \h </w:instrText>
          </w:r>
          <w:r>
            <w:fldChar w:fldCharType="separate"/>
          </w:r>
          <w:r>
            <w:t>15</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2D4B6FC0">
          <w:pPr>
            <w:pStyle w:val="3"/>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_Toc14215 </w:instrText>
          </w:r>
          <w:r>
            <w:rPr>
              <w:rFonts w:hint="eastAsia" w:ascii="宋体" w:hAnsi="宋体" w:eastAsia="宋体" w:cs="宋体"/>
              <w:bCs/>
              <w:szCs w:val="24"/>
            </w:rPr>
            <w:fldChar w:fldCharType="separate"/>
          </w:r>
          <w:r>
            <w:rPr>
              <w:rFonts w:hint="default" w:ascii="宋体" w:hAnsi="宋体" w:eastAsia="宋体" w:cs="宋体"/>
              <w:kern w:val="44"/>
              <w:szCs w:val="28"/>
              <w:lang w:val="en-US" w:eastAsia="zh-CN"/>
            </w:rPr>
            <w:t xml:space="preserve">2． </w:t>
          </w:r>
          <w:r>
            <w:rPr>
              <w:rFonts w:hint="eastAsia" w:ascii="宋体" w:hAnsi="宋体" w:eastAsia="宋体" w:cs="宋体"/>
              <w:kern w:val="44"/>
              <w:szCs w:val="28"/>
              <w:lang w:val="en-US" w:eastAsia="zh-CN"/>
            </w:rPr>
            <w:t>评价原则</w:t>
          </w:r>
          <w:r>
            <w:tab/>
          </w:r>
          <w:r>
            <w:fldChar w:fldCharType="begin"/>
          </w:r>
          <w:r>
            <w:instrText xml:space="preserve"> PAGEREF _Toc14215 \h </w:instrText>
          </w:r>
          <w:r>
            <w:fldChar w:fldCharType="separate"/>
          </w:r>
          <w:r>
            <w:t>15</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1C93EFF9">
          <w:pPr>
            <w:pStyle w:val="3"/>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_Toc27072 </w:instrText>
          </w:r>
          <w:r>
            <w:rPr>
              <w:rFonts w:hint="eastAsia" w:ascii="宋体" w:hAnsi="宋体" w:eastAsia="宋体" w:cs="宋体"/>
              <w:bCs/>
              <w:szCs w:val="24"/>
            </w:rPr>
            <w:fldChar w:fldCharType="separate"/>
          </w:r>
          <w:r>
            <w:rPr>
              <w:rFonts w:hint="default" w:ascii="宋体" w:hAnsi="宋体" w:eastAsia="宋体" w:cs="宋体"/>
              <w:kern w:val="44"/>
              <w:szCs w:val="28"/>
              <w:lang w:val="en-US" w:eastAsia="zh-CN"/>
            </w:rPr>
            <w:t xml:space="preserve">3． </w:t>
          </w:r>
          <w:r>
            <w:rPr>
              <w:rFonts w:hint="eastAsia" w:ascii="宋体" w:hAnsi="宋体" w:eastAsia="宋体" w:cs="宋体"/>
              <w:kern w:val="44"/>
              <w:szCs w:val="28"/>
              <w:lang w:val="en-US" w:eastAsia="zh-CN"/>
            </w:rPr>
            <w:t>评价方法</w:t>
          </w:r>
          <w:r>
            <w:tab/>
          </w:r>
          <w:r>
            <w:fldChar w:fldCharType="begin"/>
          </w:r>
          <w:r>
            <w:instrText xml:space="preserve"> PAGEREF _Toc27072 \h </w:instrText>
          </w:r>
          <w:r>
            <w:fldChar w:fldCharType="separate"/>
          </w:r>
          <w:r>
            <w:t>16</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57679065">
          <w:pPr>
            <w:pStyle w:val="3"/>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_Toc7508 </w:instrText>
          </w:r>
          <w:r>
            <w:rPr>
              <w:rFonts w:hint="eastAsia" w:ascii="宋体" w:hAnsi="宋体" w:eastAsia="宋体" w:cs="宋体"/>
              <w:bCs/>
              <w:szCs w:val="24"/>
            </w:rPr>
            <w:fldChar w:fldCharType="separate"/>
          </w:r>
          <w:r>
            <w:rPr>
              <w:rFonts w:hint="default" w:ascii="宋体" w:hAnsi="宋体" w:eastAsia="宋体" w:cs="宋体"/>
              <w:kern w:val="44"/>
              <w:szCs w:val="28"/>
              <w:lang w:val="en-US" w:eastAsia="zh-CN"/>
            </w:rPr>
            <w:t xml:space="preserve">4． </w:t>
          </w:r>
          <w:r>
            <w:rPr>
              <w:rFonts w:hint="eastAsia" w:ascii="宋体" w:hAnsi="宋体" w:eastAsia="宋体" w:cs="宋体"/>
              <w:kern w:val="44"/>
              <w:szCs w:val="28"/>
              <w:lang w:val="en-US" w:eastAsia="zh-CN"/>
            </w:rPr>
            <w:t>指标体系</w:t>
          </w:r>
          <w:r>
            <w:tab/>
          </w:r>
          <w:r>
            <w:fldChar w:fldCharType="begin"/>
          </w:r>
          <w:r>
            <w:instrText xml:space="preserve"> PAGEREF _Toc7508 \h </w:instrText>
          </w:r>
          <w:r>
            <w:fldChar w:fldCharType="separate"/>
          </w:r>
          <w:r>
            <w:t>17</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7DC4EE7C">
          <w:pPr>
            <w:pStyle w:val="7"/>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_Toc7121 </w:instrText>
          </w:r>
          <w:r>
            <w:rPr>
              <w:rFonts w:hint="eastAsia" w:ascii="宋体" w:hAnsi="宋体" w:eastAsia="宋体" w:cs="宋体"/>
              <w:bCs/>
              <w:szCs w:val="24"/>
            </w:rPr>
            <w:fldChar w:fldCharType="separate"/>
          </w:r>
          <w:r>
            <w:rPr>
              <w:rFonts w:hint="eastAsia" w:ascii="宋体" w:hAnsi="宋体" w:eastAsia="宋体" w:cs="宋体"/>
              <w:kern w:val="44"/>
              <w:szCs w:val="28"/>
            </w:rPr>
            <w:t>（二） 评价组织实施</w:t>
          </w:r>
          <w:r>
            <w:tab/>
          </w:r>
          <w:r>
            <w:fldChar w:fldCharType="begin"/>
          </w:r>
          <w:r>
            <w:instrText xml:space="preserve"> PAGEREF _Toc7121 \h </w:instrText>
          </w:r>
          <w:r>
            <w:fldChar w:fldCharType="separate"/>
          </w:r>
          <w:r>
            <w:t>27</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687B5FB1">
          <w:pPr>
            <w:pStyle w:val="3"/>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_Toc11487 </w:instrText>
          </w:r>
          <w:r>
            <w:rPr>
              <w:rFonts w:hint="eastAsia" w:ascii="宋体" w:hAnsi="宋体" w:eastAsia="宋体" w:cs="宋体"/>
              <w:bCs/>
              <w:szCs w:val="24"/>
            </w:rPr>
            <w:fldChar w:fldCharType="separate"/>
          </w:r>
          <w:r>
            <w:rPr>
              <w:rFonts w:hint="default" w:ascii="宋体" w:hAnsi="宋体" w:eastAsia="宋体" w:cs="宋体"/>
              <w:kern w:val="44"/>
              <w:szCs w:val="28"/>
              <w:lang w:val="en-US" w:eastAsia="zh-CN"/>
            </w:rPr>
            <w:t xml:space="preserve">1． </w:t>
          </w:r>
          <w:r>
            <w:rPr>
              <w:rFonts w:hint="eastAsia" w:ascii="宋体" w:hAnsi="宋体" w:eastAsia="宋体" w:cs="宋体"/>
              <w:kern w:val="44"/>
              <w:szCs w:val="28"/>
              <w:lang w:val="en-US" w:eastAsia="zh-CN"/>
            </w:rPr>
            <w:t>绩效评价准备阶段</w:t>
          </w:r>
          <w:r>
            <w:tab/>
          </w:r>
          <w:r>
            <w:fldChar w:fldCharType="begin"/>
          </w:r>
          <w:r>
            <w:instrText xml:space="preserve"> PAGEREF _Toc11487 \h </w:instrText>
          </w:r>
          <w:r>
            <w:fldChar w:fldCharType="separate"/>
          </w:r>
          <w:r>
            <w:t>27</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1222DA5C">
          <w:pPr>
            <w:pStyle w:val="3"/>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_Toc2961 </w:instrText>
          </w:r>
          <w:r>
            <w:rPr>
              <w:rFonts w:hint="eastAsia" w:ascii="宋体" w:hAnsi="宋体" w:eastAsia="宋体" w:cs="宋体"/>
              <w:bCs/>
              <w:szCs w:val="24"/>
            </w:rPr>
            <w:fldChar w:fldCharType="separate"/>
          </w:r>
          <w:r>
            <w:rPr>
              <w:rFonts w:hint="default" w:ascii="宋体" w:hAnsi="宋体" w:eastAsia="宋体" w:cs="宋体"/>
              <w:kern w:val="44"/>
              <w:szCs w:val="28"/>
              <w:lang w:val="en-US" w:eastAsia="zh-CN"/>
            </w:rPr>
            <w:t xml:space="preserve">2． </w:t>
          </w:r>
          <w:r>
            <w:rPr>
              <w:rFonts w:hint="eastAsia" w:ascii="宋体" w:hAnsi="宋体" w:eastAsia="宋体" w:cs="宋体"/>
              <w:kern w:val="44"/>
              <w:szCs w:val="28"/>
              <w:lang w:val="en-US" w:eastAsia="zh-CN"/>
            </w:rPr>
            <w:t>绩效评价实施阶段</w:t>
          </w:r>
          <w:r>
            <w:tab/>
          </w:r>
          <w:r>
            <w:fldChar w:fldCharType="begin"/>
          </w:r>
          <w:r>
            <w:instrText xml:space="preserve"> PAGEREF _Toc2961 \h </w:instrText>
          </w:r>
          <w:r>
            <w:fldChar w:fldCharType="separate"/>
          </w:r>
          <w:r>
            <w:t>28</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39BCD445">
          <w:pPr>
            <w:pStyle w:val="3"/>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_Toc21403 </w:instrText>
          </w:r>
          <w:r>
            <w:rPr>
              <w:rFonts w:hint="eastAsia" w:ascii="宋体" w:hAnsi="宋体" w:eastAsia="宋体" w:cs="宋体"/>
              <w:bCs/>
              <w:szCs w:val="24"/>
            </w:rPr>
            <w:fldChar w:fldCharType="separate"/>
          </w:r>
          <w:r>
            <w:rPr>
              <w:rFonts w:hint="default" w:ascii="宋体" w:hAnsi="宋体" w:eastAsia="宋体" w:cs="宋体"/>
              <w:kern w:val="44"/>
              <w:szCs w:val="28"/>
              <w:lang w:val="en-US" w:eastAsia="zh-CN"/>
            </w:rPr>
            <w:t xml:space="preserve">3． </w:t>
          </w:r>
          <w:r>
            <w:rPr>
              <w:rFonts w:hint="eastAsia" w:ascii="宋体" w:hAnsi="宋体" w:eastAsia="宋体" w:cs="宋体"/>
              <w:kern w:val="44"/>
              <w:szCs w:val="28"/>
              <w:lang w:val="en-US" w:eastAsia="zh-CN"/>
            </w:rPr>
            <w:t>撰写和提交评价报告阶段</w:t>
          </w:r>
          <w:r>
            <w:tab/>
          </w:r>
          <w:r>
            <w:fldChar w:fldCharType="begin"/>
          </w:r>
          <w:r>
            <w:instrText xml:space="preserve"> PAGEREF _Toc21403 \h </w:instrText>
          </w:r>
          <w:r>
            <w:fldChar w:fldCharType="separate"/>
          </w:r>
          <w:r>
            <w:t>29</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4D1CE41D">
          <w:pPr>
            <w:pStyle w:val="6"/>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_Toc16910 </w:instrText>
          </w:r>
          <w:r>
            <w:rPr>
              <w:rFonts w:hint="eastAsia" w:ascii="宋体" w:hAnsi="宋体" w:eastAsia="宋体" w:cs="宋体"/>
              <w:bCs/>
              <w:szCs w:val="24"/>
            </w:rPr>
            <w:fldChar w:fldCharType="separate"/>
          </w:r>
          <w:r>
            <w:rPr>
              <w:rFonts w:hint="eastAsia" w:ascii="宋体" w:hAnsi="宋体" w:eastAsia="宋体" w:cs="宋体"/>
              <w:bCs/>
              <w:snapToGrid w:val="0"/>
              <w:kern w:val="0"/>
              <w:szCs w:val="28"/>
            </w:rPr>
            <w:t>三、 绩效评价分析</w:t>
          </w:r>
          <w:r>
            <w:tab/>
          </w:r>
          <w:r>
            <w:fldChar w:fldCharType="begin"/>
          </w:r>
          <w:r>
            <w:instrText xml:space="preserve"> PAGEREF _Toc16910 \h </w:instrText>
          </w:r>
          <w:r>
            <w:fldChar w:fldCharType="separate"/>
          </w:r>
          <w:r>
            <w:t>29</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12794867">
          <w:pPr>
            <w:pStyle w:val="7"/>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_Toc2611 </w:instrText>
          </w:r>
          <w:r>
            <w:rPr>
              <w:rFonts w:hint="eastAsia" w:ascii="宋体" w:hAnsi="宋体" w:eastAsia="宋体" w:cs="宋体"/>
              <w:bCs/>
              <w:szCs w:val="24"/>
            </w:rPr>
            <w:fldChar w:fldCharType="separate"/>
          </w:r>
          <w:r>
            <w:rPr>
              <w:rFonts w:hint="eastAsia" w:ascii="宋体" w:hAnsi="宋体" w:eastAsia="宋体" w:cs="宋体"/>
              <w:bCs w:val="0"/>
              <w:snapToGrid w:val="0"/>
              <w:kern w:val="0"/>
              <w:szCs w:val="28"/>
            </w:rPr>
            <w:t>（一） 项目绩效目标完成情况分析</w:t>
          </w:r>
          <w:r>
            <w:tab/>
          </w:r>
          <w:r>
            <w:fldChar w:fldCharType="begin"/>
          </w:r>
          <w:r>
            <w:instrText xml:space="preserve"> PAGEREF _Toc2611 \h </w:instrText>
          </w:r>
          <w:r>
            <w:fldChar w:fldCharType="separate"/>
          </w:r>
          <w:r>
            <w:t>29</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363CA5CF">
          <w:pPr>
            <w:pStyle w:val="3"/>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_Toc438 </w:instrText>
          </w:r>
          <w:r>
            <w:rPr>
              <w:rFonts w:hint="eastAsia" w:ascii="宋体" w:hAnsi="宋体" w:eastAsia="宋体" w:cs="宋体"/>
              <w:bCs/>
              <w:szCs w:val="24"/>
            </w:rPr>
            <w:fldChar w:fldCharType="separate"/>
          </w:r>
          <w:r>
            <w:rPr>
              <w:rFonts w:hint="default" w:ascii="宋体" w:hAnsi="宋体" w:eastAsia="宋体" w:cs="宋体"/>
              <w:kern w:val="44"/>
              <w:szCs w:val="28"/>
            </w:rPr>
            <w:t xml:space="preserve">1． </w:t>
          </w:r>
          <w:r>
            <w:rPr>
              <w:rFonts w:hint="eastAsia" w:ascii="宋体" w:hAnsi="宋体" w:eastAsia="宋体" w:cs="宋体"/>
              <w:kern w:val="44"/>
              <w:szCs w:val="28"/>
            </w:rPr>
            <w:t>项目绩效目标评价分析</w:t>
          </w:r>
          <w:r>
            <w:tab/>
          </w:r>
          <w:r>
            <w:fldChar w:fldCharType="begin"/>
          </w:r>
          <w:r>
            <w:instrText xml:space="preserve"> PAGEREF _Toc438 \h </w:instrText>
          </w:r>
          <w:r>
            <w:fldChar w:fldCharType="separate"/>
          </w:r>
          <w:r>
            <w:t>29</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31E26432">
          <w:pPr>
            <w:pStyle w:val="3"/>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_Toc19468 </w:instrText>
          </w:r>
          <w:r>
            <w:rPr>
              <w:rFonts w:hint="eastAsia" w:ascii="宋体" w:hAnsi="宋体" w:eastAsia="宋体" w:cs="宋体"/>
              <w:bCs/>
              <w:szCs w:val="24"/>
            </w:rPr>
            <w:fldChar w:fldCharType="separate"/>
          </w:r>
          <w:r>
            <w:rPr>
              <w:rFonts w:hint="default" w:ascii="宋体" w:hAnsi="宋体" w:eastAsia="宋体" w:cs="宋体"/>
              <w:kern w:val="44"/>
              <w:szCs w:val="28"/>
            </w:rPr>
            <w:t xml:space="preserve">2． </w:t>
          </w:r>
          <w:r>
            <w:rPr>
              <w:rFonts w:hint="eastAsia" w:ascii="宋体" w:hAnsi="宋体" w:eastAsia="宋体" w:cs="宋体"/>
              <w:kern w:val="44"/>
              <w:szCs w:val="28"/>
            </w:rPr>
            <w:t>资金使用及管理情况分析</w:t>
          </w:r>
          <w:r>
            <w:tab/>
          </w:r>
          <w:r>
            <w:fldChar w:fldCharType="begin"/>
          </w:r>
          <w:r>
            <w:instrText xml:space="preserve"> PAGEREF _Toc19468 \h </w:instrText>
          </w:r>
          <w:r>
            <w:fldChar w:fldCharType="separate"/>
          </w:r>
          <w:r>
            <w:t>31</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5E33EF66">
          <w:pPr>
            <w:pStyle w:val="3"/>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_Toc14429 </w:instrText>
          </w:r>
          <w:r>
            <w:rPr>
              <w:rFonts w:hint="eastAsia" w:ascii="宋体" w:hAnsi="宋体" w:eastAsia="宋体" w:cs="宋体"/>
              <w:bCs/>
              <w:szCs w:val="24"/>
            </w:rPr>
            <w:fldChar w:fldCharType="separate"/>
          </w:r>
          <w:r>
            <w:rPr>
              <w:rFonts w:hint="default" w:ascii="宋体" w:hAnsi="宋体" w:eastAsia="宋体" w:cs="宋体"/>
              <w:kern w:val="44"/>
              <w:szCs w:val="28"/>
            </w:rPr>
            <w:t xml:space="preserve">3． </w:t>
          </w:r>
          <w:r>
            <w:rPr>
              <w:rFonts w:hint="eastAsia" w:ascii="宋体" w:hAnsi="宋体" w:eastAsia="宋体" w:cs="宋体"/>
              <w:kern w:val="44"/>
              <w:szCs w:val="28"/>
            </w:rPr>
            <w:t>项目组织情况分析</w:t>
          </w:r>
          <w:r>
            <w:tab/>
          </w:r>
          <w:r>
            <w:fldChar w:fldCharType="begin"/>
          </w:r>
          <w:r>
            <w:instrText xml:space="preserve"> PAGEREF _Toc14429 \h </w:instrText>
          </w:r>
          <w:r>
            <w:fldChar w:fldCharType="separate"/>
          </w:r>
          <w:r>
            <w:t>32</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66D27930">
          <w:pPr>
            <w:pStyle w:val="3"/>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_Toc14239 </w:instrText>
          </w:r>
          <w:r>
            <w:rPr>
              <w:rFonts w:hint="eastAsia" w:ascii="宋体" w:hAnsi="宋体" w:eastAsia="宋体" w:cs="宋体"/>
              <w:bCs/>
              <w:szCs w:val="24"/>
            </w:rPr>
            <w:fldChar w:fldCharType="separate"/>
          </w:r>
          <w:r>
            <w:rPr>
              <w:rFonts w:hint="default" w:ascii="宋体" w:hAnsi="宋体" w:eastAsia="宋体" w:cs="宋体"/>
              <w:kern w:val="44"/>
              <w:szCs w:val="28"/>
            </w:rPr>
            <w:t xml:space="preserve">4． </w:t>
          </w:r>
          <w:r>
            <w:rPr>
              <w:rFonts w:hint="eastAsia" w:ascii="宋体" w:hAnsi="宋体" w:eastAsia="宋体" w:cs="宋体"/>
              <w:kern w:val="44"/>
              <w:szCs w:val="28"/>
            </w:rPr>
            <w:t>项目管理情况分析</w:t>
          </w:r>
          <w:r>
            <w:tab/>
          </w:r>
          <w:r>
            <w:fldChar w:fldCharType="begin"/>
          </w:r>
          <w:r>
            <w:instrText xml:space="preserve"> PAGEREF _Toc14239 \h </w:instrText>
          </w:r>
          <w:r>
            <w:fldChar w:fldCharType="separate"/>
          </w:r>
          <w:r>
            <w:t>42</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04495ABB">
          <w:pPr>
            <w:pStyle w:val="3"/>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_Toc15019 </w:instrText>
          </w:r>
          <w:r>
            <w:rPr>
              <w:rFonts w:hint="eastAsia" w:ascii="宋体" w:hAnsi="宋体" w:eastAsia="宋体" w:cs="宋体"/>
              <w:bCs/>
              <w:szCs w:val="24"/>
            </w:rPr>
            <w:fldChar w:fldCharType="separate"/>
          </w:r>
          <w:r>
            <w:rPr>
              <w:rFonts w:hint="default" w:ascii="宋体" w:hAnsi="宋体" w:eastAsia="宋体" w:cs="宋体"/>
              <w:kern w:val="44"/>
              <w:szCs w:val="28"/>
            </w:rPr>
            <w:t xml:space="preserve">5． </w:t>
          </w:r>
          <w:r>
            <w:rPr>
              <w:rFonts w:hint="eastAsia" w:ascii="宋体" w:hAnsi="宋体" w:eastAsia="宋体" w:cs="宋体"/>
              <w:kern w:val="44"/>
              <w:szCs w:val="28"/>
              <w:highlight w:val="none"/>
            </w:rPr>
            <w:t>项目产出及效果评价分析</w:t>
          </w:r>
          <w:r>
            <w:tab/>
          </w:r>
          <w:r>
            <w:fldChar w:fldCharType="begin"/>
          </w:r>
          <w:r>
            <w:instrText xml:space="preserve"> PAGEREF _Toc15019 \h </w:instrText>
          </w:r>
          <w:r>
            <w:fldChar w:fldCharType="separate"/>
          </w:r>
          <w:r>
            <w:t>42</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47893A7A">
          <w:pPr>
            <w:pStyle w:val="7"/>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_Toc1727 </w:instrText>
          </w:r>
          <w:r>
            <w:rPr>
              <w:rFonts w:hint="eastAsia" w:ascii="宋体" w:hAnsi="宋体" w:eastAsia="宋体" w:cs="宋体"/>
              <w:bCs/>
              <w:szCs w:val="24"/>
            </w:rPr>
            <w:fldChar w:fldCharType="separate"/>
          </w:r>
          <w:r>
            <w:rPr>
              <w:rFonts w:hint="eastAsia" w:ascii="宋体" w:hAnsi="宋体" w:eastAsia="宋体" w:cs="宋体"/>
              <w:bCs w:val="0"/>
              <w:snapToGrid w:val="0"/>
              <w:kern w:val="0"/>
              <w:szCs w:val="28"/>
            </w:rPr>
            <w:t>（二） 项目绩效目标未完成原因分析</w:t>
          </w:r>
          <w:r>
            <w:tab/>
          </w:r>
          <w:r>
            <w:fldChar w:fldCharType="begin"/>
          </w:r>
          <w:r>
            <w:instrText xml:space="preserve"> PAGEREF _Toc1727 \h </w:instrText>
          </w:r>
          <w:r>
            <w:fldChar w:fldCharType="separate"/>
          </w:r>
          <w:r>
            <w:t>52</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015DAC45">
          <w:pPr>
            <w:pStyle w:val="6"/>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_Toc23496 </w:instrText>
          </w:r>
          <w:r>
            <w:rPr>
              <w:rFonts w:hint="eastAsia" w:ascii="宋体" w:hAnsi="宋体" w:eastAsia="宋体" w:cs="宋体"/>
              <w:bCs/>
              <w:szCs w:val="24"/>
            </w:rPr>
            <w:fldChar w:fldCharType="separate"/>
          </w:r>
          <w:r>
            <w:rPr>
              <w:rFonts w:hint="eastAsia" w:ascii="宋体" w:hAnsi="宋体" w:eastAsia="宋体" w:cs="宋体"/>
              <w:bCs/>
              <w:snapToGrid w:val="0"/>
              <w:kern w:val="0"/>
              <w:szCs w:val="28"/>
            </w:rPr>
            <w:t>四、 评价结论</w:t>
          </w:r>
          <w:r>
            <w:tab/>
          </w:r>
          <w:r>
            <w:fldChar w:fldCharType="begin"/>
          </w:r>
          <w:r>
            <w:instrText xml:space="preserve"> PAGEREF _Toc23496 \h </w:instrText>
          </w:r>
          <w:r>
            <w:fldChar w:fldCharType="separate"/>
          </w:r>
          <w:r>
            <w:t>52</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1FF666EB">
          <w:pPr>
            <w:pStyle w:val="6"/>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_Toc17938 </w:instrText>
          </w:r>
          <w:r>
            <w:rPr>
              <w:rFonts w:hint="eastAsia" w:ascii="宋体" w:hAnsi="宋体" w:eastAsia="宋体" w:cs="宋体"/>
              <w:bCs/>
              <w:szCs w:val="24"/>
            </w:rPr>
            <w:fldChar w:fldCharType="separate"/>
          </w:r>
          <w:r>
            <w:rPr>
              <w:rFonts w:hint="eastAsia" w:ascii="宋体" w:hAnsi="宋体" w:eastAsia="宋体" w:cs="宋体"/>
              <w:bCs/>
              <w:snapToGrid w:val="0"/>
              <w:kern w:val="0"/>
              <w:szCs w:val="28"/>
            </w:rPr>
            <w:t>五、 存在问题和建议</w:t>
          </w:r>
          <w:r>
            <w:tab/>
          </w:r>
          <w:r>
            <w:fldChar w:fldCharType="begin"/>
          </w:r>
          <w:r>
            <w:instrText xml:space="preserve"> PAGEREF _Toc17938 \h </w:instrText>
          </w:r>
          <w:r>
            <w:fldChar w:fldCharType="separate"/>
          </w:r>
          <w:r>
            <w:t>53</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7F9FCFDD">
          <w:pPr>
            <w:pStyle w:val="7"/>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_Toc19315 </w:instrText>
          </w:r>
          <w:r>
            <w:rPr>
              <w:rFonts w:hint="eastAsia" w:ascii="宋体" w:hAnsi="宋体" w:eastAsia="宋体" w:cs="宋体"/>
              <w:bCs/>
              <w:szCs w:val="24"/>
            </w:rPr>
            <w:fldChar w:fldCharType="separate"/>
          </w:r>
          <w:r>
            <w:rPr>
              <w:rFonts w:hint="eastAsia" w:ascii="宋体" w:hAnsi="宋体" w:eastAsia="宋体" w:cs="宋体"/>
              <w:bCs w:val="0"/>
              <w:snapToGrid w:val="0"/>
              <w:kern w:val="0"/>
              <w:szCs w:val="28"/>
              <w:lang w:val="en-US" w:eastAsia="zh-CN"/>
            </w:rPr>
            <w:t>（一） 问题</w:t>
          </w:r>
          <w:r>
            <w:tab/>
          </w:r>
          <w:r>
            <w:fldChar w:fldCharType="begin"/>
          </w:r>
          <w:r>
            <w:instrText xml:space="preserve"> PAGEREF _Toc19315 \h </w:instrText>
          </w:r>
          <w:r>
            <w:fldChar w:fldCharType="separate"/>
          </w:r>
          <w:r>
            <w:t>53</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30165147">
          <w:pPr>
            <w:pStyle w:val="7"/>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_Toc11585 </w:instrText>
          </w:r>
          <w:r>
            <w:rPr>
              <w:rFonts w:hint="eastAsia" w:ascii="宋体" w:hAnsi="宋体" w:eastAsia="宋体" w:cs="宋体"/>
              <w:bCs/>
              <w:szCs w:val="24"/>
            </w:rPr>
            <w:fldChar w:fldCharType="separate"/>
          </w:r>
          <w:r>
            <w:rPr>
              <w:rFonts w:hint="eastAsia" w:ascii="宋体" w:hAnsi="宋体" w:eastAsia="宋体" w:cs="宋体"/>
              <w:bCs w:val="0"/>
              <w:snapToGrid w:val="0"/>
              <w:kern w:val="0"/>
              <w:szCs w:val="28"/>
              <w:lang w:val="en-US" w:eastAsia="zh-CN"/>
            </w:rPr>
            <w:t>（二） 建议</w:t>
          </w:r>
          <w:r>
            <w:tab/>
          </w:r>
          <w:r>
            <w:fldChar w:fldCharType="begin"/>
          </w:r>
          <w:r>
            <w:instrText xml:space="preserve"> PAGEREF _Toc11585 \h </w:instrText>
          </w:r>
          <w:r>
            <w:fldChar w:fldCharType="separate"/>
          </w:r>
          <w:r>
            <w:t>56</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18EBA9D7">
          <w:pPr>
            <w:pStyle w:val="6"/>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_Toc13815 </w:instrText>
          </w:r>
          <w:r>
            <w:rPr>
              <w:rFonts w:hint="eastAsia" w:ascii="宋体" w:hAnsi="宋体" w:eastAsia="宋体" w:cs="宋体"/>
              <w:bCs/>
              <w:szCs w:val="24"/>
            </w:rPr>
            <w:fldChar w:fldCharType="separate"/>
          </w:r>
          <w:r>
            <w:rPr>
              <w:rFonts w:hint="eastAsia" w:ascii="宋体" w:hAnsi="宋体" w:eastAsia="宋体" w:cs="宋体"/>
              <w:bCs/>
              <w:snapToGrid w:val="0"/>
              <w:kern w:val="0"/>
              <w:szCs w:val="28"/>
            </w:rPr>
            <w:t>六、 附件</w:t>
          </w:r>
          <w:r>
            <w:tab/>
          </w:r>
          <w:r>
            <w:fldChar w:fldCharType="begin"/>
          </w:r>
          <w:r>
            <w:instrText xml:space="preserve"> PAGEREF _Toc13815 \h </w:instrText>
          </w:r>
          <w:r>
            <w:fldChar w:fldCharType="separate"/>
          </w:r>
          <w:r>
            <w:t>57</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58EF6DBF">
          <w:pPr>
            <w:pStyle w:val="7"/>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_Toc17829 </w:instrText>
          </w:r>
          <w:r>
            <w:rPr>
              <w:rFonts w:hint="eastAsia" w:ascii="宋体" w:hAnsi="宋体" w:eastAsia="宋体" w:cs="宋体"/>
              <w:bCs/>
              <w:szCs w:val="24"/>
            </w:rPr>
            <w:fldChar w:fldCharType="separate"/>
          </w:r>
          <w:r>
            <w:rPr>
              <w:rFonts w:hint="eastAsia" w:ascii="宋体" w:hAnsi="宋体" w:eastAsia="宋体" w:cs="宋体"/>
              <w:bCs w:val="0"/>
              <w:kern w:val="44"/>
              <w:szCs w:val="28"/>
              <w:lang w:val="en-US" w:eastAsia="zh-CN"/>
            </w:rPr>
            <w:t xml:space="preserve">（一） </w:t>
          </w:r>
          <w:r>
            <w:rPr>
              <w:rFonts w:hint="eastAsia" w:ascii="宋体" w:hAnsi="宋体" w:eastAsia="宋体" w:cs="宋体"/>
              <w:kern w:val="44"/>
              <w:szCs w:val="28"/>
              <w:lang w:val="en-US" w:eastAsia="zh-CN"/>
            </w:rPr>
            <w:t>陕州区王寨路桥工程</w:t>
          </w:r>
          <w:r>
            <w:rPr>
              <w:rFonts w:hint="eastAsia" w:ascii="宋体" w:hAnsi="宋体" w:cs="宋体"/>
              <w:kern w:val="44"/>
              <w:szCs w:val="28"/>
              <w:lang w:val="en-US" w:eastAsia="zh-CN"/>
            </w:rPr>
            <w:t>现场照片</w:t>
          </w:r>
          <w:r>
            <w:tab/>
          </w:r>
          <w:r>
            <w:fldChar w:fldCharType="begin"/>
          </w:r>
          <w:r>
            <w:instrText xml:space="preserve"> PAGEREF _Toc17829 \h </w:instrText>
          </w:r>
          <w:r>
            <w:fldChar w:fldCharType="separate"/>
          </w:r>
          <w:r>
            <w:t>58</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35EBCF2A">
          <w:pPr>
            <w:pStyle w:val="7"/>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_Toc15509 </w:instrText>
          </w:r>
          <w:r>
            <w:rPr>
              <w:rFonts w:hint="eastAsia" w:ascii="宋体" w:hAnsi="宋体" w:eastAsia="宋体" w:cs="宋体"/>
              <w:bCs/>
              <w:szCs w:val="24"/>
            </w:rPr>
            <w:fldChar w:fldCharType="separate"/>
          </w:r>
          <w:r>
            <w:rPr>
              <w:rFonts w:hint="eastAsia" w:ascii="宋体" w:hAnsi="宋体" w:eastAsia="宋体" w:cs="宋体"/>
              <w:bCs w:val="0"/>
              <w:kern w:val="44"/>
              <w:szCs w:val="28"/>
              <w:lang w:val="en-US" w:eastAsia="zh-CN"/>
            </w:rPr>
            <w:t xml:space="preserve">（二） </w:t>
          </w:r>
          <w:r>
            <w:rPr>
              <w:rFonts w:hint="eastAsia" w:ascii="宋体" w:hAnsi="宋体" w:eastAsia="宋体" w:cs="宋体"/>
              <w:kern w:val="44"/>
              <w:szCs w:val="28"/>
              <w:lang w:val="en-US" w:eastAsia="zh-CN"/>
            </w:rPr>
            <w:t>陕州区金华路道路工程现场照片</w:t>
          </w:r>
          <w:r>
            <w:tab/>
          </w:r>
          <w:r>
            <w:fldChar w:fldCharType="begin"/>
          </w:r>
          <w:r>
            <w:instrText xml:space="preserve"> PAGEREF _Toc15509 \h </w:instrText>
          </w:r>
          <w:r>
            <w:fldChar w:fldCharType="separate"/>
          </w:r>
          <w:r>
            <w:t>60</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154C6DC0">
          <w:pPr>
            <w:pStyle w:val="7"/>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_Toc15241 </w:instrText>
          </w:r>
          <w:r>
            <w:rPr>
              <w:rFonts w:hint="eastAsia" w:ascii="宋体" w:hAnsi="宋体" w:eastAsia="宋体" w:cs="宋体"/>
              <w:bCs/>
              <w:szCs w:val="24"/>
            </w:rPr>
            <w:fldChar w:fldCharType="separate"/>
          </w:r>
          <w:r>
            <w:rPr>
              <w:rFonts w:hint="eastAsia" w:ascii="宋体" w:hAnsi="宋体" w:eastAsia="宋体" w:cs="宋体"/>
              <w:bCs w:val="0"/>
              <w:kern w:val="44"/>
              <w:szCs w:val="28"/>
              <w:lang w:val="en-US" w:eastAsia="zh-CN"/>
            </w:rPr>
            <w:t xml:space="preserve">（三） </w:t>
          </w:r>
          <w:r>
            <w:rPr>
              <w:rFonts w:hint="eastAsia" w:ascii="宋体" w:hAnsi="宋体" w:eastAsia="宋体" w:cs="宋体"/>
              <w:kern w:val="44"/>
              <w:szCs w:val="28"/>
              <w:lang w:val="en-US" w:eastAsia="zh-CN"/>
            </w:rPr>
            <w:t>陕州区王寨路桥工程问卷统计报告</w:t>
          </w:r>
          <w:r>
            <w:tab/>
          </w:r>
          <w:r>
            <w:fldChar w:fldCharType="begin"/>
          </w:r>
          <w:r>
            <w:instrText xml:space="preserve"> PAGEREF _Toc15241 \h </w:instrText>
          </w:r>
          <w:r>
            <w:fldChar w:fldCharType="separate"/>
          </w:r>
          <w:r>
            <w:t>62</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21326DC2">
          <w:pPr>
            <w:pStyle w:val="7"/>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_Toc21077 </w:instrText>
          </w:r>
          <w:r>
            <w:rPr>
              <w:rFonts w:hint="eastAsia" w:ascii="宋体" w:hAnsi="宋体" w:eastAsia="宋体" w:cs="宋体"/>
              <w:bCs/>
              <w:szCs w:val="24"/>
            </w:rPr>
            <w:fldChar w:fldCharType="separate"/>
          </w:r>
          <w:r>
            <w:rPr>
              <w:rFonts w:hint="eastAsia" w:ascii="宋体" w:hAnsi="宋体" w:eastAsia="宋体" w:cs="宋体"/>
              <w:bCs w:val="0"/>
              <w:kern w:val="44"/>
              <w:szCs w:val="28"/>
              <w:lang w:val="en-US" w:eastAsia="zh-CN"/>
            </w:rPr>
            <w:t xml:space="preserve">（四） </w:t>
          </w:r>
          <w:r>
            <w:rPr>
              <w:rFonts w:hint="eastAsia" w:ascii="宋体" w:hAnsi="宋体" w:eastAsia="宋体" w:cs="宋体"/>
              <w:kern w:val="44"/>
              <w:szCs w:val="28"/>
              <w:lang w:val="en-US" w:eastAsia="zh-CN"/>
            </w:rPr>
            <w:t>陕州区金华路道路工程问卷统计报告</w:t>
          </w:r>
          <w:r>
            <w:tab/>
          </w:r>
          <w:r>
            <w:fldChar w:fldCharType="begin"/>
          </w:r>
          <w:r>
            <w:instrText xml:space="preserve"> PAGEREF _Toc21077 \h </w:instrText>
          </w:r>
          <w:r>
            <w:fldChar w:fldCharType="separate"/>
          </w:r>
          <w:r>
            <w:t>70</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1CBD0E6D">
          <w:pPr>
            <w:pStyle w:val="7"/>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_Toc22060 </w:instrText>
          </w:r>
          <w:r>
            <w:rPr>
              <w:rFonts w:hint="eastAsia" w:ascii="宋体" w:hAnsi="宋体" w:eastAsia="宋体" w:cs="宋体"/>
              <w:bCs/>
              <w:szCs w:val="24"/>
            </w:rPr>
            <w:fldChar w:fldCharType="separate"/>
          </w:r>
          <w:r>
            <w:rPr>
              <w:rFonts w:hint="eastAsia" w:ascii="宋体" w:hAnsi="宋体" w:eastAsia="宋体" w:cs="宋体"/>
              <w:bCs w:val="0"/>
              <w:kern w:val="44"/>
              <w:szCs w:val="28"/>
              <w:lang w:val="en-US" w:eastAsia="zh-CN"/>
            </w:rPr>
            <w:t xml:space="preserve">（五） </w:t>
          </w:r>
          <w:r>
            <w:rPr>
              <w:rFonts w:hint="eastAsia" w:ascii="宋体" w:hAnsi="宋体" w:eastAsia="宋体" w:cs="宋体"/>
              <w:kern w:val="44"/>
              <w:szCs w:val="28"/>
              <w:lang w:val="en-US" w:eastAsia="zh-CN"/>
            </w:rPr>
            <w:t>陕州区王寨路桥工程绩效评价评分表</w:t>
          </w:r>
          <w:r>
            <w:tab/>
          </w:r>
          <w:r>
            <w:fldChar w:fldCharType="begin"/>
          </w:r>
          <w:r>
            <w:instrText xml:space="preserve"> PAGEREF _Toc22060 \h </w:instrText>
          </w:r>
          <w:r>
            <w:fldChar w:fldCharType="separate"/>
          </w:r>
          <w:r>
            <w:t>73</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35BE542B">
          <w:pPr>
            <w:pStyle w:val="7"/>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_Toc10341 </w:instrText>
          </w:r>
          <w:r>
            <w:rPr>
              <w:rFonts w:hint="eastAsia" w:ascii="宋体" w:hAnsi="宋体" w:eastAsia="宋体" w:cs="宋体"/>
              <w:bCs/>
              <w:szCs w:val="24"/>
            </w:rPr>
            <w:fldChar w:fldCharType="separate"/>
          </w:r>
          <w:r>
            <w:rPr>
              <w:rFonts w:hint="eastAsia" w:ascii="宋体" w:hAnsi="宋体" w:eastAsia="宋体" w:cs="宋体"/>
              <w:bCs w:val="0"/>
              <w:kern w:val="44"/>
              <w:szCs w:val="28"/>
              <w:lang w:val="en-US" w:eastAsia="zh-CN"/>
            </w:rPr>
            <w:t xml:space="preserve">（六） </w:t>
          </w:r>
          <w:r>
            <w:rPr>
              <w:rFonts w:hint="eastAsia" w:ascii="宋体" w:hAnsi="宋体" w:eastAsia="宋体" w:cs="宋体"/>
              <w:kern w:val="44"/>
              <w:szCs w:val="28"/>
              <w:lang w:val="en-US" w:eastAsia="zh-CN"/>
            </w:rPr>
            <w:t>陕州区金华路道路工程绩效评价评分表</w:t>
          </w:r>
          <w:r>
            <w:tab/>
          </w:r>
          <w:r>
            <w:fldChar w:fldCharType="begin"/>
          </w:r>
          <w:r>
            <w:instrText xml:space="preserve"> PAGEREF _Toc10341 \h </w:instrText>
          </w:r>
          <w:r>
            <w:fldChar w:fldCharType="separate"/>
          </w:r>
          <w:r>
            <w:t>82</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7367B4D6">
          <w:pPr>
            <w:pStyle w:val="7"/>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_Toc13613 </w:instrText>
          </w:r>
          <w:r>
            <w:rPr>
              <w:rFonts w:hint="eastAsia" w:ascii="宋体" w:hAnsi="宋体" w:eastAsia="宋体" w:cs="宋体"/>
              <w:bCs/>
              <w:szCs w:val="24"/>
            </w:rPr>
            <w:fldChar w:fldCharType="separate"/>
          </w:r>
          <w:r>
            <w:rPr>
              <w:rFonts w:hint="eastAsia" w:ascii="宋体" w:hAnsi="宋体" w:eastAsia="宋体" w:cs="宋体"/>
              <w:bCs w:val="0"/>
              <w:kern w:val="44"/>
              <w:szCs w:val="28"/>
              <w:lang w:val="en-US" w:eastAsia="zh-CN"/>
            </w:rPr>
            <w:t xml:space="preserve">（七） </w:t>
          </w:r>
          <w:r>
            <w:rPr>
              <w:rFonts w:hint="eastAsia" w:ascii="宋体" w:hAnsi="宋体" w:eastAsia="宋体" w:cs="宋体"/>
              <w:kern w:val="44"/>
              <w:szCs w:val="28"/>
              <w:lang w:val="en-US" w:eastAsia="zh-CN"/>
            </w:rPr>
            <w:t>项目组成员资质证书</w:t>
          </w:r>
          <w:r>
            <w:tab/>
          </w:r>
          <w:r>
            <w:fldChar w:fldCharType="begin"/>
          </w:r>
          <w:r>
            <w:instrText xml:space="preserve"> PAGEREF _Toc13613 \h </w:instrText>
          </w:r>
          <w:r>
            <w:fldChar w:fldCharType="separate"/>
          </w:r>
          <w:r>
            <w:t>92</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30DDC43B">
          <w:pPr>
            <w:numPr>
              <w:ilvl w:val="0"/>
              <w:numId w:val="0"/>
            </w:numPr>
            <w:spacing w:line="360" w:lineRule="auto"/>
            <w:jc w:val="both"/>
            <w:rPr>
              <w:rFonts w:hint="eastAsia" w:ascii="宋体" w:hAnsi="宋体" w:eastAsia="宋体" w:cs="宋体"/>
              <w:bCs/>
              <w:color w:val="000000" w:themeColor="text1"/>
              <w:kern w:val="2"/>
              <w:sz w:val="21"/>
              <w:szCs w:val="28"/>
              <w:lang w:val="en-US" w:eastAsia="zh-CN" w:bidi="ar-SA"/>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end"/>
          </w:r>
        </w:p>
      </w:sdtContent>
    </w:sdt>
    <w:p w14:paraId="16B1DF12">
      <w:pPr>
        <w:numPr>
          <w:ilvl w:val="0"/>
          <w:numId w:val="0"/>
        </w:numPr>
        <w:spacing w:line="360" w:lineRule="auto"/>
        <w:jc w:val="both"/>
        <w:rPr>
          <w:rFonts w:hint="eastAsia" w:ascii="宋体" w:hAnsi="宋体" w:eastAsia="宋体" w:cs="宋体"/>
          <w:bCs/>
          <w:color w:val="000000" w:themeColor="text1"/>
          <w:kern w:val="2"/>
          <w:sz w:val="21"/>
          <w:szCs w:val="28"/>
          <w:lang w:val="en-US" w:eastAsia="zh-CN" w:bidi="ar-SA"/>
          <w14:textFill>
            <w14:solidFill>
              <w14:schemeClr w14:val="tx1"/>
            </w14:solidFill>
          </w14:textFill>
        </w:rPr>
      </w:pPr>
    </w:p>
    <w:p w14:paraId="579831CD">
      <w:pPr>
        <w:tabs>
          <w:tab w:val="center" w:pos="4153"/>
        </w:tabs>
        <w:bidi w:val="0"/>
        <w:jc w:val="left"/>
        <w:rPr>
          <w:rFonts w:hint="eastAsia" w:ascii="Calibri" w:hAnsi="Calibri" w:eastAsia="宋体" w:cs="Calibri"/>
          <w:kern w:val="2"/>
          <w:sz w:val="21"/>
          <w:szCs w:val="21"/>
          <w:lang w:val="en-US" w:eastAsia="zh-CN" w:bidi="ar-SA"/>
        </w:rPr>
        <w:sectPr>
          <w:pgSz w:w="11906" w:h="16838"/>
          <w:pgMar w:top="1440" w:right="1800" w:bottom="1440" w:left="1800" w:header="851" w:footer="992" w:gutter="0"/>
          <w:pgNumType w:fmt="decimal" w:start="1"/>
          <w:cols w:space="425" w:num="1"/>
          <w:docGrid w:type="lines" w:linePitch="312" w:charSpace="0"/>
        </w:sectPr>
      </w:pPr>
    </w:p>
    <w:p w14:paraId="5EB0A2F2">
      <w:pPr>
        <w:numPr>
          <w:ilvl w:val="0"/>
          <w:numId w:val="1"/>
        </w:numPr>
        <w:spacing w:line="360" w:lineRule="auto"/>
        <w:ind w:left="0" w:leftChars="0" w:firstLine="283" w:firstLineChars="0"/>
        <w:jc w:val="left"/>
        <w:outlineLvl w:val="0"/>
        <w:rPr>
          <w:rFonts w:hint="eastAsia" w:ascii="宋体" w:hAnsi="宋体" w:eastAsia="宋体" w:cs="宋体"/>
          <w:b/>
          <w:bCs/>
          <w:color w:val="000000" w:themeColor="text1"/>
          <w:sz w:val="28"/>
          <w:szCs w:val="28"/>
          <w14:textFill>
            <w14:solidFill>
              <w14:schemeClr w14:val="tx1"/>
            </w14:solidFill>
          </w14:textFill>
        </w:rPr>
      </w:pPr>
      <w:bookmarkStart w:id="0" w:name="_Toc10583"/>
      <w:r>
        <w:rPr>
          <w:rFonts w:hint="eastAsia" w:ascii="宋体" w:hAnsi="宋体" w:eastAsia="宋体" w:cs="宋体"/>
          <w:b/>
          <w:bCs/>
          <w:snapToGrid w:val="0"/>
          <w:color w:val="000000" w:themeColor="text1"/>
          <w:kern w:val="0"/>
          <w:sz w:val="28"/>
          <w:szCs w:val="28"/>
          <w14:textFill>
            <w14:solidFill>
              <w14:schemeClr w14:val="tx1"/>
            </w14:solidFill>
          </w14:textFill>
        </w:rPr>
        <w:t>概述</w:t>
      </w:r>
      <w:bookmarkEnd w:id="0"/>
    </w:p>
    <w:p w14:paraId="60908BDD">
      <w:pPr>
        <w:numPr>
          <w:ilvl w:val="0"/>
          <w:numId w:val="2"/>
        </w:numPr>
        <w:spacing w:line="360" w:lineRule="auto"/>
        <w:ind w:left="0" w:leftChars="0" w:firstLine="283" w:firstLineChars="0"/>
        <w:jc w:val="left"/>
        <w:outlineLvl w:val="1"/>
        <w:rPr>
          <w:rFonts w:hint="eastAsia" w:ascii="宋体" w:hAnsi="宋体" w:eastAsia="宋体" w:cs="宋体"/>
          <w:color w:val="000000" w:themeColor="text1"/>
          <w:kern w:val="44"/>
          <w:sz w:val="28"/>
          <w:szCs w:val="28"/>
          <w14:textFill>
            <w14:solidFill>
              <w14:schemeClr w14:val="tx1"/>
            </w14:solidFill>
          </w14:textFill>
        </w:rPr>
      </w:pPr>
      <w:bookmarkStart w:id="1" w:name="_Toc21733"/>
      <w:r>
        <w:rPr>
          <w:rFonts w:hint="eastAsia" w:ascii="宋体" w:hAnsi="宋体" w:eastAsia="宋体" w:cs="宋体"/>
          <w:color w:val="000000" w:themeColor="text1"/>
          <w:kern w:val="44"/>
          <w:sz w:val="28"/>
          <w:szCs w:val="28"/>
          <w14:textFill>
            <w14:solidFill>
              <w14:schemeClr w14:val="tx1"/>
            </w14:solidFill>
          </w14:textFill>
        </w:rPr>
        <w:t>项目单位基本情况</w:t>
      </w:r>
      <w:bookmarkEnd w:id="1"/>
    </w:p>
    <w:p w14:paraId="00A59E4D">
      <w:pPr>
        <w:pStyle w:val="9"/>
        <w:spacing w:line="360" w:lineRule="auto"/>
        <w:ind w:left="0" w:leftChars="0"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单位名称：三门峡市陕州区住房和城乡建设局</w:t>
      </w:r>
    </w:p>
    <w:p w14:paraId="10BD3462">
      <w:pPr>
        <w:pStyle w:val="9"/>
        <w:spacing w:line="360" w:lineRule="auto"/>
        <w:ind w:left="0" w:leftChars="0" w:firstLine="560" w:firstLineChars="200"/>
        <w:jc w:val="left"/>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统一社会信用代码：11411222MB0X93075F</w:t>
      </w:r>
    </w:p>
    <w:p w14:paraId="746CAA26">
      <w:pPr>
        <w:pStyle w:val="9"/>
        <w:spacing w:line="360" w:lineRule="auto"/>
        <w:ind w:left="0" w:leftChars="0"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办公地址：三门峡市陕州区陕州大道中段</w:t>
      </w:r>
    </w:p>
    <w:p w14:paraId="01B5833A">
      <w:pPr>
        <w:numPr>
          <w:ilvl w:val="0"/>
          <w:numId w:val="2"/>
        </w:numPr>
        <w:spacing w:line="360" w:lineRule="auto"/>
        <w:ind w:left="0" w:leftChars="0" w:firstLine="283" w:firstLineChars="0"/>
        <w:jc w:val="left"/>
        <w:outlineLvl w:val="1"/>
        <w:rPr>
          <w:rFonts w:hint="eastAsia" w:ascii="宋体" w:hAnsi="宋体" w:eastAsia="宋体" w:cs="宋体"/>
          <w:color w:val="000000" w:themeColor="text1"/>
          <w:kern w:val="44"/>
          <w:sz w:val="28"/>
          <w:szCs w:val="28"/>
          <w14:textFill>
            <w14:solidFill>
              <w14:schemeClr w14:val="tx1"/>
            </w14:solidFill>
          </w14:textFill>
        </w:rPr>
      </w:pPr>
      <w:bookmarkStart w:id="2" w:name="_Toc12470"/>
      <w:r>
        <w:rPr>
          <w:rFonts w:hint="eastAsia" w:ascii="宋体" w:hAnsi="宋体" w:eastAsia="宋体" w:cs="宋体"/>
          <w:color w:val="000000" w:themeColor="text1"/>
          <w:kern w:val="44"/>
          <w:sz w:val="28"/>
          <w:szCs w:val="28"/>
          <w:lang w:val="en-US" w:eastAsia="zh-CN"/>
          <w14:textFill>
            <w14:solidFill>
              <w14:schemeClr w14:val="tx1"/>
            </w14:solidFill>
          </w14:textFill>
        </w:rPr>
        <w:t>项目单位</w:t>
      </w:r>
      <w:r>
        <w:rPr>
          <w:rFonts w:hint="eastAsia" w:ascii="宋体" w:hAnsi="宋体" w:eastAsia="宋体" w:cs="宋体"/>
          <w:color w:val="000000" w:themeColor="text1"/>
          <w:kern w:val="44"/>
          <w:sz w:val="28"/>
          <w:szCs w:val="28"/>
          <w14:textFill>
            <w14:solidFill>
              <w14:schemeClr w14:val="tx1"/>
            </w14:solidFill>
          </w14:textFill>
        </w:rPr>
        <w:t>机构组成</w:t>
      </w:r>
      <w:bookmarkEnd w:id="2"/>
    </w:p>
    <w:p w14:paraId="4ECC332C">
      <w:pPr>
        <w:numPr>
          <w:ilvl w:val="0"/>
          <w:numId w:val="3"/>
        </w:numPr>
        <w:spacing w:line="360" w:lineRule="auto"/>
        <w:ind w:left="0" w:leftChars="0" w:firstLine="283" w:firstLineChars="0"/>
        <w:jc w:val="left"/>
        <w:rPr>
          <w:rFonts w:hint="eastAsia" w:ascii="宋体" w:hAnsi="宋体" w:eastAsia="宋体" w:cs="宋体"/>
          <w:color w:val="000000" w:themeColor="text1"/>
          <w:kern w:val="44"/>
          <w:sz w:val="28"/>
          <w:szCs w:val="28"/>
          <w14:textFill>
            <w14:solidFill>
              <w14:schemeClr w14:val="tx1"/>
            </w14:solidFill>
          </w14:textFill>
        </w:rPr>
      </w:pPr>
      <w:r>
        <w:rPr>
          <w:rFonts w:hint="eastAsia" w:ascii="宋体" w:hAnsi="宋体" w:eastAsia="宋体" w:cs="宋体"/>
          <w:color w:val="000000" w:themeColor="text1"/>
          <w:kern w:val="44"/>
          <w:sz w:val="28"/>
          <w:szCs w:val="28"/>
          <w14:textFill>
            <w14:solidFill>
              <w14:schemeClr w14:val="tx1"/>
            </w14:solidFill>
          </w14:textFill>
        </w:rPr>
        <w:t>办公室（政务服务科）</w:t>
      </w:r>
    </w:p>
    <w:p w14:paraId="3C97A2C1">
      <w:pPr>
        <w:pStyle w:val="9"/>
        <w:spacing w:line="360" w:lineRule="auto"/>
        <w:ind w:left="0" w:leftChars="0"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负责机关日常运转工作，承担文电、会务、机要、档案、信息、安全、保密、政务公开、信息化和新闻宣传等工作；负责重点工作调研和督查督办，拟订全区住房和城乡建设行业中长期发展规划，组织开展住房和城乡建设行业发展研究。组织协调房地产业、建筑业、市政公用事业发展计划的编制工作:组织编制行业年度固定资产投资计划，并按规定办理有关项目立项的审查工作:组织制订和贯彻有关计划统计、财务会计的改革措施和制度:归口管理行业统计、信息工作:负责机关各项资金和国有资产管理；指导所属单位财务和国有资产管理工作；负责组织所属单位的内部审计工作。负责机关和所属单位的干部人事、离退休干部、机构编制、劳动工资和教育工作；负责住房和城乡建设行业人才队伍及职工继续教育培训工作负责行业执业资格注册的管理工作。贯彻落实国家和省、市区行政审批制度改革和政务服务有关政策，负责本部门行政审批制度改革工作；牵头协调并负责统一办理本部门政务服务工作；负责本部门政务服务信息数据管理、共享工作。</w:t>
      </w:r>
    </w:p>
    <w:p w14:paraId="3CD8D71F">
      <w:pPr>
        <w:numPr>
          <w:ilvl w:val="0"/>
          <w:numId w:val="3"/>
        </w:numPr>
        <w:spacing w:line="360" w:lineRule="auto"/>
        <w:ind w:left="0" w:leftChars="0" w:firstLine="283" w:firstLineChars="0"/>
        <w:jc w:val="left"/>
        <w:rPr>
          <w:rFonts w:hint="eastAsia" w:ascii="宋体" w:hAnsi="宋体" w:eastAsia="宋体" w:cs="宋体"/>
          <w:color w:val="000000" w:themeColor="text1"/>
          <w:kern w:val="44"/>
          <w:sz w:val="28"/>
          <w:szCs w:val="28"/>
          <w14:textFill>
            <w14:solidFill>
              <w14:schemeClr w14:val="tx1"/>
            </w14:solidFill>
          </w14:textFill>
        </w:rPr>
      </w:pPr>
      <w:r>
        <w:rPr>
          <w:rFonts w:hint="eastAsia" w:ascii="宋体" w:hAnsi="宋体" w:eastAsia="宋体" w:cs="宋体"/>
          <w:color w:val="000000" w:themeColor="text1"/>
          <w:kern w:val="44"/>
          <w:sz w:val="28"/>
          <w:szCs w:val="28"/>
          <w14:textFill>
            <w14:solidFill>
              <w14:schemeClr w14:val="tx1"/>
            </w14:solidFill>
          </w14:textFill>
        </w:rPr>
        <w:t>政策法规科（信访办公室）</w:t>
      </w:r>
    </w:p>
    <w:p w14:paraId="0D13FBD0">
      <w:pPr>
        <w:pStyle w:val="9"/>
        <w:spacing w:line="360" w:lineRule="auto"/>
        <w:ind w:left="0" w:leftChars="0"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承担全区住房和城乡建设政策制度起草工作；承担机关有关规范性文件合法性审查和清理工作；负责机关重大行政执法决定的法制审核工作；组织开展法治宣传教育；承担行政复议、行政应诉有关工作；负责督办建设行业、房地产市场各种违法违章行为查处工作；负责局系统综合信访工作，会同相关部门处理各类综合信访案件，督促化解措施落实，建立规范台账档案等。</w:t>
      </w:r>
    </w:p>
    <w:p w14:paraId="28CE70E4">
      <w:pPr>
        <w:numPr>
          <w:ilvl w:val="0"/>
          <w:numId w:val="3"/>
        </w:numPr>
        <w:spacing w:line="360" w:lineRule="auto"/>
        <w:ind w:left="0" w:leftChars="0" w:firstLine="283" w:firstLineChars="0"/>
        <w:jc w:val="left"/>
        <w:rPr>
          <w:rFonts w:hint="eastAsia" w:ascii="宋体" w:hAnsi="宋体" w:eastAsia="宋体" w:cs="宋体"/>
          <w:color w:val="000000" w:themeColor="text1"/>
          <w:kern w:val="44"/>
          <w:sz w:val="28"/>
          <w:szCs w:val="28"/>
          <w14:textFill>
            <w14:solidFill>
              <w14:schemeClr w14:val="tx1"/>
            </w14:solidFill>
          </w14:textFill>
        </w:rPr>
      </w:pPr>
      <w:r>
        <w:rPr>
          <w:rFonts w:hint="eastAsia" w:ascii="宋体" w:hAnsi="宋体" w:eastAsia="宋体" w:cs="宋体"/>
          <w:color w:val="000000" w:themeColor="text1"/>
          <w:kern w:val="44"/>
          <w:sz w:val="28"/>
          <w:szCs w:val="28"/>
          <w14:textFill>
            <w14:solidFill>
              <w14:schemeClr w14:val="tx1"/>
            </w14:solidFill>
          </w14:textFill>
        </w:rPr>
        <w:t>城市与建筑设计科</w:t>
      </w:r>
    </w:p>
    <w:p w14:paraId="15471BF9">
      <w:pPr>
        <w:pStyle w:val="9"/>
        <w:spacing w:line="360" w:lineRule="auto"/>
        <w:ind w:left="0" w:leftChars="0"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拟订全区城市设计、工程勘察设计政策并监督实施；开展城市设计、城市修补、生态修复，指导建筑设计创作；拟订全区建设工程消防设计审查有关制度、标准和程序并组织实施:组织编制全区城乡建设防灾减灾规划并监督实施:组织实施房屋建筑及附属设施和市政基础设施建设工程的抗震设计规范；监督全区超限高层建筑工程抗震设防的专项审查工作:负责城市地下空间规划和开发利用的管理工作；负责全区历史文化名城的保护和监督管理工作；参与国土空间规划的审查，监督检查勘察设计企业资质。</w:t>
      </w:r>
    </w:p>
    <w:p w14:paraId="34DEC9DB">
      <w:pPr>
        <w:numPr>
          <w:ilvl w:val="0"/>
          <w:numId w:val="3"/>
        </w:numPr>
        <w:spacing w:line="360" w:lineRule="auto"/>
        <w:ind w:left="0" w:leftChars="0" w:firstLine="283" w:firstLineChars="0"/>
        <w:jc w:val="left"/>
        <w:rPr>
          <w:rFonts w:hint="eastAsia" w:ascii="宋体" w:hAnsi="宋体" w:eastAsia="宋体" w:cs="宋体"/>
          <w:color w:val="000000" w:themeColor="text1"/>
          <w:kern w:val="44"/>
          <w:sz w:val="28"/>
          <w:szCs w:val="28"/>
          <w14:textFill>
            <w14:solidFill>
              <w14:schemeClr w14:val="tx1"/>
            </w14:solidFill>
          </w14:textFill>
        </w:rPr>
      </w:pPr>
      <w:r>
        <w:rPr>
          <w:rFonts w:hint="eastAsia" w:ascii="宋体" w:hAnsi="宋体" w:eastAsia="宋体" w:cs="宋体"/>
          <w:color w:val="000000" w:themeColor="text1"/>
          <w:kern w:val="44"/>
          <w:sz w:val="28"/>
          <w:szCs w:val="28"/>
          <w14:textFill>
            <w14:solidFill>
              <w14:schemeClr w14:val="tx1"/>
            </w14:solidFill>
          </w14:textFill>
        </w:rPr>
        <w:t>建筑市场监管科（科技与标准科）</w:t>
      </w:r>
    </w:p>
    <w:p w14:paraId="5E3A2DE3">
      <w:pPr>
        <w:pStyle w:val="9"/>
        <w:spacing w:line="360" w:lineRule="auto"/>
        <w:ind w:left="0" w:leftChars="0"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贯彻落实工程建设与建筑市场监督管理方面的法律、法规和规章。拟订全区工程建设和建筑业的发展规划、改革方案、产业政策并监督实施；拟订规范建筑市场。（合建筑装修装饰市场）各方主体行为、房屋建筑和市政基础设施工程项目招标投标、施工许可、建设监理和工程风险管理的政策、制度并监督实施；监督管理建筑业企业资质，监督检查监理企业资质，组织协调建筑企业参与出省出国工程承包、建筑劳务合作拟订全区住房和城乡建设方面的科技发展规划，拟订建设科技、墙体材料革新、标准定额、工程造价的政策并监督实施；组织重点科技项目研发及成果推广应用，指导对外科技合作项目实施及引进项目创新工作:组织研究建筑产业现代化标准体系；指导全区墙体材料革新工作，组织新型墙体材料的认定和推广应用；监督实施工程建设地方标准和公共服务设施（不含通讯设施）建设标准:监督实施全区工程建设定额；拟定全区工程造价管理政策、制度并监督实施，监督检查工程造价企业资质。</w:t>
      </w:r>
    </w:p>
    <w:p w14:paraId="0FA458B9">
      <w:pPr>
        <w:numPr>
          <w:ilvl w:val="0"/>
          <w:numId w:val="3"/>
        </w:numPr>
        <w:spacing w:line="360" w:lineRule="auto"/>
        <w:ind w:left="0" w:leftChars="0" w:firstLine="283" w:firstLineChars="0"/>
        <w:jc w:val="left"/>
        <w:rPr>
          <w:rFonts w:hint="eastAsia" w:ascii="宋体" w:hAnsi="宋体" w:eastAsia="宋体" w:cs="宋体"/>
          <w:color w:val="000000" w:themeColor="text1"/>
          <w:kern w:val="44"/>
          <w:sz w:val="28"/>
          <w:szCs w:val="28"/>
          <w14:textFill>
            <w14:solidFill>
              <w14:schemeClr w14:val="tx1"/>
            </w14:solidFill>
          </w14:textFill>
        </w:rPr>
      </w:pPr>
      <w:r>
        <w:rPr>
          <w:rFonts w:hint="eastAsia" w:ascii="宋体" w:hAnsi="宋体" w:eastAsia="宋体" w:cs="宋体"/>
          <w:color w:val="000000" w:themeColor="text1"/>
          <w:kern w:val="44"/>
          <w:sz w:val="28"/>
          <w:szCs w:val="28"/>
          <w14:textFill>
            <w14:solidFill>
              <w14:schemeClr w14:val="tx1"/>
            </w14:solidFill>
          </w14:textFill>
        </w:rPr>
        <w:t>城市建设科（公用事业科）</w:t>
      </w:r>
    </w:p>
    <w:p w14:paraId="6A642D65">
      <w:pPr>
        <w:pStyle w:val="9"/>
        <w:spacing w:line="360" w:lineRule="auto"/>
        <w:ind w:left="0" w:leftChars="0"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拟订全区城市建设政策和制度并监督实施；编制全区城市建设行业发展规划并组织实施；负责市政基础设施规划的制定与实施；负责全区城市综合管廊、海绵城市规划和建设；负责城市综合交通、城市轨道交通等公共交通的规划和建设工作:监督实施全区城市基础设施建设标准规范和质量评价体系:参与拟订全区城市建设专项资金使用计划；负责城市市政基础设施建设项目行业审查工作:监督全区市政基础设施建设、安全和应急管理工作；承担区政府投资的市政设施建设项目监管工作组织编制全区市政公用事业行业发展规划并组织实施负责全区城市燃气、热力等市政公用设施运行管理工作；拟订全区市政公用行业管理和服务标准规范、质量评价体系并监督实施；负责全区城市市政公用事业特许经营工作。</w:t>
      </w:r>
    </w:p>
    <w:p w14:paraId="3FAA0160">
      <w:pPr>
        <w:numPr>
          <w:ilvl w:val="0"/>
          <w:numId w:val="3"/>
        </w:numPr>
        <w:spacing w:line="360" w:lineRule="auto"/>
        <w:ind w:left="0" w:leftChars="0" w:firstLine="283" w:firstLineChars="0"/>
        <w:jc w:val="left"/>
        <w:rPr>
          <w:rFonts w:hint="eastAsia" w:ascii="宋体" w:hAnsi="宋体" w:eastAsia="宋体" w:cs="宋体"/>
          <w:color w:val="000000" w:themeColor="text1"/>
          <w:kern w:val="44"/>
          <w:sz w:val="28"/>
          <w:szCs w:val="28"/>
          <w14:textFill>
            <w14:solidFill>
              <w14:schemeClr w14:val="tx1"/>
            </w14:solidFill>
          </w14:textFill>
        </w:rPr>
      </w:pPr>
      <w:r>
        <w:rPr>
          <w:rFonts w:hint="eastAsia" w:ascii="宋体" w:hAnsi="宋体" w:eastAsia="宋体" w:cs="宋体"/>
          <w:color w:val="000000" w:themeColor="text1"/>
          <w:kern w:val="44"/>
          <w:sz w:val="28"/>
          <w:szCs w:val="28"/>
          <w14:textFill>
            <w14:solidFill>
              <w14:schemeClr w14:val="tx1"/>
            </w14:solidFill>
          </w14:textFill>
        </w:rPr>
        <w:t>村镇建设科</w:t>
      </w:r>
    </w:p>
    <w:p w14:paraId="131536A5">
      <w:pPr>
        <w:pStyle w:val="9"/>
        <w:spacing w:line="360" w:lineRule="auto"/>
        <w:ind w:left="0" w:leftChars="0" w:firstLine="560" w:firstLineChars="200"/>
        <w:jc w:val="left"/>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拟订全区村镇建设政策和发展规划并监督实施；指导村庄建设；指导小城镇建设管理工作；指导农村住房建设工作；指导村镇人居环境改善工作:指导各类村镇建设试点工作；承担历史文化名镇（村）保护利用、传统村落保护发展和监督管理有关工作；指导村镇迁建、重建工作</w:t>
      </w:r>
      <w:r>
        <w:rPr>
          <w:rFonts w:hint="eastAsia" w:ascii="宋体" w:hAnsi="宋体" w:eastAsia="宋体" w:cs="宋体"/>
          <w:color w:val="000000" w:themeColor="text1"/>
          <w:sz w:val="28"/>
          <w:szCs w:val="28"/>
          <w:lang w:eastAsia="zh-CN"/>
          <w14:textFill>
            <w14:solidFill>
              <w14:schemeClr w14:val="tx1"/>
            </w14:solidFill>
          </w14:textFill>
        </w:rPr>
        <w:t>。</w:t>
      </w:r>
    </w:p>
    <w:p w14:paraId="2532C93B">
      <w:pPr>
        <w:numPr>
          <w:ilvl w:val="0"/>
          <w:numId w:val="3"/>
        </w:numPr>
        <w:spacing w:line="360" w:lineRule="auto"/>
        <w:ind w:left="0" w:leftChars="0" w:firstLine="283" w:firstLineChars="0"/>
        <w:jc w:val="left"/>
        <w:rPr>
          <w:rFonts w:hint="eastAsia" w:ascii="宋体" w:hAnsi="宋体" w:eastAsia="宋体" w:cs="宋体"/>
          <w:color w:val="000000" w:themeColor="text1"/>
          <w:kern w:val="44"/>
          <w:sz w:val="28"/>
          <w:szCs w:val="28"/>
          <w14:textFill>
            <w14:solidFill>
              <w14:schemeClr w14:val="tx1"/>
            </w14:solidFill>
          </w14:textFill>
        </w:rPr>
      </w:pPr>
      <w:r>
        <w:rPr>
          <w:rFonts w:hint="eastAsia" w:ascii="宋体" w:hAnsi="宋体" w:eastAsia="宋体" w:cs="宋体"/>
          <w:color w:val="000000" w:themeColor="text1"/>
          <w:kern w:val="44"/>
          <w:sz w:val="28"/>
          <w:szCs w:val="28"/>
          <w14:textFill>
            <w14:solidFill>
              <w14:schemeClr w14:val="tx1"/>
            </w14:solidFill>
          </w14:textFill>
        </w:rPr>
        <w:t>安全科</w:t>
      </w:r>
    </w:p>
    <w:p w14:paraId="45961A22">
      <w:pPr>
        <w:pStyle w:val="9"/>
        <w:spacing w:line="360" w:lineRule="auto"/>
        <w:ind w:left="0" w:leftChars="0"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负责房屋建筑及市政基础设施工程施工安全生产工作；负责公用事业领域安全运行工作；负责物业小区安全监督管理工作。</w:t>
      </w:r>
    </w:p>
    <w:p w14:paraId="08C1818B">
      <w:pPr>
        <w:numPr>
          <w:ilvl w:val="0"/>
          <w:numId w:val="3"/>
        </w:numPr>
        <w:spacing w:line="360" w:lineRule="auto"/>
        <w:ind w:left="0" w:leftChars="0" w:firstLine="283" w:firstLineChars="0"/>
        <w:jc w:val="left"/>
        <w:rPr>
          <w:rFonts w:hint="eastAsia" w:ascii="宋体" w:hAnsi="宋体" w:eastAsia="宋体" w:cs="宋体"/>
          <w:color w:val="000000" w:themeColor="text1"/>
          <w:kern w:val="44"/>
          <w:sz w:val="28"/>
          <w:szCs w:val="28"/>
          <w14:textFill>
            <w14:solidFill>
              <w14:schemeClr w14:val="tx1"/>
            </w14:solidFill>
          </w14:textFill>
        </w:rPr>
      </w:pPr>
      <w:r>
        <w:rPr>
          <w:rFonts w:hint="eastAsia" w:ascii="宋体" w:hAnsi="宋体" w:eastAsia="宋体" w:cs="宋体"/>
          <w:color w:val="000000" w:themeColor="text1"/>
          <w:kern w:val="44"/>
          <w:sz w:val="28"/>
          <w:szCs w:val="28"/>
          <w14:textFill>
            <w14:solidFill>
              <w14:schemeClr w14:val="tx1"/>
            </w14:solidFill>
          </w14:textFill>
        </w:rPr>
        <w:t>机关党委</w:t>
      </w:r>
    </w:p>
    <w:p w14:paraId="31A5C0AC">
      <w:pPr>
        <w:pStyle w:val="9"/>
        <w:spacing w:line="360" w:lineRule="auto"/>
        <w:ind w:left="0" w:leftChars="0" w:firstLine="560" w:firstLineChars="200"/>
        <w:jc w:val="left"/>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负责机关和直属单位的党群工作</w:t>
      </w:r>
      <w:r>
        <w:rPr>
          <w:rFonts w:hint="eastAsia" w:ascii="宋体" w:hAnsi="宋体" w:eastAsia="宋体" w:cs="宋体"/>
          <w:color w:val="000000" w:themeColor="text1"/>
          <w:sz w:val="28"/>
          <w:szCs w:val="28"/>
          <w:lang w:eastAsia="zh-CN"/>
          <w14:textFill>
            <w14:solidFill>
              <w14:schemeClr w14:val="tx1"/>
            </w14:solidFill>
          </w14:textFill>
        </w:rPr>
        <w:t>。</w:t>
      </w:r>
    </w:p>
    <w:p w14:paraId="3E6BE2BF">
      <w:pPr>
        <w:numPr>
          <w:ilvl w:val="0"/>
          <w:numId w:val="2"/>
        </w:numPr>
        <w:spacing w:line="360" w:lineRule="auto"/>
        <w:ind w:left="0" w:leftChars="0" w:firstLine="283" w:firstLineChars="0"/>
        <w:jc w:val="left"/>
        <w:outlineLvl w:val="1"/>
        <w:rPr>
          <w:rFonts w:hint="eastAsia" w:ascii="宋体" w:hAnsi="宋体" w:eastAsia="宋体" w:cs="宋体"/>
          <w:color w:val="000000" w:themeColor="text1"/>
          <w:kern w:val="44"/>
          <w:sz w:val="28"/>
          <w:szCs w:val="28"/>
          <w14:textFill>
            <w14:solidFill>
              <w14:schemeClr w14:val="tx1"/>
            </w14:solidFill>
          </w14:textFill>
        </w:rPr>
      </w:pPr>
      <w:bookmarkStart w:id="3" w:name="_Toc24448"/>
      <w:r>
        <w:rPr>
          <w:rFonts w:hint="eastAsia" w:ascii="宋体" w:hAnsi="宋体" w:eastAsia="宋体" w:cs="宋体"/>
          <w:color w:val="000000" w:themeColor="text1"/>
          <w:kern w:val="44"/>
          <w:sz w:val="28"/>
          <w:szCs w:val="28"/>
          <w:lang w:val="en-US" w:eastAsia="zh-CN"/>
          <w14:textFill>
            <w14:solidFill>
              <w14:schemeClr w14:val="tx1"/>
            </w14:solidFill>
          </w14:textFill>
        </w:rPr>
        <w:t>项目单位</w:t>
      </w:r>
      <w:r>
        <w:rPr>
          <w:rFonts w:hint="eastAsia" w:ascii="宋体" w:hAnsi="宋体" w:eastAsia="宋体" w:cs="宋体"/>
          <w:color w:val="000000" w:themeColor="text1"/>
          <w:kern w:val="44"/>
          <w:sz w:val="28"/>
          <w:szCs w:val="28"/>
          <w14:textFill>
            <w14:solidFill>
              <w14:schemeClr w14:val="tx1"/>
            </w14:solidFill>
          </w14:textFill>
        </w:rPr>
        <w:t>主要职责</w:t>
      </w:r>
      <w:bookmarkEnd w:id="3"/>
    </w:p>
    <w:p w14:paraId="7A4C8DB4">
      <w:pPr>
        <w:numPr>
          <w:ilvl w:val="0"/>
          <w:numId w:val="4"/>
        </w:numPr>
        <w:spacing w:line="360" w:lineRule="auto"/>
        <w:ind w:left="0" w:leftChars="0" w:firstLine="283" w:firstLineChars="0"/>
        <w:jc w:val="left"/>
        <w:rPr>
          <w:rFonts w:hint="eastAsia" w:ascii="宋体" w:hAnsi="宋体" w:eastAsia="宋体" w:cs="宋体"/>
          <w:color w:val="000000" w:themeColor="text1"/>
          <w:kern w:val="44"/>
          <w:sz w:val="28"/>
          <w:szCs w:val="28"/>
          <w14:textFill>
            <w14:solidFill>
              <w14:schemeClr w14:val="tx1"/>
            </w14:solidFill>
          </w14:textFill>
        </w:rPr>
      </w:pPr>
      <w:r>
        <w:rPr>
          <w:rFonts w:hint="eastAsia" w:ascii="宋体" w:hAnsi="宋体" w:eastAsia="宋体" w:cs="宋体"/>
          <w:color w:val="000000" w:themeColor="text1"/>
          <w:kern w:val="44"/>
          <w:sz w:val="28"/>
          <w:szCs w:val="28"/>
          <w14:textFill>
            <w14:solidFill>
              <w14:schemeClr w14:val="tx1"/>
            </w14:solidFill>
          </w14:textFill>
        </w:rPr>
        <w:t>负责全区城镇中低收入群体住房保障工作。贯彻落实党和国家住房保障工作的法律、法规和方针政策。贯彻落实住房保障的地方性法规、规章和政策。拟订全区住房保障发展规划和年度计划并监督实施。会同有关部门做好国家和省、市、区住房保障资金安排工作并监督实施。会同有关部门开展保障性住房建设项目融资工作。会同有关部门拟订全区各类棚户区改造政策并监督实施。会同有关部门做好全区保障性住房资产监管工作，依法维护资产的安全完整。负责保障性安居工程信息统计管理工作和住房保障信息化工作。</w:t>
      </w:r>
    </w:p>
    <w:p w14:paraId="1D3A7686">
      <w:pPr>
        <w:numPr>
          <w:ilvl w:val="0"/>
          <w:numId w:val="4"/>
        </w:numPr>
        <w:spacing w:line="360" w:lineRule="auto"/>
        <w:ind w:left="0" w:leftChars="0" w:firstLine="283" w:firstLineChars="0"/>
        <w:jc w:val="left"/>
        <w:rPr>
          <w:rFonts w:hint="eastAsia" w:ascii="宋体" w:hAnsi="宋体" w:eastAsia="宋体" w:cs="宋体"/>
          <w:color w:val="000000" w:themeColor="text1"/>
          <w:kern w:val="44"/>
          <w:sz w:val="28"/>
          <w:szCs w:val="28"/>
          <w14:textFill>
            <w14:solidFill>
              <w14:schemeClr w14:val="tx1"/>
            </w14:solidFill>
          </w14:textFill>
        </w:rPr>
      </w:pPr>
      <w:r>
        <w:rPr>
          <w:rFonts w:hint="eastAsia" w:ascii="宋体" w:hAnsi="宋体" w:eastAsia="宋体" w:cs="宋体"/>
          <w:color w:val="000000" w:themeColor="text1"/>
          <w:kern w:val="44"/>
          <w:sz w:val="28"/>
          <w:szCs w:val="28"/>
          <w14:textFill>
            <w14:solidFill>
              <w14:schemeClr w14:val="tx1"/>
            </w14:solidFill>
          </w14:textFill>
        </w:rPr>
        <w:t>负责推进全区住房制度改革和住房发展工作。组织研究全区住房发展方面的重大问题，拟订适合区情的住房政策，组织拟订全区住房发展规划，指导全区住房建设、发展和住房制度改革工作。</w:t>
      </w:r>
    </w:p>
    <w:p w14:paraId="2F1E1C8A">
      <w:pPr>
        <w:numPr>
          <w:ilvl w:val="0"/>
          <w:numId w:val="4"/>
        </w:numPr>
        <w:spacing w:line="360" w:lineRule="auto"/>
        <w:ind w:left="0" w:leftChars="0" w:firstLine="283" w:firstLineChars="0"/>
        <w:jc w:val="left"/>
        <w:rPr>
          <w:rFonts w:hint="eastAsia" w:ascii="宋体" w:hAnsi="宋体" w:eastAsia="宋体" w:cs="宋体"/>
          <w:color w:val="000000" w:themeColor="text1"/>
          <w:kern w:val="44"/>
          <w:sz w:val="28"/>
          <w:szCs w:val="28"/>
          <w14:textFill>
            <w14:solidFill>
              <w14:schemeClr w14:val="tx1"/>
            </w14:solidFill>
          </w14:textFill>
        </w:rPr>
      </w:pPr>
      <w:r>
        <w:rPr>
          <w:rFonts w:hint="eastAsia" w:ascii="宋体" w:hAnsi="宋体" w:eastAsia="宋体" w:cs="宋体"/>
          <w:color w:val="000000" w:themeColor="text1"/>
          <w:kern w:val="44"/>
          <w:sz w:val="28"/>
          <w:szCs w:val="28"/>
          <w14:textFill>
            <w14:solidFill>
              <w14:schemeClr w14:val="tx1"/>
            </w14:solidFill>
          </w14:textFill>
        </w:rPr>
        <w:t>监督管理全区房地产市场。贯彻落实房地产市场监管方面的法律、法规和规章。拟订全区房地产市场发展规划和产业政策，拟订房地产开发、房屋交易、房屋租赁、房屋面积管理、房地产中介管理、物业管理、物业专项维修资金管理的制度并监督实施。指导监督全区房屋产权管理等工作。拟订全区国有土地上房屋征收制度并监督实施</w:t>
      </w:r>
    </w:p>
    <w:p w14:paraId="4E262BE7">
      <w:pPr>
        <w:numPr>
          <w:ilvl w:val="0"/>
          <w:numId w:val="4"/>
        </w:numPr>
        <w:spacing w:line="360" w:lineRule="auto"/>
        <w:ind w:left="0" w:leftChars="0" w:firstLine="283" w:firstLineChars="0"/>
        <w:jc w:val="left"/>
        <w:rPr>
          <w:rFonts w:hint="eastAsia" w:ascii="宋体" w:hAnsi="宋体" w:eastAsia="宋体" w:cs="宋体"/>
          <w:color w:val="000000" w:themeColor="text1"/>
          <w:kern w:val="44"/>
          <w:sz w:val="28"/>
          <w:szCs w:val="28"/>
          <w14:textFill>
            <w14:solidFill>
              <w14:schemeClr w14:val="tx1"/>
            </w14:solidFill>
          </w14:textFill>
        </w:rPr>
      </w:pPr>
      <w:r>
        <w:rPr>
          <w:rFonts w:hint="eastAsia" w:ascii="宋体" w:hAnsi="宋体" w:eastAsia="宋体" w:cs="宋体"/>
          <w:color w:val="000000" w:themeColor="text1"/>
          <w:kern w:val="44"/>
          <w:sz w:val="28"/>
          <w:szCs w:val="28"/>
          <w14:textFill>
            <w14:solidFill>
              <w14:schemeClr w14:val="tx1"/>
            </w14:solidFill>
          </w14:textFill>
        </w:rPr>
        <w:t>监督管理全区建筑市场，规范市场各方主体行为拟订全区工程建设与建筑市场监督管理方面的政策并监督实施。拟订工程建设和建筑业的发展规划、改革方案、产业政策并监督实施。拟订规范建筑市场各方主体行为的制度并监督实施。指导全区建筑活动，组织实施房屋建筑和市政基础设施工程项目招标投标活动的监督检查。组织协调建筑企业参与出市出省出国工程承包、建筑劳务合作。</w:t>
      </w:r>
    </w:p>
    <w:p w14:paraId="5CCC3677">
      <w:pPr>
        <w:numPr>
          <w:ilvl w:val="0"/>
          <w:numId w:val="4"/>
        </w:numPr>
        <w:spacing w:line="360" w:lineRule="auto"/>
        <w:ind w:left="0" w:leftChars="0" w:firstLine="283" w:firstLineChars="0"/>
        <w:jc w:val="left"/>
        <w:rPr>
          <w:rFonts w:hint="eastAsia" w:ascii="宋体" w:hAnsi="宋体" w:eastAsia="宋体" w:cs="宋体"/>
          <w:color w:val="000000" w:themeColor="text1"/>
          <w:kern w:val="44"/>
          <w:sz w:val="28"/>
          <w:szCs w:val="28"/>
          <w14:textFill>
            <w14:solidFill>
              <w14:schemeClr w14:val="tx1"/>
            </w14:solidFill>
          </w14:textFill>
        </w:rPr>
      </w:pPr>
      <w:r>
        <w:rPr>
          <w:rFonts w:hint="eastAsia" w:ascii="宋体" w:hAnsi="宋体" w:eastAsia="宋体" w:cs="宋体"/>
          <w:color w:val="000000" w:themeColor="text1"/>
          <w:kern w:val="44"/>
          <w:sz w:val="28"/>
          <w:szCs w:val="28"/>
          <w14:textFill>
            <w14:solidFill>
              <w14:schemeClr w14:val="tx1"/>
            </w14:solidFill>
          </w14:textFill>
        </w:rPr>
        <w:t>负责全区房屋建筑和市政基础设施工程建设质量安全消防监管工作，贯彻落实房屋建筑和市政基础设施工程质量安全消防监管方面的法律、法规、规章和制度。组织或参与工程重大质量、安全事故的调查处理。</w:t>
      </w:r>
    </w:p>
    <w:p w14:paraId="45690EC3">
      <w:pPr>
        <w:numPr>
          <w:ilvl w:val="0"/>
          <w:numId w:val="4"/>
        </w:numPr>
        <w:spacing w:line="360" w:lineRule="auto"/>
        <w:ind w:left="0" w:leftChars="0" w:firstLine="283" w:firstLineChars="0"/>
        <w:jc w:val="left"/>
        <w:rPr>
          <w:rFonts w:hint="eastAsia" w:ascii="宋体" w:hAnsi="宋体" w:eastAsia="宋体" w:cs="宋体"/>
          <w:color w:val="000000" w:themeColor="text1"/>
          <w:kern w:val="44"/>
          <w:sz w:val="28"/>
          <w:szCs w:val="28"/>
          <w14:textFill>
            <w14:solidFill>
              <w14:schemeClr w14:val="tx1"/>
            </w14:solidFill>
          </w14:textFill>
        </w:rPr>
      </w:pPr>
      <w:r>
        <w:rPr>
          <w:rFonts w:hint="eastAsia" w:ascii="宋体" w:hAnsi="宋体" w:eastAsia="宋体" w:cs="宋体"/>
          <w:color w:val="000000" w:themeColor="text1"/>
          <w:kern w:val="44"/>
          <w:sz w:val="28"/>
          <w:szCs w:val="28"/>
          <w14:textFill>
            <w14:solidFill>
              <w14:schemeClr w14:val="tx1"/>
            </w14:solidFill>
          </w14:textFill>
        </w:rPr>
        <w:t>负责规范全区城市设计、工程勘察设计市场秩序，监督管理全区城市设计、工程勘察设计质量工作。拟订城市设计、工程勘察设计行业中长期规划、改革方案、产业政策制度和技术政策并组织实施。组织实施城市设计、工程勘察设计、全区房屋建筑及其附属设施和市政基础设施的抗震设计规范。拟订建设工程消防设计审查验收有关制度、标准和程序并组织实施。指导编制和实施城市设计，指导建筑设计创作。指导城市修补和生态修复。会同文物主管部门负责历史文化名城（镇、村）的保护和监督管理工作。参与国土空间规划的审查。</w:t>
      </w:r>
    </w:p>
    <w:p w14:paraId="215F1382">
      <w:pPr>
        <w:numPr>
          <w:ilvl w:val="0"/>
          <w:numId w:val="4"/>
        </w:numPr>
        <w:spacing w:line="360" w:lineRule="auto"/>
        <w:ind w:left="0" w:leftChars="0" w:firstLine="283" w:firstLineChars="0"/>
        <w:jc w:val="left"/>
        <w:rPr>
          <w:rFonts w:hint="eastAsia" w:ascii="宋体" w:hAnsi="宋体" w:eastAsia="宋体" w:cs="宋体"/>
          <w:color w:val="000000" w:themeColor="text1"/>
          <w:kern w:val="44"/>
          <w:sz w:val="28"/>
          <w:szCs w:val="28"/>
          <w14:textFill>
            <w14:solidFill>
              <w14:schemeClr w14:val="tx1"/>
            </w14:solidFill>
          </w14:textFill>
        </w:rPr>
      </w:pPr>
      <w:r>
        <w:rPr>
          <w:rFonts w:hint="eastAsia" w:ascii="宋体" w:hAnsi="宋体" w:eastAsia="宋体" w:cs="宋体"/>
          <w:color w:val="000000" w:themeColor="text1"/>
          <w:kern w:val="44"/>
          <w:sz w:val="28"/>
          <w:szCs w:val="28"/>
          <w14:textFill>
            <w14:solidFill>
              <w14:schemeClr w14:val="tx1"/>
            </w14:solidFill>
          </w14:textFill>
        </w:rPr>
        <w:t>负责建立健全全区科学规范的工程建设标准体系。监督实施工程建设实施阶段的地方标准。拟订建设项目可行性研究评价方法、经济参数和建设标准的管理制度。监督实施公共服务设施（不含通讯设施）建设标准和工程建设标准。监督实施全区工程造价管理制度，组织发布工程造价信息，监督建设工程造价计价。监督实施工程建设统一定额。</w:t>
      </w:r>
    </w:p>
    <w:p w14:paraId="4EFE9F21">
      <w:pPr>
        <w:numPr>
          <w:ilvl w:val="0"/>
          <w:numId w:val="4"/>
        </w:numPr>
        <w:spacing w:line="360" w:lineRule="auto"/>
        <w:ind w:left="0" w:leftChars="0" w:firstLine="283" w:firstLineChars="0"/>
        <w:jc w:val="left"/>
        <w:rPr>
          <w:rFonts w:hint="eastAsia" w:ascii="宋体" w:hAnsi="宋体" w:eastAsia="宋体" w:cs="宋体"/>
          <w:color w:val="000000" w:themeColor="text1"/>
          <w:kern w:val="44"/>
          <w:sz w:val="28"/>
          <w:szCs w:val="28"/>
          <w14:textFill>
            <w14:solidFill>
              <w14:schemeClr w14:val="tx1"/>
            </w14:solidFill>
          </w14:textFill>
        </w:rPr>
      </w:pPr>
      <w:r>
        <w:rPr>
          <w:rFonts w:hint="eastAsia" w:ascii="宋体" w:hAnsi="宋体" w:eastAsia="宋体" w:cs="宋体"/>
          <w:color w:val="000000" w:themeColor="text1"/>
          <w:kern w:val="44"/>
          <w:sz w:val="28"/>
          <w:szCs w:val="28"/>
          <w14:textFill>
            <w14:solidFill>
              <w14:schemeClr w14:val="tx1"/>
            </w14:solidFill>
          </w14:textFill>
        </w:rPr>
        <w:t>负责全区城市建设管理工作。拟订全区城市建设的政策并监督实施。编制全区城市建设行业发展规划并组织实施。负责市政基础设施规划的制定与实施，并做好与国土空间规划等相关规划的衔接。负责城市综合交通等公共交通、城市轨道交通等公共交通的规划和建设工作。监督全区城市市政公用设施的建设、安全和应急管理。承担全区城市燃气、热力等市政公用设施运行管理工作。承担区政府投资的市政设施建设项目监管工作。</w:t>
      </w:r>
    </w:p>
    <w:p w14:paraId="0B01DF7D">
      <w:pPr>
        <w:numPr>
          <w:ilvl w:val="0"/>
          <w:numId w:val="4"/>
        </w:numPr>
        <w:spacing w:line="360" w:lineRule="auto"/>
        <w:ind w:left="0" w:leftChars="0" w:firstLine="283" w:firstLineChars="0"/>
        <w:jc w:val="left"/>
        <w:rPr>
          <w:rFonts w:hint="eastAsia" w:ascii="宋体" w:hAnsi="宋体" w:eastAsia="宋体" w:cs="宋体"/>
          <w:color w:val="000000" w:themeColor="text1"/>
          <w:kern w:val="44"/>
          <w:sz w:val="28"/>
          <w:szCs w:val="28"/>
          <w14:textFill>
            <w14:solidFill>
              <w14:schemeClr w14:val="tx1"/>
            </w14:solidFill>
          </w14:textFill>
        </w:rPr>
      </w:pPr>
      <w:r>
        <w:rPr>
          <w:rFonts w:hint="eastAsia" w:ascii="宋体" w:hAnsi="宋体" w:eastAsia="宋体" w:cs="宋体"/>
          <w:color w:val="000000" w:themeColor="text1"/>
          <w:kern w:val="44"/>
          <w:sz w:val="28"/>
          <w:szCs w:val="28"/>
          <w14:textFill>
            <w14:solidFill>
              <w14:schemeClr w14:val="tx1"/>
            </w14:solidFill>
          </w14:textFill>
        </w:rPr>
        <w:t>负责规范和指导全区村镇建设工作。拟订全区村镇建设政策和发展规划并监督实施。指早农村住房建设工作。指导小城镇建设管理工作。指导村镇人居环境改善工作指导各类村镇建设试点工作。会同有关部门负责传统村落保护发展和监督工作</w:t>
      </w:r>
    </w:p>
    <w:p w14:paraId="49E463AD">
      <w:pPr>
        <w:numPr>
          <w:ilvl w:val="0"/>
          <w:numId w:val="4"/>
        </w:numPr>
        <w:spacing w:line="360" w:lineRule="auto"/>
        <w:ind w:left="0" w:leftChars="0" w:firstLine="283" w:firstLineChars="0"/>
        <w:jc w:val="left"/>
        <w:rPr>
          <w:rFonts w:hint="eastAsia" w:ascii="宋体" w:hAnsi="宋体" w:eastAsia="宋体" w:cs="宋体"/>
          <w:color w:val="000000" w:themeColor="text1"/>
          <w:kern w:val="44"/>
          <w:sz w:val="28"/>
          <w:szCs w:val="28"/>
          <w14:textFill>
            <w14:solidFill>
              <w14:schemeClr w14:val="tx1"/>
            </w14:solidFill>
          </w14:textFill>
        </w:rPr>
      </w:pPr>
      <w:r>
        <w:rPr>
          <w:rFonts w:hint="eastAsia" w:ascii="宋体" w:hAnsi="宋体" w:eastAsia="宋体" w:cs="宋体"/>
          <w:color w:val="000000" w:themeColor="text1"/>
          <w:kern w:val="44"/>
          <w:sz w:val="28"/>
          <w:szCs w:val="28"/>
          <w14:textFill>
            <w14:solidFill>
              <w14:schemeClr w14:val="tx1"/>
            </w14:solidFill>
          </w14:textFill>
        </w:rPr>
        <w:t>负责推进全区建筑节能、城镇减排和墙体材料革新工作。拟订住房和城乡建设科技发展规划和经济政策。会同有关部门拟订建筑节能及绿色建筑的政策、规划并监督实施。组织实施重大建筑节能项目，推进城镇节能减排。组织实施重点科技成果转化及推广应用。拟订发展应用新型墙体材料规划、政策和制度，负责新型墙体材料的推广应用。</w:t>
      </w:r>
    </w:p>
    <w:p w14:paraId="1B111F8E">
      <w:pPr>
        <w:numPr>
          <w:ilvl w:val="0"/>
          <w:numId w:val="4"/>
        </w:numPr>
        <w:spacing w:line="360" w:lineRule="auto"/>
        <w:ind w:left="0" w:leftChars="0" w:firstLine="283" w:firstLineChars="0"/>
        <w:jc w:val="left"/>
        <w:rPr>
          <w:rFonts w:hint="eastAsia" w:ascii="宋体" w:hAnsi="宋体" w:eastAsia="宋体" w:cs="宋体"/>
          <w:color w:val="000000" w:themeColor="text1"/>
          <w:kern w:val="44"/>
          <w:sz w:val="28"/>
          <w:szCs w:val="28"/>
          <w14:textFill>
            <w14:solidFill>
              <w14:schemeClr w14:val="tx1"/>
            </w14:solidFill>
          </w14:textFill>
        </w:rPr>
      </w:pPr>
      <w:r>
        <w:rPr>
          <w:rFonts w:hint="eastAsia" w:ascii="宋体" w:hAnsi="宋体" w:eastAsia="宋体" w:cs="宋体"/>
          <w:color w:val="000000" w:themeColor="text1"/>
          <w:kern w:val="44"/>
          <w:sz w:val="28"/>
          <w:szCs w:val="28"/>
          <w14:textFill>
            <w14:solidFill>
              <w14:schemeClr w14:val="tx1"/>
            </w14:solidFill>
          </w14:textFill>
        </w:rPr>
        <w:t>开展住房和城乡建设领域的对外交流合作</w:t>
      </w:r>
    </w:p>
    <w:p w14:paraId="52771C0D">
      <w:pPr>
        <w:numPr>
          <w:ilvl w:val="0"/>
          <w:numId w:val="4"/>
        </w:numPr>
        <w:spacing w:line="360" w:lineRule="auto"/>
        <w:ind w:left="0" w:leftChars="0" w:firstLine="283" w:firstLineChars="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kern w:val="44"/>
          <w:sz w:val="28"/>
          <w:szCs w:val="28"/>
          <w14:textFill>
            <w14:solidFill>
              <w14:schemeClr w14:val="tx1"/>
            </w14:solidFill>
          </w14:textFill>
        </w:rPr>
        <w:t>完成区委、区政府交办的其他任务。</w:t>
      </w:r>
    </w:p>
    <w:p w14:paraId="3762D3C5">
      <w:pPr>
        <w:numPr>
          <w:ilvl w:val="0"/>
          <w:numId w:val="2"/>
        </w:numPr>
        <w:spacing w:line="360" w:lineRule="auto"/>
        <w:ind w:left="0" w:leftChars="0" w:firstLine="283" w:firstLineChars="0"/>
        <w:jc w:val="left"/>
        <w:outlineLvl w:val="1"/>
        <w:rPr>
          <w:rFonts w:hint="eastAsia" w:ascii="宋体" w:hAnsi="宋体" w:eastAsia="宋体" w:cs="宋体"/>
          <w:color w:val="000000" w:themeColor="text1"/>
          <w:kern w:val="44"/>
          <w:sz w:val="28"/>
          <w:szCs w:val="28"/>
          <w14:textFill>
            <w14:solidFill>
              <w14:schemeClr w14:val="tx1"/>
            </w14:solidFill>
          </w14:textFill>
        </w:rPr>
      </w:pPr>
      <w:bookmarkStart w:id="4" w:name="_Toc13148"/>
      <w:r>
        <w:rPr>
          <w:rFonts w:hint="eastAsia" w:ascii="宋体" w:hAnsi="宋体" w:eastAsia="宋体" w:cs="宋体"/>
          <w:color w:val="000000" w:themeColor="text1"/>
          <w:kern w:val="44"/>
          <w:sz w:val="28"/>
          <w:szCs w:val="28"/>
          <w14:textFill>
            <w14:solidFill>
              <w14:schemeClr w14:val="tx1"/>
            </w14:solidFill>
          </w14:textFill>
        </w:rPr>
        <w:t>项目概况</w:t>
      </w:r>
      <w:bookmarkEnd w:id="4"/>
    </w:p>
    <w:p w14:paraId="32EDF632">
      <w:pPr>
        <w:numPr>
          <w:ilvl w:val="0"/>
          <w:numId w:val="5"/>
        </w:numPr>
        <w:spacing w:line="360" w:lineRule="auto"/>
        <w:ind w:left="0" w:leftChars="0" w:firstLine="283" w:firstLineChars="0"/>
        <w:jc w:val="left"/>
        <w:outlineLvl w:val="2"/>
        <w:rPr>
          <w:rFonts w:hint="eastAsia" w:ascii="宋体" w:hAnsi="宋体" w:eastAsia="宋体" w:cs="宋体"/>
          <w:color w:val="000000" w:themeColor="text1"/>
          <w:kern w:val="44"/>
          <w:sz w:val="28"/>
          <w:szCs w:val="28"/>
          <w:lang w:val="en-US" w:eastAsia="zh-CN"/>
          <w14:textFill>
            <w14:solidFill>
              <w14:schemeClr w14:val="tx1"/>
            </w14:solidFill>
          </w14:textFill>
        </w:rPr>
      </w:pPr>
      <w:bookmarkStart w:id="5" w:name="_Toc25166"/>
      <w:r>
        <w:rPr>
          <w:rFonts w:hint="eastAsia" w:ascii="宋体" w:hAnsi="宋体" w:eastAsia="宋体" w:cs="宋体"/>
          <w:color w:val="000000" w:themeColor="text1"/>
          <w:kern w:val="44"/>
          <w:sz w:val="28"/>
          <w:szCs w:val="28"/>
          <w:lang w:val="en-US" w:eastAsia="zh-CN"/>
          <w14:textFill>
            <w14:solidFill>
              <w14:schemeClr w14:val="tx1"/>
            </w14:solidFill>
          </w14:textFill>
        </w:rPr>
        <w:t>项目主要内容</w:t>
      </w:r>
      <w:bookmarkEnd w:id="5"/>
    </w:p>
    <w:p w14:paraId="6C957B76">
      <w:pPr>
        <w:pStyle w:val="9"/>
        <w:ind w:left="0" w:leftChars="0" w:firstLine="560" w:firstLineChars="200"/>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王寨路、金华路跨金水河桥梁工程项目包含两个工程：陕州区王寨路桥工程、陕州区金华路道路工程。</w:t>
      </w:r>
    </w:p>
    <w:p w14:paraId="20B57CBA">
      <w:pPr>
        <w:pStyle w:val="9"/>
        <w:ind w:left="0" w:leftChars="0"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陕州区王寨路桥工程，主要建设内容：王寨路跨金水河桥梁及两侧道路连接线，其中桥长70米、宽24米，道路连接线长29.87米,宽24米，主要建设内容包括桥梁工程、道路工程、给水工程、污水工程、雨水工程、照明工程、通讯工程、人行道板及河道改</w:t>
      </w:r>
      <w:r>
        <w:rPr>
          <w:rFonts w:hint="eastAsia" w:ascii="宋体" w:hAnsi="宋体" w:eastAsia="宋体" w:cs="宋体"/>
          <w:color w:val="000000" w:themeColor="text1"/>
          <w:sz w:val="28"/>
          <w:szCs w:val="28"/>
          <w:highlight w:val="none"/>
          <w:lang w:val="en-US" w:eastAsia="zh-CN"/>
          <w14:textFill>
            <w14:solidFill>
              <w14:schemeClr w14:val="tx1"/>
            </w14:solidFill>
          </w14:textFill>
        </w:rPr>
        <w:t>线等。</w:t>
      </w:r>
    </w:p>
    <w:p w14:paraId="54667191">
      <w:pPr>
        <w:bidi w:val="0"/>
        <w:snapToGrid/>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陕州区金华路道路工程</w:t>
      </w:r>
      <w:r>
        <w:rPr>
          <w:rFonts w:hint="eastAsia" w:ascii="宋体" w:hAnsi="宋体" w:eastAsia="宋体" w:cs="宋体"/>
          <w:color w:val="000000" w:themeColor="text1"/>
          <w:sz w:val="28"/>
          <w:szCs w:val="28"/>
          <w:highlight w:val="none"/>
          <w:lang w:val="en-US" w:eastAsia="zh-CN"/>
          <w14:textFill>
            <w14:solidFill>
              <w14:schemeClr w14:val="tx1"/>
            </w14:solidFill>
          </w14:textFill>
        </w:rPr>
        <w:t>，主要建设内容：陕州区金华路道路工程南起陕州大道，北至永昌路，道路全长708.71米，工程建设内容为道路工程、给水工程、雨水工程、污水工程、照明工程、桥梁工程等。</w:t>
      </w:r>
    </w:p>
    <w:p w14:paraId="0FE2408C">
      <w:pPr>
        <w:numPr>
          <w:ilvl w:val="0"/>
          <w:numId w:val="5"/>
        </w:numPr>
        <w:spacing w:line="360" w:lineRule="auto"/>
        <w:ind w:left="0" w:leftChars="0" w:firstLine="283" w:firstLineChars="0"/>
        <w:jc w:val="left"/>
        <w:outlineLvl w:val="2"/>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bookmarkStart w:id="6" w:name="_Toc13402"/>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立项依据</w:t>
      </w:r>
      <w:bookmarkEnd w:id="6"/>
    </w:p>
    <w:p w14:paraId="03689342">
      <w:pPr>
        <w:numPr>
          <w:ilvl w:val="0"/>
          <w:numId w:val="0"/>
        </w:numPr>
        <w:spacing w:line="360" w:lineRule="auto"/>
        <w:ind w:firstLine="560" w:firstLineChars="200"/>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陕州区王寨路桥工程</w:t>
      </w:r>
    </w:p>
    <w:p w14:paraId="5D31080D">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2020年3月24日，三门峡市陕州区住房和城乡建设局印发关于呈报《陕州区王寨路桥工程可行性研究报告》的请示（三陕住建文【2020】166号）。</w:t>
      </w:r>
    </w:p>
    <w:p w14:paraId="54816072">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2020年3月25日，三门峡市陕州区发展和改革委员会印发关于对《陕州区王寨路桥工程可行性研究报告》的批复（三陕发改【2020】36号），批复了项目名称、建设地点、主要建设内容及规模、项目总投资及资金来源、项目建设周期、项目招标初步方案等内容。项目总投资及资金来源：经估算项目总投资2,380.85万元。资金来源为财政投资。项目建设周期：项目2020年7月开始，计划2021年12月竣工验收，建设周期18个月。</w:t>
      </w:r>
    </w:p>
    <w:p w14:paraId="560948DF">
      <w:pPr>
        <w:numPr>
          <w:ilvl w:val="0"/>
          <w:numId w:val="0"/>
        </w:numPr>
        <w:spacing w:line="360" w:lineRule="auto"/>
        <w:ind w:firstLine="560" w:firstLineChars="200"/>
        <w:jc w:val="center"/>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陕州区金华路道路工程</w:t>
      </w:r>
    </w:p>
    <w:p w14:paraId="15B1ADA7">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2018年9月28日，三门峡市陕州区住房和城乡建设局印发关于呈报《金华路工程可行性研究报告》的请示（三陕住建文【2018】200号）。</w:t>
      </w:r>
    </w:p>
    <w:p w14:paraId="3E6B582A">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2018年11月19日，三门峡市陕州区发展和改革委员会印发关于对《金华路工程可行性研究报告》的批复（三陕发改【2018】97号），</w:t>
      </w:r>
      <w:r>
        <w:rPr>
          <w:rFonts w:hint="eastAsia" w:ascii="宋体" w:hAnsi="宋体" w:eastAsia="宋体" w:cs="宋体"/>
          <w:color w:val="000000" w:themeColor="text1"/>
          <w:kern w:val="44"/>
          <w:sz w:val="28"/>
          <w:szCs w:val="28"/>
          <w:lang w:val="en-US" w:eastAsia="zh-CN"/>
          <w14:textFill>
            <w14:solidFill>
              <w14:schemeClr w14:val="tx1"/>
            </w14:solidFill>
          </w14:textFill>
        </w:rPr>
        <w:t>批复了建设地点、主要建设规模及内容、项目总投资及资金来源、建设年限等内容。资金来源：经估算，项目总投资3,160.87万元(不含前期征地拆迁费)其中，工程费用2,621.99万元，工程建设其他费用304.74万元，预备费234.14万元，本项目拟采用政府投资，资金由区财政筹措。建设年限:2019年3月至2019年12月。</w:t>
      </w:r>
    </w:p>
    <w:p w14:paraId="7BB76F7E">
      <w:pPr>
        <w:numPr>
          <w:ilvl w:val="0"/>
          <w:numId w:val="5"/>
        </w:numPr>
        <w:spacing w:line="360" w:lineRule="auto"/>
        <w:ind w:left="0" w:leftChars="0" w:firstLine="283" w:firstLineChars="0"/>
        <w:jc w:val="left"/>
        <w:outlineLvl w:val="2"/>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bookmarkStart w:id="7" w:name="_Toc17984"/>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项目背景</w:t>
      </w:r>
      <w:bookmarkEnd w:id="7"/>
    </w:p>
    <w:p w14:paraId="1FDE8A87">
      <w:pPr>
        <w:pStyle w:val="9"/>
        <w:ind w:left="0" w:leftChars="0" w:firstLine="560" w:firstLineChars="200"/>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2016年12月19日，中共河南省委河南省人民政府印发《发关于推进百城建设提质工程的意见》（豫发〔2016〕39号），明确提到，县（市）是连接城乡、承上启下、促进城乡互动的纽带，是以城带乡、以工促农、统筹城乡发展的重要节点，是吸纳农村人口就近转移的主要载体。“十二五”期间，全省106个县（市）城镇集聚的新增城镇人口占全省新增城镇人口的74%，成为全省城镇化的主力军，在推进新型城镇化进程中发挥着举足轻重的作用。但是，由于我省人口多，发展起点低，城镇化水平仅为46.85%，低于全国平均水平9.25个百分点，县级城市的基础设施水平如用水普及率、燃气普及率、建成区排水管道密度、绿地率等明显低于全国平均水平，106个县（市）市政公用设施建设固定资产投资不足全省城镇市政公用设施建设固定资产投资的20%；公共服务滞后，产业支撑力较弱，产城融合不紧密，规划建设水平不高，城市管理粗放，城市特色不突出，生态环境较差，综合竞争力不强。实施百城建设提质工程，有利于扩大有效投资，拉动经济增长，形成新的经济增长点；有利于改善人居环境，提升城市形象，提高城市知名度，扩大对外开放；有利于带动产业发展，解决产业区和生活区分离的状况，推动产城融合发展；有利于推进城乡一体，加快农业剩余劳动力就近转移，并为广大农村地区提供便利的公共服务，直接带动和促进农村地区发展。因此，进一步加大县级城市建设力度，提高规划建设管理水平，完善城市功能，改善人居环境，增强综合承载能力和吸纳力，促进县级城市经济社会发展，对建设直居直业现代化城市、实现全面建成小康社会目标、加快城乡一体化发展、构建多极支撑的现代城镇体系和促进新型城镇化具有重要意义。</w:t>
      </w:r>
    </w:p>
    <w:p w14:paraId="52A848BB">
      <w:pPr>
        <w:pStyle w:val="9"/>
        <w:spacing w:line="360" w:lineRule="auto"/>
        <w:ind w:left="0" w:leftChars="0" w:firstLine="560" w:firstLineChars="200"/>
        <w:jc w:val="left"/>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2017年10月27日，三门峡市人民政府办公室印发《三门峡市百城建设提质工程实施方案》（三政办(2017)56号），提到要①加强城市道路交通设施建设：科学合理构建城市发展框架加快推进城市规划区纵横主干道和次千支线建设，形成完善的市政道路交通网络。提升各行政区域间出入口通畅能力和景观水平，实现城市主次千道与各县(市、区)道路互联互通，加快推进城乡一体化建设步伐。②完善公共服务设施建设。加快产业集聚区公共服务平台、学校、医院和专业市场等公共服务设施建设。完善产业集聚区与中心老城区城市主干道、供水供气、污水垃圾及各级类商业市场体系贯联,促进产业区与主城区资源共享、设施配套、功能互补、融合发展。</w:t>
      </w:r>
    </w:p>
    <w:p w14:paraId="11D2B137">
      <w:pPr>
        <w:pStyle w:val="9"/>
        <w:ind w:left="0" w:leftChars="0" w:firstLine="560" w:firstLineChars="200"/>
        <w:jc w:val="left"/>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三门峡市陕州区老城区城区建设相对滞后。①基础设施落后。由于受三门峡市区虹吸效应影响，导致陕州区城区基础设施和市政设施建设水平不高，老城区城市用水、用气普及率低，城区排水管道密度低，绿化覆盖率低。②城市建设规划的科学性、前瞻性、引领性不够，发展理念滞后。主要表现在城市设计水平低，交通通行能力和综合承载能力弱,城市经营和建设融资能力不强等。③缺乏产业支撑。多数城区产业结构不合理，主导产业不突出，产业集中度不高，第二、第三产业对城区发展的拉动作用较弱。陕州区在新型城镇化建设中的作用发挥得不充分，与三门峡主城区的差距更大。</w:t>
      </w:r>
    </w:p>
    <w:p w14:paraId="7AB6524F">
      <w:pPr>
        <w:pStyle w:val="9"/>
        <w:ind w:left="0" w:leftChars="0" w:firstLine="560" w:firstLineChars="200"/>
        <w:jc w:val="left"/>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2019年2月23日,陕州区召开文明城市创建暨百城建设提质工程推进会,深入贯彻省、市会议精神,动员全区上下提高认识、振奋精神、以饱满的热情、决战的状态、扎实的作风,坚决打赢文明城市创建攻坚战。会议印发了陕州区文明城市创建暨百城建设提质工程工作问责办法和陕州区2019年文明城市创建暨百城建设提质工程目标任务。</w:t>
      </w:r>
    </w:p>
    <w:p w14:paraId="4F485BE1">
      <w:pPr>
        <w:pStyle w:val="9"/>
        <w:ind w:left="0" w:leftChars="0" w:firstLine="560" w:firstLineChars="200"/>
        <w:jc w:val="left"/>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2019年陕州区百城建设提质工程计划投资34.2亿元，涉及大健康、军民融合，工业、服务业、农业、社会事业和城镇基础设施建设等多个领城，对推动全年经济平稳增长具有重要的促进作用，也必将为全区加快产业转型升级、提升区域核心竞争力注入新的强劲动力。尤其是永昌路、王寨路、安国路、金华路、吕崖路五条道路和城区雨污分流及截污纳管6个城市基础设施建设项目工程,是陕州区2019年百城建设提质项目中重要内容,是关系民生的基设施重点项目,对进一步完善陕州区城市功能,提升陕州区城市形象,方便周边居民生活有着重要意义。</w:t>
      </w:r>
    </w:p>
    <w:p w14:paraId="3304F73E">
      <w:pPr>
        <w:pStyle w:val="9"/>
        <w:ind w:left="0" w:leftChars="0" w:firstLine="560" w:firstLineChars="200"/>
        <w:jc w:val="left"/>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为完善城市路网，打通城市断头路，按照百城建设提质工程要求和区委、区政府工作部署，依据城市规划，建设单位三门峡市陕州区住房和城乡建设局提出实施陕州区城区水河四桥贯通项目（包含：王寨路、金华路跨金水河桥梁工程项目）。</w:t>
      </w:r>
    </w:p>
    <w:p w14:paraId="3A074BE4">
      <w:pPr>
        <w:numPr>
          <w:ilvl w:val="0"/>
          <w:numId w:val="2"/>
        </w:numPr>
        <w:spacing w:line="360" w:lineRule="auto"/>
        <w:ind w:left="0" w:leftChars="0" w:firstLine="283" w:firstLineChars="0"/>
        <w:jc w:val="left"/>
        <w:outlineLvl w:val="1"/>
        <w:rPr>
          <w:rFonts w:hint="eastAsia" w:ascii="宋体" w:hAnsi="宋体" w:eastAsia="宋体" w:cs="宋体"/>
          <w:color w:val="000000" w:themeColor="text1"/>
          <w:kern w:val="44"/>
          <w:sz w:val="28"/>
          <w:szCs w:val="28"/>
          <w:highlight w:val="none"/>
          <w14:textFill>
            <w14:solidFill>
              <w14:schemeClr w14:val="tx1"/>
            </w14:solidFill>
          </w14:textFill>
        </w:rPr>
      </w:pPr>
      <w:bookmarkStart w:id="8" w:name="_Toc19036"/>
      <w:r>
        <w:rPr>
          <w:rFonts w:hint="eastAsia" w:ascii="宋体" w:hAnsi="宋体" w:eastAsia="宋体" w:cs="宋体"/>
          <w:color w:val="000000" w:themeColor="text1"/>
          <w:kern w:val="44"/>
          <w:sz w:val="28"/>
          <w:szCs w:val="28"/>
          <w:highlight w:val="none"/>
          <w14:textFill>
            <w14:solidFill>
              <w14:schemeClr w14:val="tx1"/>
            </w14:solidFill>
          </w14:textFill>
        </w:rPr>
        <w:t>项目资金情况</w:t>
      </w:r>
      <w:bookmarkEnd w:id="8"/>
    </w:p>
    <w:p w14:paraId="5DD17734">
      <w:pPr>
        <w:pStyle w:val="9"/>
        <w:ind w:left="0" w:leftChars="0" w:firstLine="560" w:firstLineChars="200"/>
        <w:jc w:val="center"/>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陕州区王寨路桥工程</w:t>
      </w:r>
    </w:p>
    <w:p w14:paraId="565A8C41">
      <w:pPr>
        <w:pStyle w:val="9"/>
        <w:ind w:left="0" w:leftChars="0" w:firstLine="560" w:firstLineChars="200"/>
        <w:jc w:val="both"/>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2020年3月25日，三门峡市陕州区发展和改革委员会印发关于对《陕州区王寨路桥工程可行性研究报告》的批复（三陕发改【2020】36号），批复项目总投资及资金来源：经估算，项目总投资2,380.85万元。资金来源为财政投资。</w:t>
      </w:r>
    </w:p>
    <w:p w14:paraId="4F01D3F3">
      <w:pPr>
        <w:pStyle w:val="9"/>
        <w:ind w:left="0" w:leftChars="0" w:firstLine="560" w:firstLineChars="200"/>
        <w:jc w:val="both"/>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截至2025年12月19日</w:t>
      </w: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，陕州区王寨路桥工程</w:t>
      </w:r>
      <w:r>
        <w:rPr>
          <w:rFonts w:hint="eastAsia" w:ascii="宋体" w:hAnsi="宋体" w:eastAsia="宋体" w:cs="宋体"/>
          <w:color w:val="000000" w:themeColor="text1"/>
          <w:kern w:val="44"/>
          <w:sz w:val="28"/>
          <w:szCs w:val="28"/>
          <w:lang w:val="en-US" w:eastAsia="zh-CN"/>
          <w14:textFill>
            <w14:solidFill>
              <w14:schemeClr w14:val="tx1"/>
            </w14:solidFill>
          </w14:textFill>
        </w:rPr>
        <w:t>已经完工、验收、正式通车运营。</w:t>
      </w:r>
    </w:p>
    <w:p w14:paraId="51C4E57C">
      <w:pPr>
        <w:pStyle w:val="9"/>
        <w:ind w:left="0" w:leftChars="0" w:firstLine="560" w:firstLineChars="200"/>
        <w:jc w:val="both"/>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陕州区王寨路桥工程工程款及监理费支付情况如下：</w:t>
      </w:r>
    </w:p>
    <w:tbl>
      <w:tblPr>
        <w:tblStyle w:val="11"/>
        <w:tblW w:w="87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260"/>
        <w:gridCol w:w="1851"/>
        <w:gridCol w:w="1744"/>
        <w:gridCol w:w="1670"/>
        <w:gridCol w:w="1335"/>
      </w:tblGrid>
      <w:tr w14:paraId="5237D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4" w:type="dxa"/>
            <w:gridSpan w:val="6"/>
            <w:vAlign w:val="center"/>
          </w:tcPr>
          <w:p w14:paraId="6F03ED53">
            <w:pPr>
              <w:pStyle w:val="9"/>
              <w:jc w:val="center"/>
              <w:rPr>
                <w:rFonts w:hint="eastAsia" w:ascii="宋体" w:hAnsi="宋体" w:eastAsia="宋体" w:cs="宋体"/>
                <w:color w:val="000000" w:themeColor="text1"/>
                <w:kern w:val="44"/>
                <w:sz w:val="28"/>
                <w:szCs w:val="28"/>
                <w:vertAlign w:val="baseline"/>
                <w:lang w:val="en-US" w:eastAsia="zh-CN"/>
                <w14:textFill>
                  <w14:solidFill>
                    <w14:schemeClr w14:val="tx1"/>
                  </w14:solidFill>
                </w14:textFill>
              </w:rPr>
            </w:pP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陕州区王寨路桥工程工程款及监理费支付情况</w:t>
            </w:r>
          </w:p>
        </w:tc>
      </w:tr>
      <w:tr w14:paraId="0D23D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24A21900">
            <w:pPr>
              <w:pStyle w:val="9"/>
              <w:jc w:val="cente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t>项目</w:t>
            </w:r>
          </w:p>
        </w:tc>
        <w:tc>
          <w:tcPr>
            <w:tcW w:w="1260" w:type="dxa"/>
            <w:vAlign w:val="center"/>
          </w:tcPr>
          <w:p w14:paraId="45471E47">
            <w:pPr>
              <w:pStyle w:val="9"/>
              <w:jc w:val="cente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t>债权人</w:t>
            </w:r>
          </w:p>
        </w:tc>
        <w:tc>
          <w:tcPr>
            <w:tcW w:w="1851" w:type="dxa"/>
            <w:vAlign w:val="center"/>
          </w:tcPr>
          <w:p w14:paraId="301AE7F9">
            <w:pPr>
              <w:pStyle w:val="9"/>
              <w:jc w:val="cente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t>应付金额</w:t>
            </w:r>
          </w:p>
        </w:tc>
        <w:tc>
          <w:tcPr>
            <w:tcW w:w="1744" w:type="dxa"/>
            <w:vAlign w:val="center"/>
          </w:tcPr>
          <w:p w14:paraId="4C8D2989">
            <w:pPr>
              <w:pStyle w:val="9"/>
              <w:jc w:val="cente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t>已付金额</w:t>
            </w:r>
          </w:p>
        </w:tc>
        <w:tc>
          <w:tcPr>
            <w:tcW w:w="1670" w:type="dxa"/>
            <w:vAlign w:val="center"/>
          </w:tcPr>
          <w:p w14:paraId="0962852C">
            <w:pPr>
              <w:pStyle w:val="9"/>
              <w:jc w:val="cente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t>欠付金额</w:t>
            </w:r>
          </w:p>
        </w:tc>
        <w:tc>
          <w:tcPr>
            <w:tcW w:w="1335" w:type="dxa"/>
            <w:vAlign w:val="center"/>
          </w:tcPr>
          <w:p w14:paraId="584D8DF6">
            <w:pPr>
              <w:pStyle w:val="9"/>
              <w:jc w:val="cente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t>支付比例</w:t>
            </w:r>
          </w:p>
        </w:tc>
      </w:tr>
      <w:tr w14:paraId="5E409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46B1A355">
            <w:pPr>
              <w:pStyle w:val="9"/>
              <w:ind w:left="0" w:leftChars="0" w:firstLine="0" w:firstLineChars="0"/>
              <w:jc w:val="cente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t>工程款</w:t>
            </w:r>
          </w:p>
        </w:tc>
        <w:tc>
          <w:tcPr>
            <w:tcW w:w="1260" w:type="dxa"/>
            <w:vAlign w:val="center"/>
          </w:tcPr>
          <w:p w14:paraId="3C908362">
            <w:pPr>
              <w:pStyle w:val="9"/>
              <w:ind w:left="0" w:leftChars="0" w:firstLine="0" w:firstLineChars="0"/>
              <w:jc w:val="cente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t>河南省康达公路建设有限公司</w:t>
            </w:r>
          </w:p>
        </w:tc>
        <w:tc>
          <w:tcPr>
            <w:tcW w:w="1851" w:type="dxa"/>
            <w:vAlign w:val="center"/>
          </w:tcPr>
          <w:p w14:paraId="284171EA">
            <w:pPr>
              <w:pStyle w:val="9"/>
              <w:jc w:val="cente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t>16,437,725.33</w:t>
            </w:r>
          </w:p>
        </w:tc>
        <w:tc>
          <w:tcPr>
            <w:tcW w:w="1744" w:type="dxa"/>
            <w:vAlign w:val="center"/>
          </w:tcPr>
          <w:p w14:paraId="7166A3C3">
            <w:pPr>
              <w:pStyle w:val="9"/>
              <w:jc w:val="cente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t>11,770,000.00</w:t>
            </w:r>
          </w:p>
        </w:tc>
        <w:tc>
          <w:tcPr>
            <w:tcW w:w="1670" w:type="dxa"/>
            <w:vAlign w:val="center"/>
          </w:tcPr>
          <w:p w14:paraId="4780466D">
            <w:pPr>
              <w:pStyle w:val="9"/>
              <w:jc w:val="cente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t>4,667,725.33</w:t>
            </w:r>
          </w:p>
        </w:tc>
        <w:tc>
          <w:tcPr>
            <w:tcW w:w="1335" w:type="dxa"/>
            <w:vAlign w:val="center"/>
          </w:tcPr>
          <w:p w14:paraId="63405FAC">
            <w:pPr>
              <w:pStyle w:val="9"/>
              <w:jc w:val="cente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t>71.60%</w:t>
            </w:r>
          </w:p>
        </w:tc>
      </w:tr>
      <w:tr w14:paraId="7F7CF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156333B3">
            <w:pPr>
              <w:pStyle w:val="9"/>
              <w:ind w:left="0" w:leftChars="0" w:firstLine="0" w:firstLineChars="0"/>
              <w:jc w:val="cente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t>监理费</w:t>
            </w:r>
          </w:p>
        </w:tc>
        <w:tc>
          <w:tcPr>
            <w:tcW w:w="1260" w:type="dxa"/>
            <w:vAlign w:val="center"/>
          </w:tcPr>
          <w:p w14:paraId="1565DB53">
            <w:pPr>
              <w:pStyle w:val="9"/>
              <w:ind w:left="0" w:leftChars="0" w:firstLine="0" w:firstLineChars="0"/>
              <w:jc w:val="cente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t>河南省亿达工程管理咨询有限公司</w:t>
            </w:r>
          </w:p>
        </w:tc>
        <w:tc>
          <w:tcPr>
            <w:tcW w:w="1851" w:type="dxa"/>
            <w:shd w:val="clear" w:color="auto" w:fill="auto"/>
            <w:vAlign w:val="center"/>
          </w:tcPr>
          <w:p w14:paraId="5F069C7B">
            <w:pPr>
              <w:keepNext w:val="0"/>
              <w:keepLines w:val="0"/>
              <w:widowControl/>
              <w:suppressLineNumbers w:val="0"/>
              <w:jc w:val="center"/>
              <w:textAlignment w:val="center"/>
              <w:rPr>
                <w:rFonts w:hint="eastAsia" w:ascii="宋体" w:hAnsi="宋体" w:eastAsia="宋体" w:cs="宋体"/>
                <w:i w:val="0"/>
                <w:iCs w:val="0"/>
                <w:color w:val="000000" w:themeColor="text1"/>
                <w:kern w:val="2"/>
                <w:sz w:val="20"/>
                <w:szCs w:val="20"/>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0"/>
                <w:szCs w:val="20"/>
                <w:u w:val="none"/>
                <w:lang w:val="en-US" w:eastAsia="zh-CN" w:bidi="ar-SA"/>
                <w14:textFill>
                  <w14:solidFill>
                    <w14:schemeClr w14:val="tx1"/>
                  </w14:solidFill>
                </w14:textFill>
              </w:rPr>
              <w:t>226,930.59</w:t>
            </w:r>
          </w:p>
        </w:tc>
        <w:tc>
          <w:tcPr>
            <w:tcW w:w="1744" w:type="dxa"/>
            <w:shd w:val="clear" w:color="auto" w:fill="auto"/>
            <w:vAlign w:val="center"/>
          </w:tcPr>
          <w:p w14:paraId="55980080">
            <w:pPr>
              <w:keepNext w:val="0"/>
              <w:keepLines w:val="0"/>
              <w:widowControl/>
              <w:suppressLineNumbers w:val="0"/>
              <w:jc w:val="center"/>
              <w:textAlignment w:val="center"/>
              <w:rPr>
                <w:rFonts w:hint="eastAsia" w:ascii="宋体" w:hAnsi="宋体" w:eastAsia="宋体" w:cs="宋体"/>
                <w:i w:val="0"/>
                <w:iCs w:val="0"/>
                <w:color w:val="000000" w:themeColor="text1"/>
                <w:kern w:val="2"/>
                <w:sz w:val="20"/>
                <w:szCs w:val="20"/>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0"/>
                <w:szCs w:val="20"/>
                <w:u w:val="none"/>
                <w:lang w:val="en-US" w:eastAsia="zh-CN" w:bidi="ar-SA"/>
                <w14:textFill>
                  <w14:solidFill>
                    <w14:schemeClr w14:val="tx1"/>
                  </w14:solidFill>
                </w14:textFill>
              </w:rPr>
              <w:t>226,931.00</w:t>
            </w:r>
          </w:p>
        </w:tc>
        <w:tc>
          <w:tcPr>
            <w:tcW w:w="1670" w:type="dxa"/>
            <w:vAlign w:val="center"/>
          </w:tcPr>
          <w:p w14:paraId="33C12C7E">
            <w:pPr>
              <w:pStyle w:val="9"/>
              <w:jc w:val="center"/>
              <w:rPr>
                <w:rFonts w:hint="default" w:ascii="宋体" w:hAnsi="宋体" w:eastAsia="宋体" w:cs="宋体"/>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t>-</w:t>
            </w:r>
          </w:p>
        </w:tc>
        <w:tc>
          <w:tcPr>
            <w:tcW w:w="1335" w:type="dxa"/>
            <w:vAlign w:val="center"/>
          </w:tcPr>
          <w:p w14:paraId="001F7553">
            <w:pPr>
              <w:pStyle w:val="9"/>
              <w:jc w:val="cente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t>100.00%</w:t>
            </w:r>
          </w:p>
        </w:tc>
      </w:tr>
      <w:tr w14:paraId="07E94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2154" w:type="dxa"/>
            <w:gridSpan w:val="2"/>
            <w:vAlign w:val="center"/>
          </w:tcPr>
          <w:p w14:paraId="75EFB339">
            <w:pPr>
              <w:pStyle w:val="9"/>
              <w:jc w:val="center"/>
              <w:rPr>
                <w:rFonts w:hint="eastAsia" w:ascii="宋体" w:hAnsi="宋体" w:eastAsia="宋体" w:cs="宋体"/>
                <w:b/>
                <w:bCs/>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b/>
                <w:bCs/>
                <w:color w:val="000000" w:themeColor="text1"/>
                <w:kern w:val="44"/>
                <w:sz w:val="20"/>
                <w:szCs w:val="20"/>
                <w:vertAlign w:val="baseline"/>
                <w:lang w:val="en-US" w:eastAsia="zh-CN"/>
                <w14:textFill>
                  <w14:solidFill>
                    <w14:schemeClr w14:val="tx1"/>
                  </w14:solidFill>
                </w14:textFill>
              </w:rPr>
              <w:t>合计</w:t>
            </w:r>
          </w:p>
        </w:tc>
        <w:tc>
          <w:tcPr>
            <w:tcW w:w="1851" w:type="dxa"/>
            <w:vAlign w:val="center"/>
          </w:tcPr>
          <w:p w14:paraId="75896310">
            <w:pPr>
              <w:pStyle w:val="9"/>
              <w:jc w:val="center"/>
              <w:rPr>
                <w:rFonts w:hint="eastAsia" w:ascii="宋体" w:hAnsi="宋体" w:eastAsia="宋体" w:cs="宋体"/>
                <w:b/>
                <w:bCs/>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b/>
                <w:bCs/>
                <w:color w:val="000000" w:themeColor="text1"/>
                <w:kern w:val="44"/>
                <w:sz w:val="20"/>
                <w:szCs w:val="20"/>
                <w:vertAlign w:val="baseline"/>
                <w:lang w:val="en-US" w:eastAsia="zh-CN"/>
                <w14:textFill>
                  <w14:solidFill>
                    <w14:schemeClr w14:val="tx1"/>
                  </w14:solidFill>
                </w14:textFill>
              </w:rPr>
              <w:t>16,664,655.92</w:t>
            </w:r>
          </w:p>
        </w:tc>
        <w:tc>
          <w:tcPr>
            <w:tcW w:w="1744" w:type="dxa"/>
            <w:vAlign w:val="center"/>
          </w:tcPr>
          <w:p w14:paraId="2DAAE528">
            <w:pPr>
              <w:pStyle w:val="9"/>
              <w:jc w:val="center"/>
              <w:rPr>
                <w:rFonts w:hint="eastAsia" w:ascii="宋体" w:hAnsi="宋体" w:eastAsia="宋体" w:cs="宋体"/>
                <w:b/>
                <w:bCs/>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b/>
                <w:bCs/>
                <w:color w:val="000000" w:themeColor="text1"/>
                <w:kern w:val="44"/>
                <w:sz w:val="20"/>
                <w:szCs w:val="20"/>
                <w:vertAlign w:val="baseline"/>
                <w:lang w:val="en-US" w:eastAsia="zh-CN"/>
                <w14:textFill>
                  <w14:solidFill>
                    <w14:schemeClr w14:val="tx1"/>
                  </w14:solidFill>
                </w14:textFill>
              </w:rPr>
              <w:t>11,996,931.00</w:t>
            </w:r>
          </w:p>
        </w:tc>
        <w:tc>
          <w:tcPr>
            <w:tcW w:w="1670" w:type="dxa"/>
            <w:vAlign w:val="center"/>
          </w:tcPr>
          <w:p w14:paraId="01D1413B">
            <w:pPr>
              <w:pStyle w:val="9"/>
              <w:jc w:val="center"/>
              <w:rPr>
                <w:rFonts w:hint="eastAsia" w:ascii="宋体" w:hAnsi="宋体" w:eastAsia="宋体" w:cs="宋体"/>
                <w:b/>
                <w:bCs/>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b/>
                <w:bCs/>
                <w:color w:val="000000" w:themeColor="text1"/>
                <w:kern w:val="44"/>
                <w:sz w:val="20"/>
                <w:szCs w:val="20"/>
                <w:vertAlign w:val="baseline"/>
                <w:lang w:val="en-US" w:eastAsia="zh-CN"/>
                <w14:textFill>
                  <w14:solidFill>
                    <w14:schemeClr w14:val="tx1"/>
                  </w14:solidFill>
                </w14:textFill>
              </w:rPr>
              <w:t>4,667,725.33</w:t>
            </w:r>
          </w:p>
        </w:tc>
        <w:tc>
          <w:tcPr>
            <w:tcW w:w="1335" w:type="dxa"/>
            <w:vAlign w:val="center"/>
          </w:tcPr>
          <w:p w14:paraId="15AF06E2">
            <w:pPr>
              <w:pStyle w:val="9"/>
              <w:jc w:val="center"/>
              <w:rPr>
                <w:rFonts w:hint="eastAsia" w:ascii="宋体" w:hAnsi="宋体" w:eastAsia="宋体" w:cs="宋体"/>
                <w:b/>
                <w:bCs/>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b/>
                <w:bCs/>
                <w:color w:val="000000" w:themeColor="text1"/>
                <w:kern w:val="44"/>
                <w:sz w:val="20"/>
                <w:szCs w:val="20"/>
                <w:vertAlign w:val="baseline"/>
                <w:lang w:val="en-US" w:eastAsia="zh-CN"/>
                <w14:textFill>
                  <w14:solidFill>
                    <w14:schemeClr w14:val="tx1"/>
                  </w14:solidFill>
                </w14:textFill>
              </w:rPr>
              <w:t>71.99%</w:t>
            </w:r>
          </w:p>
        </w:tc>
      </w:tr>
    </w:tbl>
    <w:p w14:paraId="2B3F2C7B">
      <w:pPr>
        <w:pStyle w:val="9"/>
        <w:ind w:left="0" w:leftChars="0" w:firstLine="560" w:firstLineChars="200"/>
        <w:jc w:val="center"/>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陕州区金华路道路工程</w:t>
      </w:r>
    </w:p>
    <w:p w14:paraId="76733C3B">
      <w:pPr>
        <w:pStyle w:val="9"/>
        <w:ind w:left="0" w:leftChars="0" w:firstLine="560" w:firstLineChars="200"/>
        <w:jc w:val="both"/>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2018年11月19日，三门峡市陕州区发展和改革委员会印发关于对《金华路工程可行性研究报告》的批复（三陕发改【2018】97号），</w:t>
      </w:r>
      <w:r>
        <w:rPr>
          <w:rFonts w:hint="eastAsia" w:ascii="宋体" w:hAnsi="宋体" w:eastAsia="宋体" w:cs="宋体"/>
          <w:color w:val="000000" w:themeColor="text1"/>
          <w:kern w:val="44"/>
          <w:sz w:val="28"/>
          <w:szCs w:val="28"/>
          <w:lang w:val="en-US" w:eastAsia="zh-CN"/>
          <w14:textFill>
            <w14:solidFill>
              <w14:schemeClr w14:val="tx1"/>
            </w14:solidFill>
          </w14:textFill>
        </w:rPr>
        <w:t>批复了项目资金来源：经估算，项目总投资3,160.87万元，本项目拟采用政府投资，资金由区财政筹措。</w:t>
      </w:r>
    </w:p>
    <w:p w14:paraId="3B55CBA4">
      <w:pPr>
        <w:pStyle w:val="9"/>
        <w:ind w:left="0" w:leftChars="0" w:firstLine="560" w:firstLineChars="200"/>
        <w:jc w:val="both"/>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截至2025年12月19日，</w:t>
      </w:r>
      <w:r>
        <w:rPr>
          <w:rFonts w:hint="eastAsia" w:ascii="宋体" w:hAnsi="宋体" w:eastAsia="宋体" w:cs="宋体"/>
          <w:color w:val="000000" w:themeColor="text1"/>
          <w:sz w:val="28"/>
          <w:szCs w:val="28"/>
          <w:highlight w:val="none"/>
          <w:lang w:val="en-US" w:eastAsia="zh-CN"/>
          <w14:textFill>
            <w14:solidFill>
              <w14:schemeClr w14:val="tx1"/>
            </w14:solidFill>
          </w14:textFill>
        </w:rPr>
        <w:t>陕州区金华路道路工程</w:t>
      </w:r>
      <w:r>
        <w:rPr>
          <w:rFonts w:hint="eastAsia" w:ascii="宋体" w:hAnsi="宋体" w:eastAsia="宋体" w:cs="宋体"/>
          <w:color w:val="000000" w:themeColor="text1"/>
          <w:kern w:val="44"/>
          <w:sz w:val="28"/>
          <w:szCs w:val="28"/>
          <w:lang w:val="en-US" w:eastAsia="zh-CN"/>
          <w14:textFill>
            <w14:solidFill>
              <w14:schemeClr w14:val="tx1"/>
            </w14:solidFill>
          </w14:textFill>
        </w:rPr>
        <w:t>桥梁已经完工、</w:t>
      </w:r>
    </w:p>
    <w:p w14:paraId="7C267A4B">
      <w:pPr>
        <w:pStyle w:val="9"/>
        <w:ind w:left="0" w:leftChars="0" w:firstLine="0" w:firstLineChars="0"/>
        <w:jc w:val="both"/>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验收，但是桥梁两端的道路未施工，导致桥梁无法运营。</w:t>
      </w:r>
    </w:p>
    <w:p w14:paraId="47DDA724">
      <w:pPr>
        <w:pStyle w:val="9"/>
        <w:ind w:left="0" w:leftChars="0" w:firstLine="560" w:firstLineChars="200"/>
        <w:jc w:val="both"/>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陕州区金华路道路工程</w:t>
      </w:r>
      <w:r>
        <w:rPr>
          <w:rFonts w:hint="eastAsia" w:ascii="宋体" w:hAnsi="宋体" w:eastAsia="宋体" w:cs="宋体"/>
          <w:color w:val="000000" w:themeColor="text1"/>
          <w:kern w:val="44"/>
          <w:sz w:val="28"/>
          <w:szCs w:val="28"/>
          <w:lang w:val="en-US" w:eastAsia="zh-CN"/>
          <w14:textFill>
            <w14:solidFill>
              <w14:schemeClr w14:val="tx1"/>
            </w14:solidFill>
          </w14:textFill>
        </w:rPr>
        <w:t>工程款及监理费支付情况如下：</w:t>
      </w:r>
    </w:p>
    <w:tbl>
      <w:tblPr>
        <w:tblStyle w:val="11"/>
        <w:tblW w:w="8985" w:type="dxa"/>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635"/>
        <w:gridCol w:w="1800"/>
        <w:gridCol w:w="1770"/>
        <w:gridCol w:w="1740"/>
        <w:gridCol w:w="1185"/>
      </w:tblGrid>
      <w:tr w14:paraId="6FBCD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5" w:type="dxa"/>
            <w:gridSpan w:val="6"/>
            <w:vAlign w:val="center"/>
          </w:tcPr>
          <w:p w14:paraId="33868CF4">
            <w:pPr>
              <w:pStyle w:val="9"/>
              <w:jc w:val="center"/>
              <w:rPr>
                <w:rFonts w:hint="eastAsia" w:ascii="宋体" w:hAnsi="宋体" w:eastAsia="宋体" w:cs="宋体"/>
                <w:color w:val="000000" w:themeColor="text1"/>
                <w:kern w:val="44"/>
                <w:sz w:val="28"/>
                <w:szCs w:val="28"/>
                <w:vertAlign w:val="baseline"/>
                <w:lang w:val="en-US" w:eastAsia="zh-CN"/>
                <w14:textFill>
                  <w14:solidFill>
                    <w14:schemeClr w14:val="tx1"/>
                  </w14:solidFill>
                </w14:textFill>
              </w:rPr>
            </w:pP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陕州区金华路道路工程工程款及监理费支付情况</w:t>
            </w:r>
          </w:p>
        </w:tc>
      </w:tr>
      <w:tr w14:paraId="5C601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dxa"/>
            <w:vAlign w:val="center"/>
          </w:tcPr>
          <w:p w14:paraId="1F121520">
            <w:pPr>
              <w:pStyle w:val="9"/>
              <w:jc w:val="cente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t>项目</w:t>
            </w:r>
          </w:p>
        </w:tc>
        <w:tc>
          <w:tcPr>
            <w:tcW w:w="1635" w:type="dxa"/>
            <w:vAlign w:val="center"/>
          </w:tcPr>
          <w:p w14:paraId="6C7B36C0">
            <w:pPr>
              <w:pStyle w:val="9"/>
              <w:jc w:val="cente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t>债权人</w:t>
            </w:r>
          </w:p>
        </w:tc>
        <w:tc>
          <w:tcPr>
            <w:tcW w:w="1800" w:type="dxa"/>
            <w:vAlign w:val="center"/>
          </w:tcPr>
          <w:p w14:paraId="569E3DA6">
            <w:pPr>
              <w:pStyle w:val="9"/>
              <w:jc w:val="cente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t>应付金额</w:t>
            </w:r>
          </w:p>
        </w:tc>
        <w:tc>
          <w:tcPr>
            <w:tcW w:w="1770" w:type="dxa"/>
            <w:vAlign w:val="center"/>
          </w:tcPr>
          <w:p w14:paraId="1170ED29">
            <w:pPr>
              <w:pStyle w:val="9"/>
              <w:jc w:val="cente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t>已付金额</w:t>
            </w:r>
          </w:p>
        </w:tc>
        <w:tc>
          <w:tcPr>
            <w:tcW w:w="1740" w:type="dxa"/>
            <w:vAlign w:val="center"/>
          </w:tcPr>
          <w:p w14:paraId="7EB7DC81">
            <w:pPr>
              <w:pStyle w:val="9"/>
              <w:jc w:val="cente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t>欠付金额</w:t>
            </w:r>
          </w:p>
        </w:tc>
        <w:tc>
          <w:tcPr>
            <w:tcW w:w="1185" w:type="dxa"/>
            <w:vAlign w:val="center"/>
          </w:tcPr>
          <w:p w14:paraId="5476C0C7">
            <w:pPr>
              <w:pStyle w:val="9"/>
              <w:ind w:left="0" w:leftChars="0" w:firstLine="0" w:firstLineChars="0"/>
              <w:jc w:val="both"/>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t>支付比例</w:t>
            </w:r>
          </w:p>
        </w:tc>
      </w:tr>
      <w:tr w14:paraId="1ED11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dxa"/>
            <w:vAlign w:val="center"/>
          </w:tcPr>
          <w:p w14:paraId="160267CF">
            <w:pPr>
              <w:pStyle w:val="9"/>
              <w:ind w:left="0" w:leftChars="0" w:firstLine="0" w:firstLineChars="0"/>
              <w:jc w:val="cente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t>工程款</w:t>
            </w:r>
          </w:p>
        </w:tc>
        <w:tc>
          <w:tcPr>
            <w:tcW w:w="1635" w:type="dxa"/>
            <w:vAlign w:val="center"/>
          </w:tcPr>
          <w:p w14:paraId="45349199">
            <w:pPr>
              <w:pStyle w:val="9"/>
              <w:ind w:left="0" w:leftChars="0" w:firstLine="0" w:firstLineChars="0"/>
              <w:jc w:val="cente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t>河南省康达公路建设有限公司</w:t>
            </w:r>
          </w:p>
        </w:tc>
        <w:tc>
          <w:tcPr>
            <w:tcW w:w="1800" w:type="dxa"/>
            <w:vAlign w:val="center"/>
          </w:tcPr>
          <w:p w14:paraId="5D8A2E2D">
            <w:pPr>
              <w:pStyle w:val="9"/>
              <w:jc w:val="cente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t>17,476,058.42</w:t>
            </w:r>
          </w:p>
        </w:tc>
        <w:tc>
          <w:tcPr>
            <w:tcW w:w="1770" w:type="dxa"/>
            <w:vAlign w:val="center"/>
          </w:tcPr>
          <w:p w14:paraId="6A81F3E5">
            <w:pPr>
              <w:pStyle w:val="9"/>
              <w:jc w:val="cente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t>12,270,000.00</w:t>
            </w:r>
          </w:p>
        </w:tc>
        <w:tc>
          <w:tcPr>
            <w:tcW w:w="1740" w:type="dxa"/>
            <w:vAlign w:val="center"/>
          </w:tcPr>
          <w:p w14:paraId="185B4425">
            <w:pPr>
              <w:pStyle w:val="9"/>
              <w:jc w:val="cente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t>5,206,058.42</w:t>
            </w:r>
          </w:p>
        </w:tc>
        <w:tc>
          <w:tcPr>
            <w:tcW w:w="1185" w:type="dxa"/>
            <w:vAlign w:val="center"/>
          </w:tcPr>
          <w:p w14:paraId="6B9B74F7">
            <w:pPr>
              <w:pStyle w:val="9"/>
              <w:jc w:val="cente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t>70.21%</w:t>
            </w:r>
          </w:p>
        </w:tc>
      </w:tr>
      <w:tr w14:paraId="57FFD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dxa"/>
            <w:vAlign w:val="center"/>
          </w:tcPr>
          <w:p w14:paraId="36502557">
            <w:pPr>
              <w:pStyle w:val="9"/>
              <w:ind w:left="0" w:leftChars="0" w:firstLine="0" w:firstLineChars="0"/>
              <w:jc w:val="cente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t>监理费</w:t>
            </w:r>
          </w:p>
        </w:tc>
        <w:tc>
          <w:tcPr>
            <w:tcW w:w="1635" w:type="dxa"/>
            <w:vAlign w:val="center"/>
          </w:tcPr>
          <w:p w14:paraId="3EFB5310">
            <w:pPr>
              <w:pStyle w:val="9"/>
              <w:ind w:left="0" w:leftChars="0" w:firstLine="0" w:firstLineChars="0"/>
              <w:jc w:val="cente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t>新正源项目咨询有限公司</w:t>
            </w:r>
          </w:p>
        </w:tc>
        <w:tc>
          <w:tcPr>
            <w:tcW w:w="1800" w:type="dxa"/>
            <w:shd w:val="clear" w:color="auto" w:fill="auto"/>
            <w:vAlign w:val="center"/>
          </w:tcPr>
          <w:p w14:paraId="24EE0760">
            <w:pPr>
              <w:keepNext w:val="0"/>
              <w:keepLines w:val="0"/>
              <w:widowControl/>
              <w:suppressLineNumbers w:val="0"/>
              <w:jc w:val="center"/>
              <w:textAlignment w:val="center"/>
              <w:rPr>
                <w:rFonts w:hint="eastAsia" w:ascii="宋体" w:hAnsi="宋体" w:eastAsia="宋体" w:cs="宋体"/>
                <w:i w:val="0"/>
                <w:iCs w:val="0"/>
                <w:color w:val="000000" w:themeColor="text1"/>
                <w:kern w:val="2"/>
                <w:sz w:val="20"/>
                <w:szCs w:val="20"/>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0"/>
                <w:szCs w:val="20"/>
                <w:u w:val="none"/>
                <w:lang w:val="en-US" w:eastAsia="zh-CN" w:bidi="ar-SA"/>
                <w14:textFill>
                  <w14:solidFill>
                    <w14:schemeClr w14:val="tx1"/>
                  </w14:solidFill>
                </w14:textFill>
              </w:rPr>
              <w:t>252,321.00</w:t>
            </w:r>
          </w:p>
        </w:tc>
        <w:tc>
          <w:tcPr>
            <w:tcW w:w="1770" w:type="dxa"/>
            <w:shd w:val="clear" w:color="auto" w:fill="auto"/>
            <w:vAlign w:val="center"/>
          </w:tcPr>
          <w:p w14:paraId="4F85F3B5">
            <w:pPr>
              <w:keepNext w:val="0"/>
              <w:keepLines w:val="0"/>
              <w:widowControl/>
              <w:suppressLineNumbers w:val="0"/>
              <w:jc w:val="center"/>
              <w:textAlignment w:val="center"/>
              <w:rPr>
                <w:rFonts w:hint="eastAsia" w:ascii="宋体" w:hAnsi="宋体" w:eastAsia="宋体" w:cs="宋体"/>
                <w:i w:val="0"/>
                <w:iCs w:val="0"/>
                <w:color w:val="000000" w:themeColor="text1"/>
                <w:kern w:val="2"/>
                <w:sz w:val="20"/>
                <w:szCs w:val="20"/>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0"/>
                <w:szCs w:val="20"/>
                <w:u w:val="none"/>
                <w:lang w:val="en-US" w:eastAsia="zh-CN" w:bidi="ar-SA"/>
                <w14:textFill>
                  <w14:solidFill>
                    <w14:schemeClr w14:val="tx1"/>
                  </w14:solidFill>
                </w14:textFill>
              </w:rPr>
              <w:t>252,321.00</w:t>
            </w:r>
          </w:p>
        </w:tc>
        <w:tc>
          <w:tcPr>
            <w:tcW w:w="1740" w:type="dxa"/>
            <w:vAlign w:val="center"/>
          </w:tcPr>
          <w:p w14:paraId="3AF96130">
            <w:pPr>
              <w:pStyle w:val="9"/>
              <w:jc w:val="center"/>
              <w:rPr>
                <w:rFonts w:hint="default" w:ascii="宋体" w:hAnsi="宋体" w:eastAsia="宋体" w:cs="宋体"/>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t>-</w:t>
            </w:r>
          </w:p>
        </w:tc>
        <w:tc>
          <w:tcPr>
            <w:tcW w:w="1185" w:type="dxa"/>
            <w:vAlign w:val="center"/>
          </w:tcPr>
          <w:p w14:paraId="0F02D084">
            <w:pPr>
              <w:pStyle w:val="9"/>
              <w:jc w:val="cente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color w:val="000000" w:themeColor="text1"/>
                <w:kern w:val="44"/>
                <w:sz w:val="20"/>
                <w:szCs w:val="20"/>
                <w:vertAlign w:val="baseline"/>
                <w:lang w:val="en-US" w:eastAsia="zh-CN"/>
                <w14:textFill>
                  <w14:solidFill>
                    <w14:schemeClr w14:val="tx1"/>
                  </w14:solidFill>
                </w14:textFill>
              </w:rPr>
              <w:t>100.00%</w:t>
            </w:r>
          </w:p>
        </w:tc>
      </w:tr>
      <w:tr w14:paraId="001FD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2490" w:type="dxa"/>
            <w:gridSpan w:val="2"/>
            <w:vAlign w:val="center"/>
          </w:tcPr>
          <w:p w14:paraId="28707079">
            <w:pPr>
              <w:pStyle w:val="9"/>
              <w:jc w:val="center"/>
              <w:rPr>
                <w:rFonts w:hint="eastAsia" w:ascii="宋体" w:hAnsi="宋体" w:eastAsia="宋体" w:cs="宋体"/>
                <w:b/>
                <w:bCs/>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b/>
                <w:bCs/>
                <w:color w:val="000000" w:themeColor="text1"/>
                <w:kern w:val="44"/>
                <w:sz w:val="20"/>
                <w:szCs w:val="20"/>
                <w:vertAlign w:val="baseline"/>
                <w:lang w:val="en-US" w:eastAsia="zh-CN"/>
                <w14:textFill>
                  <w14:solidFill>
                    <w14:schemeClr w14:val="tx1"/>
                  </w14:solidFill>
                </w14:textFill>
              </w:rPr>
              <w:t>合计</w:t>
            </w:r>
          </w:p>
        </w:tc>
        <w:tc>
          <w:tcPr>
            <w:tcW w:w="1800" w:type="dxa"/>
            <w:vAlign w:val="center"/>
          </w:tcPr>
          <w:p w14:paraId="7FF04973">
            <w:pPr>
              <w:pStyle w:val="9"/>
              <w:jc w:val="center"/>
              <w:rPr>
                <w:rFonts w:hint="eastAsia" w:ascii="宋体" w:hAnsi="宋体" w:eastAsia="宋体" w:cs="宋体"/>
                <w:b/>
                <w:bCs/>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b/>
                <w:bCs/>
                <w:color w:val="000000" w:themeColor="text1"/>
                <w:kern w:val="44"/>
                <w:sz w:val="20"/>
                <w:szCs w:val="20"/>
                <w:vertAlign w:val="baseline"/>
                <w:lang w:val="en-US" w:eastAsia="zh-CN"/>
                <w14:textFill>
                  <w14:solidFill>
                    <w14:schemeClr w14:val="tx1"/>
                  </w14:solidFill>
                </w14:textFill>
              </w:rPr>
              <w:t>17,728,379.42</w:t>
            </w:r>
          </w:p>
        </w:tc>
        <w:tc>
          <w:tcPr>
            <w:tcW w:w="1770" w:type="dxa"/>
            <w:vAlign w:val="center"/>
          </w:tcPr>
          <w:p w14:paraId="058556B7">
            <w:pPr>
              <w:pStyle w:val="9"/>
              <w:jc w:val="center"/>
              <w:rPr>
                <w:rFonts w:hint="eastAsia" w:ascii="宋体" w:hAnsi="宋体" w:eastAsia="宋体" w:cs="宋体"/>
                <w:b/>
                <w:bCs/>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b/>
                <w:bCs/>
                <w:color w:val="000000" w:themeColor="text1"/>
                <w:kern w:val="44"/>
                <w:sz w:val="20"/>
                <w:szCs w:val="20"/>
                <w:vertAlign w:val="baseline"/>
                <w:lang w:val="en-US" w:eastAsia="zh-CN"/>
                <w14:textFill>
                  <w14:solidFill>
                    <w14:schemeClr w14:val="tx1"/>
                  </w14:solidFill>
                </w14:textFill>
              </w:rPr>
              <w:t>12,522,321.00</w:t>
            </w:r>
          </w:p>
        </w:tc>
        <w:tc>
          <w:tcPr>
            <w:tcW w:w="1740" w:type="dxa"/>
            <w:vAlign w:val="center"/>
          </w:tcPr>
          <w:p w14:paraId="5C2E4A90">
            <w:pPr>
              <w:pStyle w:val="9"/>
              <w:jc w:val="center"/>
              <w:rPr>
                <w:rFonts w:hint="eastAsia" w:ascii="宋体" w:hAnsi="宋体" w:eastAsia="宋体" w:cs="宋体"/>
                <w:b/>
                <w:bCs/>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b/>
                <w:bCs/>
                <w:color w:val="000000" w:themeColor="text1"/>
                <w:kern w:val="44"/>
                <w:sz w:val="20"/>
                <w:szCs w:val="20"/>
                <w:vertAlign w:val="baseline"/>
                <w:lang w:val="en-US" w:eastAsia="zh-CN"/>
                <w14:textFill>
                  <w14:solidFill>
                    <w14:schemeClr w14:val="tx1"/>
                  </w14:solidFill>
                </w14:textFill>
              </w:rPr>
              <w:t>5,206,058.42</w:t>
            </w:r>
          </w:p>
        </w:tc>
        <w:tc>
          <w:tcPr>
            <w:tcW w:w="1185" w:type="dxa"/>
            <w:vAlign w:val="center"/>
          </w:tcPr>
          <w:p w14:paraId="0EC64543">
            <w:pPr>
              <w:pStyle w:val="9"/>
              <w:jc w:val="center"/>
              <w:rPr>
                <w:rFonts w:hint="eastAsia" w:ascii="宋体" w:hAnsi="宋体" w:eastAsia="宋体" w:cs="宋体"/>
                <w:b/>
                <w:bCs/>
                <w:color w:val="000000" w:themeColor="text1"/>
                <w:kern w:val="44"/>
                <w:sz w:val="20"/>
                <w:szCs w:val="20"/>
                <w:vertAlign w:val="baseline"/>
                <w:lang w:val="en-US" w:eastAsia="zh-CN"/>
                <w14:textFill>
                  <w14:solidFill>
                    <w14:schemeClr w14:val="tx1"/>
                  </w14:solidFill>
                </w14:textFill>
              </w:rPr>
            </w:pPr>
            <w:r>
              <w:rPr>
                <w:rFonts w:hint="eastAsia" w:ascii="宋体" w:hAnsi="宋体" w:eastAsia="宋体" w:cs="宋体"/>
                <w:b/>
                <w:bCs/>
                <w:color w:val="000000" w:themeColor="text1"/>
                <w:kern w:val="44"/>
                <w:sz w:val="20"/>
                <w:szCs w:val="20"/>
                <w:vertAlign w:val="baseline"/>
                <w:lang w:val="en-US" w:eastAsia="zh-CN"/>
                <w14:textFill>
                  <w14:solidFill>
                    <w14:schemeClr w14:val="tx1"/>
                  </w14:solidFill>
                </w14:textFill>
              </w:rPr>
              <w:t>70.63%</w:t>
            </w:r>
          </w:p>
        </w:tc>
      </w:tr>
    </w:tbl>
    <w:p w14:paraId="6BF2E325">
      <w:pPr>
        <w:numPr>
          <w:ilvl w:val="0"/>
          <w:numId w:val="2"/>
        </w:numPr>
        <w:spacing w:line="360" w:lineRule="auto"/>
        <w:ind w:left="0" w:leftChars="0" w:firstLine="283" w:firstLineChars="0"/>
        <w:jc w:val="left"/>
        <w:outlineLvl w:val="1"/>
        <w:rPr>
          <w:rFonts w:hint="eastAsia" w:ascii="宋体" w:hAnsi="宋体" w:eastAsia="宋体" w:cs="宋体"/>
          <w:color w:val="000000" w:themeColor="text1"/>
          <w:kern w:val="44"/>
          <w:sz w:val="28"/>
          <w:szCs w:val="28"/>
          <w:highlight w:val="none"/>
          <w14:textFill>
            <w14:solidFill>
              <w14:schemeClr w14:val="tx1"/>
            </w14:solidFill>
          </w14:textFill>
        </w:rPr>
      </w:pPr>
      <w:bookmarkStart w:id="9" w:name="_Toc23249"/>
      <w:r>
        <w:rPr>
          <w:rFonts w:hint="eastAsia" w:ascii="宋体" w:hAnsi="宋体" w:eastAsia="宋体" w:cs="宋体"/>
          <w:color w:val="000000" w:themeColor="text1"/>
          <w:kern w:val="44"/>
          <w:sz w:val="28"/>
          <w:szCs w:val="28"/>
          <w:highlight w:val="none"/>
          <w14:textFill>
            <w14:solidFill>
              <w14:schemeClr w14:val="tx1"/>
            </w14:solidFill>
          </w14:textFill>
        </w:rPr>
        <w:t>绩效目标</w:t>
      </w:r>
      <w:bookmarkEnd w:id="9"/>
    </w:p>
    <w:p w14:paraId="01852949">
      <w:pPr>
        <w:numPr>
          <w:ilvl w:val="0"/>
          <w:numId w:val="0"/>
        </w:numPr>
        <w:spacing w:line="360" w:lineRule="auto"/>
        <w:jc w:val="center"/>
        <w:outlineLvl w:val="9"/>
        <w:rPr>
          <w:rFonts w:hint="default" w:ascii="宋体" w:hAnsi="宋体" w:eastAsia="宋体" w:cs="宋体"/>
          <w:color w:val="000000" w:themeColor="text1"/>
          <w:kern w:val="44"/>
          <w:sz w:val="28"/>
          <w:szCs w:val="28"/>
          <w:highlight w:val="none"/>
          <w:lang w:val="en-US" w:eastAsia="zh-CN"/>
          <w14:textFill>
            <w14:solidFill>
              <w14:schemeClr w14:val="tx1"/>
            </w14:solidFill>
          </w14:textFill>
        </w:rPr>
      </w:pPr>
      <w:r>
        <w:rPr>
          <w:rFonts w:hint="default" w:ascii="宋体" w:hAnsi="宋体" w:eastAsia="宋体" w:cs="宋体"/>
          <w:color w:val="000000" w:themeColor="text1"/>
          <w:kern w:val="44"/>
          <w:sz w:val="28"/>
          <w:szCs w:val="28"/>
          <w:highlight w:val="none"/>
          <w:lang w:val="en-US" w:eastAsia="zh-CN"/>
          <w14:textFill>
            <w14:solidFill>
              <w14:schemeClr w14:val="tx1"/>
            </w14:solidFill>
          </w14:textFill>
        </w:rPr>
        <w:t>陕州区王寨路桥工程</w:t>
      </w:r>
    </w:p>
    <w:p w14:paraId="607D6AEA">
      <w:pPr>
        <w:numPr>
          <w:ilvl w:val="0"/>
          <w:numId w:val="0"/>
        </w:numPr>
        <w:spacing w:line="360" w:lineRule="auto"/>
        <w:jc w:val="both"/>
        <w:outlineLvl w:val="9"/>
        <w:rPr>
          <w:rFonts w:hint="default" w:ascii="宋体" w:hAnsi="宋体" w:eastAsia="宋体" w:cs="宋体"/>
          <w:color w:val="000000" w:themeColor="text1"/>
          <w:kern w:val="44"/>
          <w:sz w:val="28"/>
          <w:szCs w:val="28"/>
          <w:highlight w:val="none"/>
          <w:lang w:val="en-US" w:eastAsia="zh-CN"/>
          <w14:textFill>
            <w14:solidFill>
              <w14:schemeClr w14:val="tx1"/>
            </w14:solidFill>
          </w14:textFill>
        </w:rPr>
      </w:pPr>
      <w:r>
        <w:rPr>
          <w:rFonts w:hint="default" w:ascii="宋体" w:hAnsi="宋体" w:eastAsia="宋体" w:cs="宋体"/>
          <w:color w:val="000000" w:themeColor="text1"/>
          <w:kern w:val="44"/>
          <w:sz w:val="28"/>
          <w:szCs w:val="28"/>
          <w:highlight w:val="none"/>
          <w:lang w:val="en-US" w:eastAsia="zh-CN"/>
          <w14:textFill>
            <w14:solidFill>
              <w14:schemeClr w14:val="tx1"/>
            </w14:solidFill>
          </w14:textFill>
        </w:rPr>
        <w:drawing>
          <wp:inline distT="0" distB="0" distL="114300" distR="114300">
            <wp:extent cx="5314950" cy="7884160"/>
            <wp:effectExtent l="0" t="0" r="0" b="2540"/>
            <wp:docPr id="34" name="图片 34" descr="f92d11cf94780238321272ddca29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f92d11cf94780238321272ddca291394"/>
                    <pic:cNvPicPr>
                      <a:picLocks noChangeAspect="1"/>
                    </pic:cNvPicPr>
                  </pic:nvPicPr>
                  <pic:blipFill>
                    <a:blip r:embed="rId5"/>
                    <a:stretch>
                      <a:fillRect/>
                    </a:stretch>
                  </pic:blipFill>
                  <pic:spPr>
                    <a:xfrm>
                      <a:off x="0" y="0"/>
                      <a:ext cx="5314950" cy="7884160"/>
                    </a:xfrm>
                    <a:prstGeom prst="rect">
                      <a:avLst/>
                    </a:prstGeom>
                  </pic:spPr>
                </pic:pic>
              </a:graphicData>
            </a:graphic>
          </wp:inline>
        </w:drawing>
      </w:r>
    </w:p>
    <w:p w14:paraId="541C01E9">
      <w:pPr>
        <w:ind w:firstLine="560" w:firstLineChars="200"/>
        <w:jc w:val="center"/>
        <w:rPr>
          <w:rFonts w:hint="default" w:asciiTheme="minorEastAsia" w:hAnsiTheme="minorEastAsia" w:eastAsiaTheme="minorEastAsia" w:cstheme="minorEastAsia"/>
          <w:sz w:val="28"/>
          <w:szCs w:val="28"/>
          <w:highlight w:val="none"/>
          <w:lang w:val="en-US" w:eastAsia="zh-CN"/>
        </w:rPr>
      </w:pPr>
    </w:p>
    <w:p w14:paraId="01ECBDC7">
      <w:pPr>
        <w:ind w:firstLine="560" w:firstLineChars="200"/>
        <w:jc w:val="center"/>
        <w:rPr>
          <w:rFonts w:hint="default" w:asciiTheme="minorEastAsia" w:hAnsiTheme="minorEastAsia" w:eastAsiaTheme="minorEastAsia" w:cstheme="minorEastAsia"/>
          <w:sz w:val="28"/>
          <w:szCs w:val="28"/>
          <w:highlight w:val="none"/>
          <w:lang w:val="en-US" w:eastAsia="zh-CN"/>
        </w:rPr>
      </w:pPr>
      <w:r>
        <w:rPr>
          <w:rFonts w:hint="default" w:asciiTheme="minorEastAsia" w:hAnsiTheme="minorEastAsia" w:eastAsiaTheme="minorEastAsia" w:cstheme="minorEastAsia"/>
          <w:sz w:val="28"/>
          <w:szCs w:val="28"/>
          <w:highlight w:val="none"/>
          <w:lang w:val="en-US" w:eastAsia="zh-CN"/>
        </w:rPr>
        <w:t>陕州区金华路道路工程</w:t>
      </w:r>
    </w:p>
    <w:p w14:paraId="55E10D3E">
      <w:pPr>
        <w:jc w:val="both"/>
        <w:outlineLvl w:val="9"/>
        <w:rPr>
          <w:rFonts w:hint="default" w:asciiTheme="minorEastAsia" w:hAnsiTheme="minorEastAsia" w:eastAsiaTheme="minorEastAsia" w:cstheme="minorEastAsia"/>
          <w:sz w:val="28"/>
          <w:szCs w:val="28"/>
          <w:highlight w:val="none"/>
          <w:lang w:val="en-US" w:eastAsia="zh-CN"/>
        </w:rPr>
      </w:pPr>
      <w:r>
        <w:rPr>
          <w:rFonts w:hint="default" w:asciiTheme="minorEastAsia" w:hAnsiTheme="minorEastAsia" w:eastAsiaTheme="minorEastAsia" w:cstheme="minorEastAsia"/>
          <w:sz w:val="28"/>
          <w:szCs w:val="28"/>
          <w:highlight w:val="none"/>
          <w:lang w:val="en-US" w:eastAsia="zh-CN"/>
        </w:rPr>
        <w:drawing>
          <wp:inline distT="0" distB="0" distL="114300" distR="114300">
            <wp:extent cx="5228590" cy="8180070"/>
            <wp:effectExtent l="0" t="0" r="10160" b="11430"/>
            <wp:docPr id="41" name="图片 41" descr="51a30e3b-a9ab-4d55-9151-0de00cafbb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51a30e3b-a9ab-4d55-9151-0de00cafbb6d"/>
                    <pic:cNvPicPr>
                      <a:picLocks noChangeAspect="1"/>
                    </pic:cNvPicPr>
                  </pic:nvPicPr>
                  <pic:blipFill>
                    <a:blip r:embed="rId6"/>
                    <a:stretch>
                      <a:fillRect/>
                    </a:stretch>
                  </pic:blipFill>
                  <pic:spPr>
                    <a:xfrm>
                      <a:off x="0" y="0"/>
                      <a:ext cx="5228590" cy="8180070"/>
                    </a:xfrm>
                    <a:prstGeom prst="rect">
                      <a:avLst/>
                    </a:prstGeom>
                  </pic:spPr>
                </pic:pic>
              </a:graphicData>
            </a:graphic>
          </wp:inline>
        </w:drawing>
      </w:r>
    </w:p>
    <w:p w14:paraId="50C191E6">
      <w:pPr>
        <w:numPr>
          <w:ilvl w:val="0"/>
          <w:numId w:val="1"/>
        </w:numPr>
        <w:spacing w:line="360" w:lineRule="auto"/>
        <w:ind w:left="0" w:leftChars="0" w:firstLine="283" w:firstLineChars="0"/>
        <w:jc w:val="left"/>
        <w:outlineLvl w:val="0"/>
        <w:rPr>
          <w:rFonts w:hint="eastAsia" w:ascii="宋体" w:hAnsi="宋体" w:eastAsia="宋体" w:cs="宋体"/>
          <w:b/>
          <w:bCs/>
          <w:snapToGrid w:val="0"/>
          <w:color w:val="000000" w:themeColor="text1"/>
          <w:kern w:val="0"/>
          <w:sz w:val="28"/>
          <w:szCs w:val="28"/>
          <w14:textFill>
            <w14:solidFill>
              <w14:schemeClr w14:val="tx1"/>
            </w14:solidFill>
          </w14:textFill>
        </w:rPr>
      </w:pPr>
      <w:bookmarkStart w:id="10" w:name="_Toc13444"/>
      <w:r>
        <w:rPr>
          <w:rFonts w:hint="eastAsia" w:ascii="宋体" w:hAnsi="宋体" w:eastAsia="宋体" w:cs="宋体"/>
          <w:b/>
          <w:bCs/>
          <w:snapToGrid w:val="0"/>
          <w:color w:val="000000" w:themeColor="text1"/>
          <w:kern w:val="0"/>
          <w:sz w:val="28"/>
          <w:szCs w:val="28"/>
          <w14:textFill>
            <w14:solidFill>
              <w14:schemeClr w14:val="tx1"/>
            </w14:solidFill>
          </w14:textFill>
        </w:rPr>
        <w:t>评价工作简述</w:t>
      </w:r>
      <w:bookmarkEnd w:id="10"/>
    </w:p>
    <w:p w14:paraId="1B66F264">
      <w:pPr>
        <w:numPr>
          <w:ilvl w:val="0"/>
          <w:numId w:val="6"/>
        </w:numPr>
        <w:spacing w:line="360" w:lineRule="auto"/>
        <w:ind w:left="0" w:leftChars="0" w:firstLine="420" w:firstLineChars="0"/>
        <w:jc w:val="left"/>
        <w:outlineLvl w:val="1"/>
        <w:rPr>
          <w:rFonts w:hint="eastAsia" w:ascii="宋体" w:hAnsi="宋体" w:eastAsia="宋体" w:cs="宋体"/>
          <w:color w:val="000000" w:themeColor="text1"/>
          <w:kern w:val="44"/>
          <w:sz w:val="28"/>
          <w:szCs w:val="28"/>
          <w14:textFill>
            <w14:solidFill>
              <w14:schemeClr w14:val="tx1"/>
            </w14:solidFill>
          </w14:textFill>
        </w:rPr>
      </w:pPr>
      <w:bookmarkStart w:id="11" w:name="_Toc8674"/>
      <w:r>
        <w:rPr>
          <w:rFonts w:hint="eastAsia" w:ascii="宋体" w:hAnsi="宋体" w:eastAsia="宋体" w:cs="宋体"/>
          <w:color w:val="000000" w:themeColor="text1"/>
          <w:kern w:val="44"/>
          <w:sz w:val="28"/>
          <w:szCs w:val="28"/>
          <w14:textFill>
            <w14:solidFill>
              <w14:schemeClr w14:val="tx1"/>
            </w14:solidFill>
          </w14:textFill>
        </w:rPr>
        <w:t>基本情况</w:t>
      </w:r>
      <w:bookmarkEnd w:id="11"/>
    </w:p>
    <w:p w14:paraId="7D872AE3">
      <w:pPr>
        <w:numPr>
          <w:ilvl w:val="0"/>
          <w:numId w:val="7"/>
        </w:numPr>
        <w:spacing w:line="360" w:lineRule="auto"/>
        <w:ind w:left="0" w:leftChars="0" w:firstLine="283" w:firstLineChars="0"/>
        <w:jc w:val="left"/>
        <w:outlineLvl w:val="2"/>
        <w:rPr>
          <w:rFonts w:hint="eastAsia" w:ascii="宋体" w:hAnsi="宋体" w:eastAsia="宋体" w:cs="宋体"/>
          <w:color w:val="000000" w:themeColor="text1"/>
          <w:kern w:val="44"/>
          <w:sz w:val="28"/>
          <w:szCs w:val="28"/>
          <w:lang w:val="en-US" w:eastAsia="zh-CN"/>
          <w14:textFill>
            <w14:solidFill>
              <w14:schemeClr w14:val="tx1"/>
            </w14:solidFill>
          </w14:textFill>
        </w:rPr>
      </w:pPr>
      <w:bookmarkStart w:id="12" w:name="_Toc22357"/>
      <w:r>
        <w:rPr>
          <w:rFonts w:hint="eastAsia" w:ascii="宋体" w:hAnsi="宋体" w:eastAsia="宋体" w:cs="宋体"/>
          <w:color w:val="000000" w:themeColor="text1"/>
          <w:kern w:val="44"/>
          <w:sz w:val="28"/>
          <w:szCs w:val="28"/>
          <w:lang w:val="en-US" w:eastAsia="zh-CN"/>
          <w14:textFill>
            <w14:solidFill>
              <w14:schemeClr w14:val="tx1"/>
            </w14:solidFill>
          </w14:textFill>
        </w:rPr>
        <w:t>评价目的</w:t>
      </w:r>
      <w:bookmarkEnd w:id="12"/>
    </w:p>
    <w:p w14:paraId="3D850A8B">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2025年12月8日，三门峡市陕州区财政局印发《关于开展 2024年度区级财政支出重点项目绩效评价工作的通知》（三陕财效(2025]5号），明确此次绩效评价的目的：聚焦重点领域，上级和区委、区政府重大政策及民生实事落实情况，对财政资金实施结果跟踪问效，掌握资金使用和实施情况，总结经验，找出存在问题，并提出意见建议。增强“花钱必问效，无效必问责”预算绩效理念，提高政策规划和预算编制精准性，强化预算支出和约束责任。逐步建立科学、规范、完善的预算绩效评价管理体系，推动财政资源配置科学化和资金使用效益最大化。</w:t>
      </w:r>
    </w:p>
    <w:p w14:paraId="18D9711B">
      <w:pPr>
        <w:numPr>
          <w:ilvl w:val="0"/>
          <w:numId w:val="7"/>
        </w:numPr>
        <w:spacing w:line="360" w:lineRule="auto"/>
        <w:ind w:left="0" w:leftChars="0" w:firstLine="283" w:firstLineChars="0"/>
        <w:jc w:val="left"/>
        <w:outlineLvl w:val="2"/>
        <w:rPr>
          <w:rFonts w:hint="eastAsia" w:ascii="宋体" w:hAnsi="宋体" w:eastAsia="宋体" w:cs="宋体"/>
          <w:color w:val="000000" w:themeColor="text1"/>
          <w:kern w:val="44"/>
          <w:sz w:val="28"/>
          <w:szCs w:val="28"/>
          <w:lang w:val="en-US" w:eastAsia="zh-CN"/>
          <w14:textFill>
            <w14:solidFill>
              <w14:schemeClr w14:val="tx1"/>
            </w14:solidFill>
          </w14:textFill>
        </w:rPr>
      </w:pPr>
      <w:bookmarkStart w:id="13" w:name="_Toc14215"/>
      <w:r>
        <w:rPr>
          <w:rFonts w:hint="eastAsia" w:ascii="宋体" w:hAnsi="宋体" w:eastAsia="宋体" w:cs="宋体"/>
          <w:color w:val="000000" w:themeColor="text1"/>
          <w:kern w:val="44"/>
          <w:sz w:val="28"/>
          <w:szCs w:val="28"/>
          <w:lang w:val="en-US" w:eastAsia="zh-CN"/>
          <w14:textFill>
            <w14:solidFill>
              <w14:schemeClr w14:val="tx1"/>
            </w14:solidFill>
          </w14:textFill>
        </w:rPr>
        <w:t>评价原则</w:t>
      </w:r>
      <w:bookmarkEnd w:id="13"/>
    </w:p>
    <w:p w14:paraId="16329C82">
      <w:pPr>
        <w:pStyle w:val="9"/>
        <w:numPr>
          <w:ilvl w:val="0"/>
          <w:numId w:val="8"/>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科学规范：绩效评价应当运用科学合理的方法，按照规范的</w:t>
      </w:r>
    </w:p>
    <w:p w14:paraId="02950705">
      <w:pPr>
        <w:pStyle w:val="9"/>
        <w:numPr>
          <w:ilvl w:val="0"/>
          <w:numId w:val="0"/>
        </w:numPr>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程序，对政策项目绩效进行客观、公正的反映。评价方法、指标体系、数据采集需符合财政管理和项目运行的客观规律，严格遵循既定的评价流程与技术标准，避免主观臆断，保障评价过程的严谨性和结果的可信度。</w:t>
      </w:r>
    </w:p>
    <w:p w14:paraId="390F714B">
      <w:pPr>
        <w:pStyle w:val="9"/>
        <w:numPr>
          <w:ilvl w:val="0"/>
          <w:numId w:val="8"/>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绩效相关原则：评价内容需紧密围绕项目的预期绩效目标，</w:t>
      </w:r>
    </w:p>
    <w:p w14:paraId="66BF4220">
      <w:pPr>
        <w:pStyle w:val="9"/>
        <w:numPr>
          <w:ilvl w:val="0"/>
          <w:numId w:val="0"/>
        </w:numPr>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聚焦资金使用与绩效产出之间的关联度，重点分析财政资金投入对项目目标实现的贡献程度，避免评价内容与项目绩效无关的冗余信息。</w:t>
      </w:r>
    </w:p>
    <w:p w14:paraId="4F013929">
      <w:pPr>
        <w:pStyle w:val="9"/>
        <w:numPr>
          <w:ilvl w:val="0"/>
          <w:numId w:val="8"/>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权责一致原则：明确项目主管部门、实施单位、评价机构等</w:t>
      </w:r>
    </w:p>
    <w:p w14:paraId="42722572">
      <w:pPr>
        <w:pStyle w:val="9"/>
        <w:numPr>
          <w:ilvl w:val="0"/>
          <w:numId w:val="0"/>
        </w:numPr>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相关主体的职责与权利，评价结果需与责任追究、奖惩机制挂钩，做到“谁决策、谁负责，谁实施、谁担责”，强化绩效责任意识。</w:t>
      </w:r>
    </w:p>
    <w:p w14:paraId="1F62E334">
      <w:pPr>
        <w:pStyle w:val="9"/>
        <w:numPr>
          <w:ilvl w:val="0"/>
          <w:numId w:val="8"/>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定量与定性相结合原则：对能够量化的产出、效益指标（如</w:t>
      </w:r>
    </w:p>
    <w:p w14:paraId="0244B265">
      <w:pPr>
        <w:pStyle w:val="9"/>
        <w:numPr>
          <w:ilvl w:val="0"/>
          <w:numId w:val="0"/>
        </w:numPr>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项目完成率、资金节约率、受益人数等）采用定量分析；对难以量化的社会效益、生态效益、群众满意度等内容，采用定性分析并结合专家评估、问卷调查等方式佐证，实现评价结果的全面性与准确性。</w:t>
      </w:r>
    </w:p>
    <w:p w14:paraId="3019815A">
      <w:pPr>
        <w:pStyle w:val="9"/>
        <w:numPr>
          <w:ilvl w:val="0"/>
          <w:numId w:val="8"/>
        </w:numPr>
        <w:ind w:left="454" w:leftChars="0" w:firstLine="113" w:firstLineChars="0"/>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激励约束：</w:t>
      </w:r>
      <w:r>
        <w:rPr>
          <w:rFonts w:hint="eastAsia" w:ascii="宋体" w:hAnsi="宋体" w:eastAsia="宋体" w:cs="宋体"/>
          <w:color w:val="000000" w:themeColor="text1"/>
          <w:kern w:val="44"/>
          <w:sz w:val="28"/>
          <w:szCs w:val="28"/>
          <w:lang w:val="en-US" w:eastAsia="zh-CN"/>
          <w14:textFill>
            <w14:solidFill>
              <w14:schemeClr w14:val="tx1"/>
            </w14:solidFill>
          </w14:textFill>
        </w:rPr>
        <w:t>绩效评价结果应与预算安排、政策调整、改进管</w:t>
      </w:r>
    </w:p>
    <w:p w14:paraId="473C8A08">
      <w:pPr>
        <w:pStyle w:val="9"/>
        <w:numPr>
          <w:ilvl w:val="0"/>
          <w:numId w:val="0"/>
        </w:numPr>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理实质性挂钩，体现奖优罚劣和激励相容导向，有效要安排、低效要压减、无效要问责。</w:t>
      </w:r>
    </w:p>
    <w:p w14:paraId="52BE19E3">
      <w:pPr>
        <w:pStyle w:val="9"/>
        <w:numPr>
          <w:ilvl w:val="0"/>
          <w:numId w:val="8"/>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公平公正：评价主体需保持中立立场，不受项目相关方的干</w:t>
      </w:r>
    </w:p>
    <w:p w14:paraId="7D7F9C88">
      <w:pPr>
        <w:pStyle w:val="9"/>
        <w:numPr>
          <w:ilvl w:val="0"/>
          <w:numId w:val="0"/>
        </w:numPr>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预或利益影响。</w:t>
      </w:r>
    </w:p>
    <w:p w14:paraId="7F6F9011">
      <w:pPr>
        <w:pStyle w:val="9"/>
        <w:numPr>
          <w:ilvl w:val="0"/>
          <w:numId w:val="8"/>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公开透明：</w:t>
      </w:r>
      <w:r>
        <w:rPr>
          <w:rFonts w:hint="eastAsia" w:ascii="宋体" w:hAnsi="宋体" w:eastAsia="宋体" w:cs="宋体"/>
          <w:color w:val="000000" w:themeColor="text1"/>
          <w:kern w:val="44"/>
          <w:sz w:val="28"/>
          <w:szCs w:val="28"/>
          <w:lang w:val="en-US" w:eastAsia="zh-CN"/>
          <w14:textFill>
            <w14:solidFill>
              <w14:schemeClr w14:val="tx1"/>
            </w14:solidFill>
          </w14:textFill>
        </w:rPr>
        <w:t>绩效</w:t>
      </w:r>
      <w:r>
        <w:rPr>
          <w:rFonts w:hint="eastAsia" w:ascii="宋体" w:hAnsi="宋体" w:eastAsia="宋体" w:cs="宋体"/>
          <w:color w:val="000000" w:themeColor="text1"/>
          <w:kern w:val="44"/>
          <w:sz w:val="28"/>
          <w:szCs w:val="28"/>
          <w:lang w:val="en-US" w:eastAsia="zh-CN" w:bidi="ar-SA"/>
          <w14:textFill>
            <w14:solidFill>
              <w14:schemeClr w14:val="tx1"/>
            </w14:solidFill>
          </w14:textFill>
        </w:rPr>
        <w:t>评价标准、过程、结果应依法依规向社会公</w:t>
      </w:r>
    </w:p>
    <w:p w14:paraId="7F58F4A8">
      <w:pPr>
        <w:pStyle w:val="9"/>
        <w:numPr>
          <w:ilvl w:val="0"/>
          <w:numId w:val="0"/>
        </w:numPr>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开（涉密内容除外），</w:t>
      </w:r>
      <w:r>
        <w:rPr>
          <w:rFonts w:hint="eastAsia" w:ascii="宋体" w:hAnsi="宋体" w:eastAsia="宋体" w:cs="宋体"/>
          <w:color w:val="000000" w:themeColor="text1"/>
          <w:kern w:val="44"/>
          <w:sz w:val="28"/>
          <w:szCs w:val="28"/>
          <w:lang w:val="en-US" w:eastAsia="zh-CN"/>
          <w14:textFill>
            <w14:solidFill>
              <w14:schemeClr w14:val="tx1"/>
            </w14:solidFill>
          </w14:textFill>
        </w:rPr>
        <w:t>自觉</w:t>
      </w:r>
      <w:r>
        <w:rPr>
          <w:rFonts w:hint="eastAsia" w:ascii="宋体" w:hAnsi="宋体" w:eastAsia="宋体" w:cs="宋体"/>
          <w:color w:val="000000" w:themeColor="text1"/>
          <w:kern w:val="44"/>
          <w:sz w:val="28"/>
          <w:szCs w:val="28"/>
          <w:lang w:val="en-US" w:eastAsia="zh-CN" w:bidi="ar-SA"/>
          <w14:textFill>
            <w14:solidFill>
              <w14:schemeClr w14:val="tx1"/>
            </w14:solidFill>
          </w14:textFill>
        </w:rPr>
        <w:t>接受社会监督，确保评价的公开性与透明度。</w:t>
      </w:r>
    </w:p>
    <w:p w14:paraId="2342C7F2">
      <w:pPr>
        <w:numPr>
          <w:ilvl w:val="0"/>
          <w:numId w:val="7"/>
        </w:numPr>
        <w:spacing w:line="360" w:lineRule="auto"/>
        <w:ind w:left="0" w:leftChars="0" w:firstLine="283" w:firstLineChars="0"/>
        <w:jc w:val="left"/>
        <w:outlineLvl w:val="2"/>
        <w:rPr>
          <w:rFonts w:hint="eastAsia" w:ascii="宋体" w:hAnsi="宋体" w:eastAsia="宋体" w:cs="宋体"/>
          <w:color w:val="000000" w:themeColor="text1"/>
          <w:kern w:val="44"/>
          <w:sz w:val="28"/>
          <w:szCs w:val="28"/>
          <w:lang w:val="en-US" w:eastAsia="zh-CN"/>
          <w14:textFill>
            <w14:solidFill>
              <w14:schemeClr w14:val="tx1"/>
            </w14:solidFill>
          </w14:textFill>
        </w:rPr>
      </w:pPr>
      <w:bookmarkStart w:id="14" w:name="_Toc27072"/>
      <w:r>
        <w:rPr>
          <w:rFonts w:hint="eastAsia" w:ascii="宋体" w:hAnsi="宋体" w:eastAsia="宋体" w:cs="宋体"/>
          <w:color w:val="000000" w:themeColor="text1"/>
          <w:kern w:val="44"/>
          <w:sz w:val="28"/>
          <w:szCs w:val="28"/>
          <w:lang w:val="en-US" w:eastAsia="zh-CN"/>
          <w14:textFill>
            <w14:solidFill>
              <w14:schemeClr w14:val="tx1"/>
            </w14:solidFill>
          </w14:textFill>
        </w:rPr>
        <w:t>评价方法</w:t>
      </w:r>
      <w:bookmarkEnd w:id="14"/>
    </w:p>
    <w:p w14:paraId="74423AB3">
      <w:pPr>
        <w:spacing w:line="360" w:lineRule="auto"/>
        <w:ind w:firstLine="548" w:firstLineChars="196"/>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绩效评价方法的选用应当坚持简便有效的原则。根据评价对象的具体情况，可采用一种或多种方法进行绩效评价。</w:t>
      </w:r>
    </w:p>
    <w:p w14:paraId="5F843E7D">
      <w:pPr>
        <w:spacing w:line="360" w:lineRule="auto"/>
        <w:ind w:firstLine="548" w:firstLineChars="196"/>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绩效评价方法主要采用成本效益分析法、比较法、因素分析法、最低成本法、公众评判法等。</w:t>
      </w:r>
    </w:p>
    <w:p w14:paraId="37D0D099">
      <w:pPr>
        <w:pStyle w:val="9"/>
        <w:numPr>
          <w:ilvl w:val="0"/>
          <w:numId w:val="9"/>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成本效益分析法。是指将一定时期内的支出与效益进行对比</w:t>
      </w:r>
    </w:p>
    <w:p w14:paraId="7542A7C6">
      <w:pPr>
        <w:pStyle w:val="9"/>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分析以评价绩效目标实现程度。</w:t>
      </w:r>
    </w:p>
    <w:p w14:paraId="79DA553B">
      <w:pPr>
        <w:pStyle w:val="9"/>
        <w:numPr>
          <w:ilvl w:val="0"/>
          <w:numId w:val="9"/>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比较法。是指通过对绩效目标与实施效果、历史与当期情况、</w:t>
      </w:r>
    </w:p>
    <w:p w14:paraId="411CB888">
      <w:pPr>
        <w:pStyle w:val="9"/>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不同部门和地区同类支出的比较，综合分析绩效目标实现程度。</w:t>
      </w:r>
    </w:p>
    <w:p w14:paraId="3B5D3582">
      <w:pPr>
        <w:pStyle w:val="9"/>
        <w:numPr>
          <w:ilvl w:val="0"/>
          <w:numId w:val="9"/>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因素分析法。是指通过综合分析影响绩效目标实现、实施效</w:t>
      </w:r>
    </w:p>
    <w:p w14:paraId="1874F987">
      <w:pPr>
        <w:pStyle w:val="9"/>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果的内外因素，评价绩效目标实现程度。</w:t>
      </w:r>
    </w:p>
    <w:p w14:paraId="6129BF50">
      <w:pPr>
        <w:pStyle w:val="9"/>
        <w:numPr>
          <w:ilvl w:val="0"/>
          <w:numId w:val="9"/>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最低成本法。是指对效益不易计量的多个同类对象的实施成</w:t>
      </w:r>
    </w:p>
    <w:p w14:paraId="634D49DF">
      <w:pPr>
        <w:pStyle w:val="9"/>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本进行比较，评价绩效目标实现程度。</w:t>
      </w:r>
    </w:p>
    <w:p w14:paraId="02398F54">
      <w:pPr>
        <w:pStyle w:val="9"/>
        <w:numPr>
          <w:ilvl w:val="0"/>
          <w:numId w:val="9"/>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公众评判法。是指通过专家评估、公众问卷及抽样调查等对</w:t>
      </w:r>
    </w:p>
    <w:p w14:paraId="5DB35257">
      <w:pPr>
        <w:pStyle w:val="9"/>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财政支出效果进行评判，评价绩效目标实现程度。</w:t>
      </w:r>
    </w:p>
    <w:p w14:paraId="63C89D4D">
      <w:pPr>
        <w:pStyle w:val="9"/>
        <w:numPr>
          <w:ilvl w:val="0"/>
          <w:numId w:val="9"/>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其他评价方法。</w:t>
      </w:r>
    </w:p>
    <w:p w14:paraId="366494F7">
      <w:pPr>
        <w:numPr>
          <w:ilvl w:val="0"/>
          <w:numId w:val="7"/>
        </w:numPr>
        <w:spacing w:line="360" w:lineRule="auto"/>
        <w:ind w:left="0" w:leftChars="0" w:firstLine="283" w:firstLineChars="0"/>
        <w:jc w:val="left"/>
        <w:outlineLvl w:val="2"/>
        <w:rPr>
          <w:rFonts w:hint="eastAsia" w:ascii="宋体" w:hAnsi="宋体" w:eastAsia="宋体" w:cs="宋体"/>
          <w:color w:val="000000" w:themeColor="text1"/>
          <w:kern w:val="44"/>
          <w:sz w:val="28"/>
          <w:szCs w:val="28"/>
          <w:lang w:val="en-US" w:eastAsia="zh-CN"/>
          <w14:textFill>
            <w14:solidFill>
              <w14:schemeClr w14:val="tx1"/>
            </w14:solidFill>
          </w14:textFill>
        </w:rPr>
      </w:pPr>
      <w:bookmarkStart w:id="15" w:name="_Toc7508"/>
      <w:r>
        <w:rPr>
          <w:rFonts w:hint="eastAsia" w:ascii="宋体" w:hAnsi="宋体" w:eastAsia="宋体" w:cs="宋体"/>
          <w:color w:val="000000" w:themeColor="text1"/>
          <w:kern w:val="44"/>
          <w:sz w:val="28"/>
          <w:szCs w:val="28"/>
          <w:lang w:val="en-US" w:eastAsia="zh-CN"/>
          <w14:textFill>
            <w14:solidFill>
              <w14:schemeClr w14:val="tx1"/>
            </w14:solidFill>
          </w14:textFill>
        </w:rPr>
        <w:t>指标体系</w:t>
      </w:r>
      <w:bookmarkEnd w:id="15"/>
    </w:p>
    <w:p w14:paraId="6529B691">
      <w:pPr>
        <w:pStyle w:val="9"/>
        <w:numPr>
          <w:ilvl w:val="0"/>
          <w:numId w:val="10"/>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绩效评价指标是指衡量绩效目标实现程度的考核工具。绩效</w:t>
      </w:r>
    </w:p>
    <w:p w14:paraId="7049C9F9">
      <w:pPr>
        <w:pStyle w:val="9"/>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评价指标的确定应当遵循以下原则：</w:t>
      </w:r>
    </w:p>
    <w:p w14:paraId="11A51D37">
      <w:pPr>
        <w:spacing w:line="600" w:lineRule="exact"/>
        <w:ind w:firstLine="548" w:firstLineChars="196"/>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①相关性原则。绩效评价指标应当与绩效目标有直接的联系，能够恰当反映目标的实现程度。</w:t>
      </w:r>
    </w:p>
    <w:p w14:paraId="10792D63">
      <w:pPr>
        <w:spacing w:line="600" w:lineRule="exact"/>
        <w:ind w:firstLine="548" w:firstLineChars="196"/>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②重要性原则。绩效评价指标应当优先使用最具评价对象代表性、最能反映评价要求的核心指标。</w:t>
      </w:r>
    </w:p>
    <w:p w14:paraId="208CACA6">
      <w:pPr>
        <w:spacing w:line="600" w:lineRule="exact"/>
        <w:ind w:firstLine="548" w:firstLineChars="196"/>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③可比性原则。对同类评价对象要设定共性的绩效评价指标，以便于评价结果相互比较。</w:t>
      </w:r>
    </w:p>
    <w:p w14:paraId="78306A54">
      <w:pPr>
        <w:spacing w:line="600" w:lineRule="exact"/>
        <w:ind w:firstLine="548" w:firstLineChars="196"/>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④系统性原则。绩效评价指标应当将定量指标与定性指标相结合，系统反映财政支出所产生的社会效益、经济效益、环境效益和可持续影响等。</w:t>
      </w:r>
    </w:p>
    <w:p w14:paraId="16BC7110">
      <w:pPr>
        <w:spacing w:line="600" w:lineRule="exact"/>
        <w:ind w:firstLine="548" w:firstLineChars="196"/>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⑤经济性原则。绩效评价指标设计应当通俗易懂、简便易行，数据的获得应当考虑现实条件和可操作性，符合成本效益原则。</w:t>
      </w:r>
    </w:p>
    <w:p w14:paraId="7904AF32">
      <w:pPr>
        <w:pStyle w:val="9"/>
        <w:numPr>
          <w:ilvl w:val="0"/>
          <w:numId w:val="10"/>
        </w:numPr>
        <w:ind w:left="454" w:leftChars="0" w:firstLine="113" w:firstLine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绩效评价指标分为共性指标和个性指标。</w:t>
      </w:r>
    </w:p>
    <w:p w14:paraId="0257A3A3">
      <w:pPr>
        <w:pStyle w:val="9"/>
        <w:numPr>
          <w:ilvl w:val="0"/>
          <w:numId w:val="0"/>
        </w:numPr>
        <w:tabs>
          <w:tab w:val="left" w:pos="0"/>
        </w:tabs>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①共性指标是适用于所有评价对象的指标。主要包括预算编制和执行情况，财务管理状况，资产配置、使用、处置及其收益管理情况以及社会效益、经济效益等。</w:t>
      </w:r>
    </w:p>
    <w:p w14:paraId="1C8B188D">
      <w:pPr>
        <w:pStyle w:val="9"/>
        <w:numPr>
          <w:ilvl w:val="0"/>
          <w:numId w:val="0"/>
        </w:numPr>
        <w:tabs>
          <w:tab w:val="left" w:pos="0"/>
        </w:tabs>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②个性指标是针对项目特点设定的，适用于不同项目的业绩评价指标。</w:t>
      </w:r>
    </w:p>
    <w:p w14:paraId="1225504A">
      <w:pPr>
        <w:pStyle w:val="9"/>
        <w:numPr>
          <w:ilvl w:val="0"/>
          <w:numId w:val="10"/>
        </w:numPr>
        <w:ind w:left="454" w:leftChars="0" w:firstLine="113" w:firstLineChars="0"/>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结合三门峡市陕州区住房和城乡建设局王寨路、金华路跨金</w:t>
      </w:r>
    </w:p>
    <w:p w14:paraId="23F3EA56">
      <w:pPr>
        <w:pStyle w:val="9"/>
        <w:numPr>
          <w:ilvl w:val="0"/>
          <w:numId w:val="0"/>
        </w:numPr>
        <w:tabs>
          <w:tab w:val="left" w:pos="0"/>
        </w:tabs>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水河桥梁工程项目的实际情况，共制定三级指标，分别</w:t>
      </w:r>
      <w:r>
        <w:rPr>
          <w:rFonts w:hint="eastAsia" w:ascii="宋体" w:hAnsi="宋体" w:eastAsia="宋体" w:cs="宋体"/>
          <w:color w:val="000000" w:themeColor="text1"/>
          <w:kern w:val="44"/>
          <w:sz w:val="28"/>
          <w:szCs w:val="28"/>
          <w:lang w:val="en-US" w:eastAsia="zh-CN"/>
          <w14:textFill>
            <w14:solidFill>
              <w14:schemeClr w14:val="tx1"/>
            </w14:solidFill>
          </w14:textFill>
        </w:rPr>
        <w:t>是目标层、</w:t>
      </w:r>
    </w:p>
    <w:p w14:paraId="1C5E2AA7">
      <w:pPr>
        <w:numPr>
          <w:ilvl w:val="0"/>
          <w:numId w:val="0"/>
        </w:numPr>
        <w:spacing w:line="360" w:lineRule="auto"/>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准则层、指标层。三级指标具有层级嵌套关系，自上而下分解、自下而上支撑，共同构成完整的绩效评价指标体系。三者的逻辑关系表现为：一级指标定方向，二级指标分维度，三级指标定标准，层层递进、环环相扣，确保评价既覆盖核心维度，又具备可操作性。</w:t>
      </w:r>
    </w:p>
    <w:p w14:paraId="407D045A">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①目标层（一级指标）：是绩效评价的核心维度，统领整个指标体系，通常包括决策指标、管理指标、产出指标、效果指标等，明确评价的核心方向。</w:t>
      </w:r>
    </w:p>
    <w:p w14:paraId="517FD075">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②准则层（二级指标）：是对一级指标的细化拆分，承接一级指标的核心内容，同时为三级指标划定范围。</w:t>
      </w:r>
    </w:p>
    <w:p w14:paraId="0F516BA1">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③指标层（三级指标）：是具体可量化、可衡量的评价条目，是二级指标的落地载体，直接对应项目的具体绩效表现。</w:t>
      </w:r>
    </w:p>
    <w:p w14:paraId="682F3912">
      <w:pPr>
        <w:pStyle w:val="9"/>
        <w:numPr>
          <w:ilvl w:val="0"/>
          <w:numId w:val="10"/>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三门峡市陕州区住房和城乡建设局王寨路、金华路跨金水河</w:t>
      </w:r>
    </w:p>
    <w:p w14:paraId="0C667B62">
      <w:pPr>
        <w:pStyle w:val="9"/>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桥梁工程项目，绩效评价指标体系见下表：</w:t>
      </w:r>
    </w:p>
    <w:p w14:paraId="34D5C7BE">
      <w:pPr>
        <w:pStyle w:val="9"/>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p>
    <w:p w14:paraId="0918BD6C">
      <w:pPr>
        <w:numPr>
          <w:ilvl w:val="0"/>
          <w:numId w:val="0"/>
        </w:numPr>
        <w:spacing w:line="360" w:lineRule="auto"/>
        <w:jc w:val="left"/>
        <w:rPr>
          <w:rFonts w:hint="eastAsia" w:ascii="宋体" w:hAnsi="宋体" w:eastAsia="宋体" w:cs="宋体"/>
          <w:color w:val="000000" w:themeColor="text1"/>
          <w:kern w:val="44"/>
          <w:sz w:val="28"/>
          <w:szCs w:val="28"/>
          <w:lang w:val="en-US" w:eastAsia="zh-CN"/>
          <w14:textFill>
            <w14:solidFill>
              <w14:schemeClr w14:val="tx1"/>
            </w14:solidFill>
          </w14:textFill>
        </w:rPr>
      </w:pPr>
    </w:p>
    <w:p w14:paraId="24613310">
      <w:pPr>
        <w:numPr>
          <w:ilvl w:val="0"/>
          <w:numId w:val="0"/>
        </w:numPr>
        <w:spacing w:line="360" w:lineRule="auto"/>
        <w:jc w:val="left"/>
        <w:rPr>
          <w:rFonts w:hint="eastAsia" w:ascii="宋体" w:hAnsi="宋体" w:eastAsia="宋体" w:cs="宋体"/>
          <w:color w:val="000000" w:themeColor="text1"/>
          <w:kern w:val="44"/>
          <w:sz w:val="28"/>
          <w:szCs w:val="28"/>
          <w:lang w:val="en-US" w:eastAsia="zh-CN"/>
          <w14:textFill>
            <w14:solidFill>
              <w14:schemeClr w14:val="tx1"/>
            </w14:solidFill>
          </w14:textFill>
        </w:rPr>
      </w:pPr>
    </w:p>
    <w:p w14:paraId="38336AAB">
      <w:pPr>
        <w:numPr>
          <w:ilvl w:val="0"/>
          <w:numId w:val="0"/>
        </w:numPr>
        <w:spacing w:line="360" w:lineRule="auto"/>
        <w:jc w:val="left"/>
        <w:rPr>
          <w:rFonts w:hint="eastAsia" w:ascii="宋体" w:hAnsi="宋体" w:eastAsia="宋体" w:cs="宋体"/>
          <w:color w:val="000000" w:themeColor="text1"/>
          <w:kern w:val="44"/>
          <w:sz w:val="28"/>
          <w:szCs w:val="28"/>
          <w:lang w:val="en-US" w:eastAsia="zh-CN"/>
          <w14:textFill>
            <w14:solidFill>
              <w14:schemeClr w14:val="tx1"/>
            </w14:solidFill>
          </w14:textFill>
        </w:rPr>
      </w:pPr>
    </w:p>
    <w:p w14:paraId="46347BD5">
      <w:pPr>
        <w:numPr>
          <w:ilvl w:val="0"/>
          <w:numId w:val="0"/>
        </w:numPr>
        <w:spacing w:line="360" w:lineRule="auto"/>
        <w:jc w:val="left"/>
        <w:rPr>
          <w:rFonts w:hint="eastAsia" w:ascii="宋体" w:hAnsi="宋体" w:eastAsia="宋体" w:cs="宋体"/>
          <w:color w:val="000000" w:themeColor="text1"/>
          <w:kern w:val="44"/>
          <w:sz w:val="28"/>
          <w:szCs w:val="28"/>
          <w:lang w:val="en-US" w:eastAsia="zh-CN"/>
          <w14:textFill>
            <w14:solidFill>
              <w14:schemeClr w14:val="tx1"/>
            </w14:solidFill>
          </w14:textFill>
        </w:rPr>
      </w:pPr>
    </w:p>
    <w:p w14:paraId="4AD6D9E0">
      <w:pPr>
        <w:numPr>
          <w:ilvl w:val="0"/>
          <w:numId w:val="0"/>
        </w:numPr>
        <w:spacing w:line="360" w:lineRule="auto"/>
        <w:jc w:val="left"/>
        <w:rPr>
          <w:rFonts w:hint="eastAsia" w:ascii="宋体" w:hAnsi="宋体" w:eastAsia="宋体" w:cs="宋体"/>
          <w:color w:val="000000" w:themeColor="text1"/>
          <w:kern w:val="44"/>
          <w:sz w:val="28"/>
          <w:szCs w:val="28"/>
          <w:lang w:val="en-US" w:eastAsia="zh-CN"/>
          <w14:textFill>
            <w14:solidFill>
              <w14:schemeClr w14:val="tx1"/>
            </w14:solidFill>
          </w14:textFill>
        </w:rPr>
      </w:pPr>
    </w:p>
    <w:p w14:paraId="1F8D3DF0">
      <w:pPr>
        <w:numPr>
          <w:ilvl w:val="0"/>
          <w:numId w:val="0"/>
        </w:numPr>
        <w:spacing w:line="360" w:lineRule="auto"/>
        <w:jc w:val="left"/>
        <w:rPr>
          <w:rFonts w:hint="eastAsia" w:ascii="宋体" w:hAnsi="宋体" w:eastAsia="宋体" w:cs="宋体"/>
          <w:color w:val="000000" w:themeColor="text1"/>
          <w:kern w:val="44"/>
          <w:sz w:val="28"/>
          <w:szCs w:val="28"/>
          <w:lang w:val="en-US" w:eastAsia="zh-CN"/>
          <w14:textFill>
            <w14:solidFill>
              <w14:schemeClr w14:val="tx1"/>
            </w14:solidFill>
          </w14:textFill>
        </w:rPr>
      </w:pPr>
    </w:p>
    <w:p w14:paraId="5DAA57CF">
      <w:pPr>
        <w:numPr>
          <w:ilvl w:val="0"/>
          <w:numId w:val="0"/>
        </w:numPr>
        <w:spacing w:line="360" w:lineRule="auto"/>
        <w:jc w:val="left"/>
        <w:rPr>
          <w:rFonts w:hint="eastAsia" w:ascii="宋体" w:hAnsi="宋体" w:eastAsia="宋体" w:cs="宋体"/>
          <w:color w:val="000000" w:themeColor="text1"/>
          <w:kern w:val="44"/>
          <w:sz w:val="28"/>
          <w:szCs w:val="28"/>
          <w:lang w:val="en-US" w:eastAsia="zh-CN"/>
          <w14:textFill>
            <w14:solidFill>
              <w14:schemeClr w14:val="tx1"/>
            </w14:solidFill>
          </w14:textFill>
        </w:rPr>
      </w:pPr>
    </w:p>
    <w:p w14:paraId="717CA1BC">
      <w:pPr>
        <w:numPr>
          <w:ilvl w:val="0"/>
          <w:numId w:val="0"/>
        </w:numPr>
        <w:spacing w:line="360" w:lineRule="auto"/>
        <w:jc w:val="left"/>
        <w:rPr>
          <w:rFonts w:hint="eastAsia" w:ascii="宋体" w:hAnsi="宋体" w:eastAsia="宋体" w:cs="宋体"/>
          <w:color w:val="000000" w:themeColor="text1"/>
          <w:kern w:val="44"/>
          <w:sz w:val="28"/>
          <w:szCs w:val="28"/>
          <w:lang w:val="en-US" w:eastAsia="zh-CN"/>
          <w14:textFill>
            <w14:solidFill>
              <w14:schemeClr w14:val="tx1"/>
            </w14:solidFill>
          </w14:textFill>
        </w:rPr>
      </w:pPr>
    </w:p>
    <w:p w14:paraId="244892C1">
      <w:pPr>
        <w:numPr>
          <w:ilvl w:val="0"/>
          <w:numId w:val="0"/>
        </w:numPr>
        <w:spacing w:line="360" w:lineRule="auto"/>
        <w:jc w:val="left"/>
        <w:rPr>
          <w:rFonts w:hint="eastAsia" w:ascii="宋体" w:hAnsi="宋体" w:eastAsia="宋体" w:cs="宋体"/>
          <w:color w:val="000000" w:themeColor="text1"/>
          <w:kern w:val="44"/>
          <w:sz w:val="28"/>
          <w:szCs w:val="28"/>
          <w:lang w:val="en-US" w:eastAsia="zh-CN"/>
          <w14:textFill>
            <w14:solidFill>
              <w14:schemeClr w14:val="tx1"/>
            </w14:solidFill>
          </w14:textFill>
        </w:rPr>
      </w:pPr>
    </w:p>
    <w:p w14:paraId="082F15AE">
      <w:pPr>
        <w:numPr>
          <w:ilvl w:val="0"/>
          <w:numId w:val="0"/>
        </w:numPr>
        <w:spacing w:line="360" w:lineRule="auto"/>
        <w:jc w:val="left"/>
        <w:rPr>
          <w:rFonts w:hint="eastAsia" w:ascii="宋体" w:hAnsi="宋体" w:eastAsia="宋体" w:cs="宋体"/>
          <w:color w:val="000000" w:themeColor="text1"/>
          <w:kern w:val="44"/>
          <w:sz w:val="28"/>
          <w:szCs w:val="28"/>
          <w:lang w:val="en-US" w:eastAsia="zh-CN"/>
          <w14:textFill>
            <w14:solidFill>
              <w14:schemeClr w14:val="tx1"/>
            </w14:solidFill>
          </w14:textFill>
        </w:rPr>
      </w:pPr>
    </w:p>
    <w:p w14:paraId="1F5B142C">
      <w:pPr>
        <w:numPr>
          <w:ilvl w:val="0"/>
          <w:numId w:val="0"/>
        </w:numPr>
        <w:spacing w:line="360" w:lineRule="auto"/>
        <w:jc w:val="left"/>
        <w:rPr>
          <w:rFonts w:hint="eastAsia" w:ascii="宋体" w:hAnsi="宋体" w:eastAsia="宋体" w:cs="宋体"/>
          <w:color w:val="000000" w:themeColor="text1"/>
          <w:kern w:val="44"/>
          <w:sz w:val="28"/>
          <w:szCs w:val="28"/>
          <w:lang w:val="en-US" w:eastAsia="zh-CN"/>
          <w14:textFill>
            <w14:solidFill>
              <w14:schemeClr w14:val="tx1"/>
            </w14:solidFill>
          </w14:textFill>
        </w:rPr>
      </w:pPr>
    </w:p>
    <w:p w14:paraId="4DFE78BC">
      <w:pPr>
        <w:numPr>
          <w:ilvl w:val="0"/>
          <w:numId w:val="0"/>
        </w:numPr>
        <w:spacing w:line="360" w:lineRule="auto"/>
        <w:jc w:val="left"/>
        <w:rPr>
          <w:rFonts w:hint="eastAsia" w:ascii="宋体" w:hAnsi="宋体" w:eastAsia="宋体" w:cs="宋体"/>
          <w:color w:val="000000" w:themeColor="text1"/>
          <w:kern w:val="44"/>
          <w:sz w:val="28"/>
          <w:szCs w:val="28"/>
          <w:lang w:val="en-US" w:eastAsia="zh-CN"/>
          <w14:textFill>
            <w14:solidFill>
              <w14:schemeClr w14:val="tx1"/>
            </w14:solidFill>
          </w14:textFill>
        </w:rPr>
      </w:pPr>
    </w:p>
    <w:p w14:paraId="356E9BDA">
      <w:pPr>
        <w:numPr>
          <w:ilvl w:val="0"/>
          <w:numId w:val="0"/>
        </w:numPr>
        <w:spacing w:line="360" w:lineRule="auto"/>
        <w:jc w:val="left"/>
        <w:rPr>
          <w:rFonts w:hint="eastAsia" w:ascii="宋体" w:hAnsi="宋体" w:eastAsia="宋体" w:cs="宋体"/>
          <w:color w:val="000000" w:themeColor="text1"/>
          <w:kern w:val="44"/>
          <w:sz w:val="28"/>
          <w:szCs w:val="28"/>
          <w:lang w:val="en-US" w:eastAsia="zh-CN"/>
          <w14:textFill>
            <w14:solidFill>
              <w14:schemeClr w14:val="tx1"/>
            </w14:solidFill>
          </w14:textFill>
        </w:rPr>
      </w:pPr>
    </w:p>
    <w:p w14:paraId="7003DB1B">
      <w:pPr>
        <w:numPr>
          <w:ilvl w:val="0"/>
          <w:numId w:val="0"/>
        </w:numPr>
        <w:spacing w:line="360" w:lineRule="auto"/>
        <w:jc w:val="left"/>
        <w:rPr>
          <w:rFonts w:hint="eastAsia" w:ascii="宋体" w:hAnsi="宋体" w:eastAsia="宋体" w:cs="宋体"/>
          <w:color w:val="000000" w:themeColor="text1"/>
          <w:kern w:val="44"/>
          <w:sz w:val="28"/>
          <w:szCs w:val="28"/>
          <w:lang w:val="en-US" w:eastAsia="zh-CN"/>
          <w14:textFill>
            <w14:solidFill>
              <w14:schemeClr w14:val="tx1"/>
            </w14:solidFill>
          </w14:textFill>
        </w:rPr>
      </w:pPr>
    </w:p>
    <w:p w14:paraId="27E677D8">
      <w:pPr>
        <w:numPr>
          <w:ilvl w:val="0"/>
          <w:numId w:val="0"/>
        </w:numPr>
        <w:spacing w:line="360" w:lineRule="auto"/>
        <w:jc w:val="left"/>
        <w:rPr>
          <w:rFonts w:hint="eastAsia" w:ascii="宋体" w:hAnsi="宋体" w:eastAsia="宋体" w:cs="宋体"/>
          <w:color w:val="000000" w:themeColor="text1"/>
          <w:kern w:val="44"/>
          <w:sz w:val="28"/>
          <w:szCs w:val="28"/>
          <w:lang w:val="en-US" w:eastAsia="zh-CN"/>
          <w14:textFill>
            <w14:solidFill>
              <w14:schemeClr w14:val="tx1"/>
            </w14:solidFill>
          </w14:textFill>
        </w:rPr>
      </w:pPr>
    </w:p>
    <w:p w14:paraId="1A9E6C4E">
      <w:pPr>
        <w:numPr>
          <w:ilvl w:val="0"/>
          <w:numId w:val="0"/>
        </w:numPr>
        <w:spacing w:line="360" w:lineRule="auto"/>
        <w:jc w:val="left"/>
        <w:rPr>
          <w:rFonts w:hint="eastAsia" w:ascii="宋体" w:hAnsi="宋体" w:eastAsia="宋体" w:cs="宋体"/>
          <w:color w:val="000000" w:themeColor="text1"/>
          <w:kern w:val="44"/>
          <w:sz w:val="28"/>
          <w:szCs w:val="28"/>
          <w:lang w:val="en-US" w:eastAsia="zh-CN"/>
          <w14:textFill>
            <w14:solidFill>
              <w14:schemeClr w14:val="tx1"/>
            </w14:solidFill>
          </w14:textFill>
        </w:rPr>
      </w:pPr>
    </w:p>
    <w:p w14:paraId="3955CF0B">
      <w:pPr>
        <w:numPr>
          <w:ilvl w:val="0"/>
          <w:numId w:val="0"/>
        </w:numPr>
        <w:spacing w:line="360" w:lineRule="auto"/>
        <w:jc w:val="left"/>
        <w:rPr>
          <w:rFonts w:hint="eastAsia" w:ascii="宋体" w:hAnsi="宋体" w:eastAsia="宋体" w:cs="宋体"/>
          <w:color w:val="000000" w:themeColor="text1"/>
          <w:kern w:val="44"/>
          <w:sz w:val="28"/>
          <w:szCs w:val="28"/>
          <w:lang w:val="en-US" w:eastAsia="zh-CN"/>
          <w14:textFill>
            <w14:solidFill>
              <w14:schemeClr w14:val="tx1"/>
            </w14:solidFill>
          </w14:textFill>
        </w:rPr>
        <w:sectPr>
          <w:footerReference r:id="rId3" w:type="default"/>
          <w:pgSz w:w="11906" w:h="16838"/>
          <w:pgMar w:top="1440" w:right="1800" w:bottom="1440" w:left="1800" w:header="851" w:footer="992" w:gutter="0"/>
          <w:pgNumType w:fmt="decimal" w:start="1"/>
          <w:cols w:space="425" w:num="1"/>
          <w:docGrid w:type="lines" w:linePitch="312" w:charSpace="0"/>
        </w:sectPr>
      </w:pPr>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5"/>
        <w:gridCol w:w="856"/>
        <w:gridCol w:w="856"/>
        <w:gridCol w:w="726"/>
        <w:gridCol w:w="808"/>
        <w:gridCol w:w="856"/>
        <w:gridCol w:w="1845"/>
        <w:gridCol w:w="5205"/>
        <w:gridCol w:w="2177"/>
      </w:tblGrid>
      <w:tr w14:paraId="1335F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blHeader/>
        </w:trPr>
        <w:tc>
          <w:tcPr>
            <w:tcW w:w="5000" w:type="pct"/>
            <w:gridSpan w:val="9"/>
            <w:tcBorders>
              <w:top w:val="nil"/>
              <w:left w:val="nil"/>
              <w:bottom w:val="nil"/>
              <w:right w:val="nil"/>
            </w:tcBorders>
            <w:shd w:val="clear" w:color="auto" w:fill="auto"/>
            <w:vAlign w:val="center"/>
          </w:tcPr>
          <w:p w14:paraId="471C2EEC">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王寨路、金华路跨金水河桥梁工程项目-绩效评价指标体系</w:t>
            </w:r>
          </w:p>
        </w:tc>
      </w:tr>
      <w:tr w14:paraId="26855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blHeader/>
        </w:trPr>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A02C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一级指标</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2649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分值</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D184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二级指标</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CF87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分值</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9ADD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三级指标</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4304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分值</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0F51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指标解释</w:t>
            </w: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9B38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指标说明</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1509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评价标准及评分规则</w:t>
            </w:r>
          </w:p>
        </w:tc>
      </w:tr>
      <w:tr w14:paraId="5EA05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99A3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决 策</w:t>
            </w: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6661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4BFF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项目立项</w:t>
            </w: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672C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5F23E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立项依据充分性</w:t>
            </w: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6054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316A9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项目立项是否符合法律法规、相关政策、发展规划以及部门职责，用以反映和考核项目立项依据情况。</w:t>
            </w: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7CE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7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D4D6D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具备一个得分要素，得到指标分值的20%。</w:t>
            </w:r>
          </w:p>
        </w:tc>
      </w:tr>
      <w:tr w14:paraId="31005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07855B">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D0C85D">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C6C705">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DDC798">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49011A">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98A152">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B996CD">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CBA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①项目立项是否符合国家法律法规、国民经济发展规划和相关政策；</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FE486">
            <w:pPr>
              <w:jc w:val="both"/>
              <w:rPr>
                <w:rFonts w:hint="eastAsia" w:ascii="宋体" w:hAnsi="宋体" w:eastAsia="宋体" w:cs="宋体"/>
                <w:i w:val="0"/>
                <w:iCs w:val="0"/>
                <w:color w:val="000000"/>
                <w:sz w:val="18"/>
                <w:szCs w:val="18"/>
                <w:u w:val="none"/>
              </w:rPr>
            </w:pPr>
          </w:p>
        </w:tc>
      </w:tr>
      <w:tr w14:paraId="3855C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B814DA">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5842B5">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E1FB2">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AE1A8">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563E2">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4068F4">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7FDE8">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A63E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②项目立项是否符合行业发展规划和政策要求；</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17C22C">
            <w:pPr>
              <w:jc w:val="both"/>
              <w:rPr>
                <w:rFonts w:hint="eastAsia" w:ascii="宋体" w:hAnsi="宋体" w:eastAsia="宋体" w:cs="宋体"/>
                <w:i w:val="0"/>
                <w:iCs w:val="0"/>
                <w:color w:val="000000"/>
                <w:sz w:val="18"/>
                <w:szCs w:val="18"/>
                <w:u w:val="none"/>
              </w:rPr>
            </w:pPr>
          </w:p>
        </w:tc>
      </w:tr>
      <w:tr w14:paraId="04EFB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3F4773">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CC235">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8468E8">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560A2F">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6BAB0">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AA6382">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9130EA">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091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③项目立项是否与部门职责范围相符，属于部门履职所需；</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46AF6">
            <w:pPr>
              <w:jc w:val="both"/>
              <w:rPr>
                <w:rFonts w:hint="eastAsia" w:ascii="宋体" w:hAnsi="宋体" w:eastAsia="宋体" w:cs="宋体"/>
                <w:i w:val="0"/>
                <w:iCs w:val="0"/>
                <w:color w:val="000000"/>
                <w:sz w:val="18"/>
                <w:szCs w:val="18"/>
                <w:u w:val="none"/>
              </w:rPr>
            </w:pPr>
          </w:p>
        </w:tc>
      </w:tr>
      <w:tr w14:paraId="4B1A4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45825">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39A69">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F8564">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921DA">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495B26">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834244">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602B7">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B97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④项目是否属于公共财政支持范围，是否符合中央、地方事权支出责任划分原则；</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7C05E7">
            <w:pPr>
              <w:jc w:val="both"/>
              <w:rPr>
                <w:rFonts w:hint="eastAsia" w:ascii="宋体" w:hAnsi="宋体" w:eastAsia="宋体" w:cs="宋体"/>
                <w:i w:val="0"/>
                <w:iCs w:val="0"/>
                <w:color w:val="000000"/>
                <w:sz w:val="18"/>
                <w:szCs w:val="18"/>
                <w:u w:val="none"/>
              </w:rPr>
            </w:pPr>
          </w:p>
        </w:tc>
      </w:tr>
      <w:tr w14:paraId="2370C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20790">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FC17E">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486F5">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17256">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FBCCEC">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8537C">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C5DE6">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88F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⑤该项目是否与相关部门同类项目或者部门内部相关项目交叉重复。</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FF5EC">
            <w:pPr>
              <w:jc w:val="both"/>
              <w:rPr>
                <w:rFonts w:hint="eastAsia" w:ascii="宋体" w:hAnsi="宋体" w:eastAsia="宋体" w:cs="宋体"/>
                <w:i w:val="0"/>
                <w:iCs w:val="0"/>
                <w:color w:val="000000"/>
                <w:sz w:val="18"/>
                <w:szCs w:val="18"/>
                <w:u w:val="none"/>
              </w:rPr>
            </w:pPr>
          </w:p>
        </w:tc>
      </w:tr>
      <w:tr w14:paraId="44D9F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EBE08">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A18039">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7DA3E7">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4AFD52">
            <w:pPr>
              <w:jc w:val="center"/>
              <w:rPr>
                <w:rFonts w:hint="eastAsia" w:ascii="宋体" w:hAnsi="宋体" w:eastAsia="宋体" w:cs="宋体"/>
                <w:i w:val="0"/>
                <w:iCs w:val="0"/>
                <w:color w:val="000000"/>
                <w:sz w:val="18"/>
                <w:szCs w:val="18"/>
                <w:u w:val="none"/>
              </w:rPr>
            </w:pPr>
          </w:p>
        </w:tc>
        <w:tc>
          <w:tcPr>
            <w:tcW w:w="2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6913F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立项程序规范性</w:t>
            </w: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49C0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EB3A0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项目的申请、设立过程是否符合相关要求，用以反映和考核项目立项的规范情况。</w:t>
            </w: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BC28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7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23829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具备要素①和②之一的，得到指标分值的30%；具备要素③，得到指标分值的40%。</w:t>
            </w:r>
          </w:p>
        </w:tc>
      </w:tr>
      <w:tr w14:paraId="0B42E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16E1A0">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34D540">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0E756">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11F5F1">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0DC72">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C9B3F9">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EE292">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90F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①项目是否按照规定的程序申请设立；</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83376">
            <w:pPr>
              <w:jc w:val="both"/>
              <w:rPr>
                <w:rFonts w:hint="eastAsia" w:ascii="宋体" w:hAnsi="宋体" w:eastAsia="宋体" w:cs="宋体"/>
                <w:i w:val="0"/>
                <w:iCs w:val="0"/>
                <w:color w:val="000000"/>
                <w:sz w:val="18"/>
                <w:szCs w:val="18"/>
                <w:u w:val="none"/>
              </w:rPr>
            </w:pPr>
          </w:p>
        </w:tc>
      </w:tr>
      <w:tr w14:paraId="6DED1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3CE068">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C78259">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69BB98">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842A6">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EEE06">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241BB4">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6EDF0">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B7D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②审批文件、材料是否符合相关要求；</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17359">
            <w:pPr>
              <w:jc w:val="both"/>
              <w:rPr>
                <w:rFonts w:hint="eastAsia" w:ascii="宋体" w:hAnsi="宋体" w:eastAsia="宋体" w:cs="宋体"/>
                <w:i w:val="0"/>
                <w:iCs w:val="0"/>
                <w:color w:val="000000"/>
                <w:sz w:val="18"/>
                <w:szCs w:val="18"/>
                <w:u w:val="none"/>
              </w:rPr>
            </w:pPr>
          </w:p>
        </w:tc>
      </w:tr>
      <w:tr w14:paraId="307E9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7320F8">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DEB21">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0D9AA">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8F0B5">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0CA2B">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44C5E">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1B1512">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8B3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③事前是否已经过必要的可行性研究、专家论证、风险评估、集体决策等。</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EA842">
            <w:pPr>
              <w:jc w:val="both"/>
              <w:rPr>
                <w:rFonts w:hint="eastAsia" w:ascii="宋体" w:hAnsi="宋体" w:eastAsia="宋体" w:cs="宋体"/>
                <w:i w:val="0"/>
                <w:iCs w:val="0"/>
                <w:color w:val="000000"/>
                <w:sz w:val="18"/>
                <w:szCs w:val="18"/>
                <w:u w:val="none"/>
              </w:rPr>
            </w:pPr>
          </w:p>
        </w:tc>
      </w:tr>
      <w:tr w14:paraId="28322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E9A98">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F08D73">
            <w:pPr>
              <w:jc w:val="center"/>
              <w:rPr>
                <w:rFonts w:hint="eastAsia" w:ascii="宋体" w:hAnsi="宋体" w:eastAsia="宋体" w:cs="宋体"/>
                <w:i w:val="0"/>
                <w:iCs w:val="0"/>
                <w:color w:val="000000"/>
                <w:sz w:val="18"/>
                <w:szCs w:val="18"/>
                <w:u w:val="none"/>
              </w:rPr>
            </w:pP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65B3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绩效目标</w:t>
            </w: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A2A3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3DF8F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绩效目标合理性</w:t>
            </w: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6F37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D5B3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项目所设定的绩效目标是否符合实际、切实可行，用以反映和考核项目绩效目标与项目实施的相符情况。</w:t>
            </w: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D45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评价要点：（如未要求制定预算绩效目标，也可考核其他工作任务目标）</w:t>
            </w:r>
          </w:p>
        </w:tc>
        <w:tc>
          <w:tcPr>
            <w:tcW w:w="7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48817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具备要素①，得到指标分值的50%；如不具备，该指标分值为0。具备要素②③，分别得到指标分值的25%。</w:t>
            </w:r>
          </w:p>
        </w:tc>
      </w:tr>
      <w:tr w14:paraId="3707D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55475">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9D804">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A6F2CE">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A16601">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B8AA8">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20E91">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892BC">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391B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①项目是否有绩效目标；</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48701B">
            <w:pPr>
              <w:jc w:val="both"/>
              <w:rPr>
                <w:rFonts w:hint="eastAsia" w:ascii="宋体" w:hAnsi="宋体" w:eastAsia="宋体" w:cs="宋体"/>
                <w:i w:val="0"/>
                <w:iCs w:val="0"/>
                <w:color w:val="000000"/>
                <w:sz w:val="18"/>
                <w:szCs w:val="18"/>
                <w:u w:val="none"/>
              </w:rPr>
            </w:pPr>
          </w:p>
        </w:tc>
      </w:tr>
      <w:tr w14:paraId="28235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6CCA1">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6407AC">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06DB8D">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633009">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A8FC1">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C82A5">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ED869">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4E9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②项目绩效目标与实际工作内容是否具有相关性；</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2EB68">
            <w:pPr>
              <w:jc w:val="both"/>
              <w:rPr>
                <w:rFonts w:hint="eastAsia" w:ascii="宋体" w:hAnsi="宋体" w:eastAsia="宋体" w:cs="宋体"/>
                <w:i w:val="0"/>
                <w:iCs w:val="0"/>
                <w:color w:val="000000"/>
                <w:sz w:val="18"/>
                <w:szCs w:val="18"/>
                <w:u w:val="none"/>
              </w:rPr>
            </w:pPr>
          </w:p>
        </w:tc>
      </w:tr>
      <w:tr w14:paraId="26D9C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335022">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90E25D">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E4C10">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61D3E">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FC3148">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D98356">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5F40C8">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D5B4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③项目预期产出和效果是否符合正常的业绩水平。</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2E05D">
            <w:pPr>
              <w:jc w:val="both"/>
              <w:rPr>
                <w:rFonts w:hint="eastAsia" w:ascii="宋体" w:hAnsi="宋体" w:eastAsia="宋体" w:cs="宋体"/>
                <w:i w:val="0"/>
                <w:iCs w:val="0"/>
                <w:color w:val="000000"/>
                <w:sz w:val="18"/>
                <w:szCs w:val="18"/>
                <w:u w:val="none"/>
              </w:rPr>
            </w:pPr>
          </w:p>
        </w:tc>
      </w:tr>
      <w:tr w14:paraId="6A683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57DFA3">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168CC2">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F76AD">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2CDB68">
            <w:pPr>
              <w:jc w:val="center"/>
              <w:rPr>
                <w:rFonts w:hint="eastAsia" w:ascii="宋体" w:hAnsi="宋体" w:eastAsia="宋体" w:cs="宋体"/>
                <w:i w:val="0"/>
                <w:iCs w:val="0"/>
                <w:color w:val="000000"/>
                <w:sz w:val="18"/>
                <w:szCs w:val="18"/>
                <w:u w:val="none"/>
              </w:rPr>
            </w:pPr>
          </w:p>
        </w:tc>
        <w:tc>
          <w:tcPr>
            <w:tcW w:w="2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69CD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绩效指标明确性</w:t>
            </w: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D829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490FF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依据绩效目标设定的绩效指标是否清晰、细化、可衡量等，用以反映和考核项目绩效目标的明细化情况。</w:t>
            </w: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5EB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7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5CE5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具备得分要素①，得到指标分值的40%；具备得分要素②和③，各得到指标分值的30%。</w:t>
            </w:r>
          </w:p>
        </w:tc>
      </w:tr>
      <w:tr w14:paraId="697B9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A4687">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075D9B">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BCAD8F">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58C96">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962A3">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1299A0">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33D362">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C32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①是否将项目绩效目标细化分解为具体的绩效指标；</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449C95">
            <w:pPr>
              <w:jc w:val="left"/>
              <w:rPr>
                <w:rFonts w:hint="eastAsia" w:ascii="宋体" w:hAnsi="宋体" w:eastAsia="宋体" w:cs="宋体"/>
                <w:i w:val="0"/>
                <w:iCs w:val="0"/>
                <w:color w:val="000000"/>
                <w:sz w:val="18"/>
                <w:szCs w:val="18"/>
                <w:u w:val="none"/>
              </w:rPr>
            </w:pPr>
          </w:p>
        </w:tc>
      </w:tr>
      <w:tr w14:paraId="0B5C8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AC066">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5B1464">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A065D">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0637E6">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20877D">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077DE5">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799F2">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2B3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②是否通过清晰、可衡量的指标值予以体现；</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64FB7C">
            <w:pPr>
              <w:jc w:val="left"/>
              <w:rPr>
                <w:rFonts w:hint="eastAsia" w:ascii="宋体" w:hAnsi="宋体" w:eastAsia="宋体" w:cs="宋体"/>
                <w:i w:val="0"/>
                <w:iCs w:val="0"/>
                <w:color w:val="000000"/>
                <w:sz w:val="18"/>
                <w:szCs w:val="18"/>
                <w:u w:val="none"/>
              </w:rPr>
            </w:pPr>
          </w:p>
        </w:tc>
      </w:tr>
      <w:tr w14:paraId="46C0E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1C531">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DF68F">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56F72">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E27981">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9851F">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342E5">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4D919B">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A0B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③是否与项目目标任务数或计划数相对应。</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E7FD1">
            <w:pPr>
              <w:jc w:val="left"/>
              <w:rPr>
                <w:rFonts w:hint="eastAsia" w:ascii="宋体" w:hAnsi="宋体" w:eastAsia="宋体" w:cs="宋体"/>
                <w:i w:val="0"/>
                <w:iCs w:val="0"/>
                <w:color w:val="000000"/>
                <w:sz w:val="18"/>
                <w:szCs w:val="18"/>
                <w:u w:val="none"/>
              </w:rPr>
            </w:pPr>
          </w:p>
        </w:tc>
      </w:tr>
      <w:tr w14:paraId="38229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BBE1AC">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E7E2AA">
            <w:pPr>
              <w:jc w:val="center"/>
              <w:rPr>
                <w:rFonts w:hint="eastAsia" w:ascii="宋体" w:hAnsi="宋体" w:eastAsia="宋体" w:cs="宋体"/>
                <w:i w:val="0"/>
                <w:iCs w:val="0"/>
                <w:color w:val="000000"/>
                <w:sz w:val="18"/>
                <w:szCs w:val="18"/>
                <w:u w:val="none"/>
              </w:rPr>
            </w:pP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7DF8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资金安排</w:t>
            </w: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9A1A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4CB3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预算编制合理性</w:t>
            </w: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529F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64DF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项目预算编制是否经过科学论证、有明确标准，资金额度与年度目标是否相适应，用以反映和考核项目预算编制的科学性、合理性情况。</w:t>
            </w: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8C5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7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4E41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具备一个得分要素，得到指标分值的25%。</w:t>
            </w:r>
          </w:p>
        </w:tc>
      </w:tr>
      <w:tr w14:paraId="530C7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7C0FC">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6D2DB">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B063DC">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86919B">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65C679">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73E91">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83BB2">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DFD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①预算编制是否经过论证；</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3AE9A5">
            <w:pPr>
              <w:jc w:val="left"/>
              <w:rPr>
                <w:rFonts w:hint="eastAsia" w:ascii="宋体" w:hAnsi="宋体" w:eastAsia="宋体" w:cs="宋体"/>
                <w:i w:val="0"/>
                <w:iCs w:val="0"/>
                <w:color w:val="000000"/>
                <w:sz w:val="18"/>
                <w:szCs w:val="18"/>
                <w:u w:val="none"/>
              </w:rPr>
            </w:pPr>
          </w:p>
        </w:tc>
      </w:tr>
      <w:tr w14:paraId="388C8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FA7B9">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FB620">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8A147">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31F24">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DF312">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5D61F">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67B2ED">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C04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②预算内容与项目实际内容是否匹配；</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A8CE9C">
            <w:pPr>
              <w:jc w:val="left"/>
              <w:rPr>
                <w:rFonts w:hint="eastAsia" w:ascii="宋体" w:hAnsi="宋体" w:eastAsia="宋体" w:cs="宋体"/>
                <w:i w:val="0"/>
                <w:iCs w:val="0"/>
                <w:color w:val="000000"/>
                <w:sz w:val="18"/>
                <w:szCs w:val="18"/>
                <w:u w:val="none"/>
              </w:rPr>
            </w:pPr>
          </w:p>
        </w:tc>
      </w:tr>
      <w:tr w14:paraId="22F80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FBC063">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925E20">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B6467">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58568">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405C1">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19CBD">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1DDED">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1D19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③预算额度测算依据是否充分，是否按标准编制；</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4EC3BC">
            <w:pPr>
              <w:jc w:val="left"/>
              <w:rPr>
                <w:rFonts w:hint="eastAsia" w:ascii="宋体" w:hAnsi="宋体" w:eastAsia="宋体" w:cs="宋体"/>
                <w:i w:val="0"/>
                <w:iCs w:val="0"/>
                <w:color w:val="000000"/>
                <w:sz w:val="18"/>
                <w:szCs w:val="18"/>
                <w:u w:val="none"/>
              </w:rPr>
            </w:pPr>
          </w:p>
        </w:tc>
      </w:tr>
      <w:tr w14:paraId="4C306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A6A419">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F11D22">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EE81F">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D87AC">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781EDF">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6E3555">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302E2">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2FB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④预算确定的项目投资额或资金量是否经过财政评审。</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77979D">
            <w:pPr>
              <w:jc w:val="left"/>
              <w:rPr>
                <w:rFonts w:hint="eastAsia" w:ascii="宋体" w:hAnsi="宋体" w:eastAsia="宋体" w:cs="宋体"/>
                <w:i w:val="0"/>
                <w:iCs w:val="0"/>
                <w:color w:val="000000"/>
                <w:sz w:val="18"/>
                <w:szCs w:val="18"/>
                <w:u w:val="none"/>
              </w:rPr>
            </w:pPr>
          </w:p>
        </w:tc>
      </w:tr>
      <w:tr w14:paraId="4598B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9E1E6">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EAE6D">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72F6D">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610A7">
            <w:pPr>
              <w:jc w:val="center"/>
              <w:rPr>
                <w:rFonts w:hint="eastAsia" w:ascii="宋体" w:hAnsi="宋体" w:eastAsia="宋体" w:cs="宋体"/>
                <w:i w:val="0"/>
                <w:iCs w:val="0"/>
                <w:color w:val="000000"/>
                <w:sz w:val="18"/>
                <w:szCs w:val="18"/>
                <w:u w:val="none"/>
              </w:rPr>
            </w:pPr>
          </w:p>
        </w:tc>
        <w:tc>
          <w:tcPr>
            <w:tcW w:w="2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3AF10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资金分配合理性</w:t>
            </w: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97B7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3824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项目预算资金分配是否有测算依据，与地方实际是否相适应，用以反映和考核项目预算资金分配的科学性、合理性情况。</w:t>
            </w: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338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7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7259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具备一个得分要素，得到指标分值的50%。</w:t>
            </w:r>
          </w:p>
        </w:tc>
      </w:tr>
      <w:tr w14:paraId="52A31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66F79">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8AE91C">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932F2">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0FC050">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6C05E">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1EFDE9">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4F2F1">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148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①预算资金分配依据是否充分；</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C04B66">
            <w:pPr>
              <w:jc w:val="left"/>
              <w:rPr>
                <w:rFonts w:hint="eastAsia" w:ascii="宋体" w:hAnsi="宋体" w:eastAsia="宋体" w:cs="宋体"/>
                <w:i w:val="0"/>
                <w:iCs w:val="0"/>
                <w:color w:val="000000"/>
                <w:sz w:val="18"/>
                <w:szCs w:val="18"/>
                <w:u w:val="none"/>
              </w:rPr>
            </w:pPr>
          </w:p>
        </w:tc>
      </w:tr>
      <w:tr w14:paraId="059A1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B07CC">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FB65A">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56B608">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F7D63">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FC2CF">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09B60">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45198">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25A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②资金分配额度是否合理，与地方实际是否相适应。</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85DDD">
            <w:pPr>
              <w:jc w:val="left"/>
              <w:rPr>
                <w:rFonts w:hint="eastAsia" w:ascii="宋体" w:hAnsi="宋体" w:eastAsia="宋体" w:cs="宋体"/>
                <w:i w:val="0"/>
                <w:iCs w:val="0"/>
                <w:color w:val="000000"/>
                <w:sz w:val="18"/>
                <w:szCs w:val="18"/>
                <w:u w:val="none"/>
              </w:rPr>
            </w:pPr>
          </w:p>
        </w:tc>
      </w:tr>
      <w:tr w14:paraId="08FD0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BAF5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管理</w:t>
            </w: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E81C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15CE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业务管理</w:t>
            </w: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4716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52F4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管理制度健全性</w:t>
            </w: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25D8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B8B2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项目实施单位的业务管理制度是否健全，用以反映和考核业务管理制度对项目顺利实施的保障情况。</w:t>
            </w: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856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7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755E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具备一个得分要素，得到指标分值的50%。</w:t>
            </w:r>
          </w:p>
        </w:tc>
      </w:tr>
      <w:tr w14:paraId="2C92C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31248">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13E41">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A8938">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4D438">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D2EB0">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E3260E">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C29444">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9FD8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①是否已制定或具有相应的业务管理制度；</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22A0B9">
            <w:pPr>
              <w:jc w:val="left"/>
              <w:rPr>
                <w:rFonts w:hint="eastAsia" w:ascii="宋体" w:hAnsi="宋体" w:eastAsia="宋体" w:cs="宋体"/>
                <w:i w:val="0"/>
                <w:iCs w:val="0"/>
                <w:color w:val="000000"/>
                <w:sz w:val="18"/>
                <w:szCs w:val="18"/>
                <w:u w:val="none"/>
              </w:rPr>
            </w:pPr>
          </w:p>
        </w:tc>
      </w:tr>
      <w:tr w14:paraId="58BC2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AD544">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E96577">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7D54A">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535E1">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AA794">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680E0">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F72B8">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007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②业务管理制度是否合法、合规、完整。</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3995B">
            <w:pPr>
              <w:jc w:val="left"/>
              <w:rPr>
                <w:rFonts w:hint="eastAsia" w:ascii="宋体" w:hAnsi="宋体" w:eastAsia="宋体" w:cs="宋体"/>
                <w:i w:val="0"/>
                <w:iCs w:val="0"/>
                <w:color w:val="000000"/>
                <w:sz w:val="18"/>
                <w:szCs w:val="18"/>
                <w:u w:val="none"/>
              </w:rPr>
            </w:pPr>
          </w:p>
        </w:tc>
      </w:tr>
      <w:tr w14:paraId="615A5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002534">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64B723">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50F41">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2B94E0">
            <w:pPr>
              <w:jc w:val="center"/>
              <w:rPr>
                <w:rFonts w:hint="eastAsia" w:ascii="宋体" w:hAnsi="宋体" w:eastAsia="宋体" w:cs="宋体"/>
                <w:i w:val="0"/>
                <w:iCs w:val="0"/>
                <w:color w:val="000000"/>
                <w:sz w:val="18"/>
                <w:szCs w:val="18"/>
                <w:u w:val="none"/>
              </w:rPr>
            </w:pPr>
          </w:p>
        </w:tc>
        <w:tc>
          <w:tcPr>
            <w:tcW w:w="2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D588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制度执行有效性</w:t>
            </w: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060E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0D84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项目实施是否符合相关业务管理规定，用以反映和考核业务管理制度的有效执行情况。</w:t>
            </w: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8A62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7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1CB7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具备一个得分要素，得到指标分值的25%。</w:t>
            </w:r>
          </w:p>
        </w:tc>
      </w:tr>
      <w:tr w14:paraId="5BB34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7B8E02">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CB945">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FD0B5">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61838">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695E5">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A0E568">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2A4ACA">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AF6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①是否遵守相关法律法规和业务管理规定；</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D1A7E6">
            <w:pPr>
              <w:jc w:val="left"/>
              <w:rPr>
                <w:rFonts w:hint="eastAsia" w:ascii="宋体" w:hAnsi="宋体" w:eastAsia="宋体" w:cs="宋体"/>
                <w:i w:val="0"/>
                <w:iCs w:val="0"/>
                <w:color w:val="000000"/>
                <w:sz w:val="18"/>
                <w:szCs w:val="18"/>
                <w:u w:val="none"/>
              </w:rPr>
            </w:pPr>
          </w:p>
        </w:tc>
      </w:tr>
      <w:tr w14:paraId="118DE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73629">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9F8A8">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DB904">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EDBE7">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6FAB7">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0CC749">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A59539">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F74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②项目调整及支出调整手续是否完备；</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5EEEC">
            <w:pPr>
              <w:jc w:val="left"/>
              <w:rPr>
                <w:rFonts w:hint="eastAsia" w:ascii="宋体" w:hAnsi="宋体" w:eastAsia="宋体" w:cs="宋体"/>
                <w:i w:val="0"/>
                <w:iCs w:val="0"/>
                <w:color w:val="000000"/>
                <w:sz w:val="18"/>
                <w:szCs w:val="18"/>
                <w:u w:val="none"/>
              </w:rPr>
            </w:pPr>
          </w:p>
        </w:tc>
      </w:tr>
      <w:tr w14:paraId="4C091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AD6E2">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BA8BB">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073E0">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1C99E">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6E6ED8">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71E81">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61AACA">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152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③项目合同书、验收报告、技术鉴定等资料是否齐全并及时归档；</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7F480">
            <w:pPr>
              <w:jc w:val="left"/>
              <w:rPr>
                <w:rFonts w:hint="eastAsia" w:ascii="宋体" w:hAnsi="宋体" w:eastAsia="宋体" w:cs="宋体"/>
                <w:i w:val="0"/>
                <w:iCs w:val="0"/>
                <w:color w:val="000000"/>
                <w:sz w:val="18"/>
                <w:szCs w:val="18"/>
                <w:u w:val="none"/>
              </w:rPr>
            </w:pPr>
          </w:p>
        </w:tc>
      </w:tr>
      <w:tr w14:paraId="13E60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B2FF9B">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1F9F13">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0DFF7F">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BB71A6">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F1C15">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75A95">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EDE21">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4B7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④项目实施的人员条件、场地设备、信息支撑等是否落实到位。</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86376">
            <w:pPr>
              <w:jc w:val="left"/>
              <w:rPr>
                <w:rFonts w:hint="eastAsia" w:ascii="宋体" w:hAnsi="宋体" w:eastAsia="宋体" w:cs="宋体"/>
                <w:i w:val="0"/>
                <w:iCs w:val="0"/>
                <w:color w:val="000000"/>
                <w:sz w:val="18"/>
                <w:szCs w:val="18"/>
                <w:u w:val="none"/>
              </w:rPr>
            </w:pPr>
          </w:p>
        </w:tc>
      </w:tr>
      <w:tr w14:paraId="4C0FB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A9E9A3">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46758">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908CE">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469107">
            <w:pPr>
              <w:jc w:val="center"/>
              <w:rPr>
                <w:rFonts w:hint="eastAsia" w:ascii="宋体" w:hAnsi="宋体" w:eastAsia="宋体" w:cs="宋体"/>
                <w:i w:val="0"/>
                <w:iCs w:val="0"/>
                <w:color w:val="000000"/>
                <w:sz w:val="18"/>
                <w:szCs w:val="18"/>
                <w:u w:val="none"/>
              </w:rPr>
            </w:pPr>
          </w:p>
        </w:tc>
        <w:tc>
          <w:tcPr>
            <w:tcW w:w="2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471C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项目质量可控性</w:t>
            </w: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BA55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90AD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项目实施单位是否为达到项目质量要求而采取了必需的措施,用以反映和考核项目实施单位对项目质量的控制情况。</w:t>
            </w: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52FD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7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FA153D">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具备一个得分要素，得到指标分值的50%。</w:t>
            </w:r>
          </w:p>
        </w:tc>
      </w:tr>
      <w:tr w14:paraId="39E23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DCF04">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5DEB5E">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B353F">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0EFCE">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5C9BA">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D1E19B">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7EFE1">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8F8B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①是否已制定或具有相应的项目质量要求或标准；</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0E5E9">
            <w:pPr>
              <w:jc w:val="both"/>
              <w:rPr>
                <w:rFonts w:hint="eastAsia" w:ascii="宋体" w:hAnsi="宋体" w:eastAsia="宋体" w:cs="宋体"/>
                <w:i w:val="0"/>
                <w:iCs w:val="0"/>
                <w:color w:val="000000"/>
                <w:sz w:val="18"/>
                <w:szCs w:val="18"/>
                <w:u w:val="none"/>
              </w:rPr>
            </w:pPr>
          </w:p>
        </w:tc>
      </w:tr>
      <w:tr w14:paraId="3BF9E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3F37B">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41D057">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4A6ECB">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237C1D">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ED6B7">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933C73">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A49EB">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F4C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②是否采取了相应的项目质量检查、验收等必需的控制措施或手段。</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95EB9">
            <w:pPr>
              <w:jc w:val="both"/>
              <w:rPr>
                <w:rFonts w:hint="eastAsia" w:ascii="宋体" w:hAnsi="宋体" w:eastAsia="宋体" w:cs="宋体"/>
                <w:i w:val="0"/>
                <w:iCs w:val="0"/>
                <w:color w:val="000000"/>
                <w:sz w:val="18"/>
                <w:szCs w:val="18"/>
                <w:u w:val="none"/>
              </w:rPr>
            </w:pPr>
          </w:p>
        </w:tc>
      </w:tr>
      <w:tr w14:paraId="42AF3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7E1DB4">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51492">
            <w:pPr>
              <w:jc w:val="center"/>
              <w:rPr>
                <w:rFonts w:hint="eastAsia" w:ascii="宋体" w:hAnsi="宋体" w:eastAsia="宋体" w:cs="宋体"/>
                <w:i w:val="0"/>
                <w:iCs w:val="0"/>
                <w:color w:val="000000"/>
                <w:sz w:val="18"/>
                <w:szCs w:val="18"/>
                <w:u w:val="none"/>
              </w:rPr>
            </w:pP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B464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预算管理</w:t>
            </w: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4DDB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00B7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资金到位率</w:t>
            </w: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F351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704BC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实际到位资金与计划投入资金的比率，用以反映和考核资金落实情况对项目实施的总体保障程度。</w:t>
            </w: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861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资金到位率=（实际到位资金/计划投入资金）×100%。</w:t>
            </w:r>
          </w:p>
        </w:tc>
        <w:tc>
          <w:tcPr>
            <w:tcW w:w="7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71B3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资金到位率≦100%，且未对项目开展造成不良影响，得分等于指标分值*资金到位率；资金到位率﹤100%，且对项目开展造成不良影响，得分等于0。</w:t>
            </w:r>
          </w:p>
        </w:tc>
      </w:tr>
      <w:tr w14:paraId="5F43C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C67589">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5DF73">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3BA9B">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845A6B">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35BBE4">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CA59C8">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E93E5">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744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实际到位资金：一定时期（本年度或项目期）内实际落实到具体项目的资金。</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99B372">
            <w:pPr>
              <w:jc w:val="left"/>
              <w:rPr>
                <w:rFonts w:hint="eastAsia" w:ascii="宋体" w:hAnsi="宋体" w:eastAsia="宋体" w:cs="宋体"/>
                <w:i w:val="0"/>
                <w:iCs w:val="0"/>
                <w:color w:val="000000"/>
                <w:sz w:val="18"/>
                <w:szCs w:val="18"/>
                <w:u w:val="none"/>
              </w:rPr>
            </w:pPr>
          </w:p>
        </w:tc>
      </w:tr>
      <w:tr w14:paraId="314C6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59650">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812EA">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858442">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AD974C">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669575">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B0B34F">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C76327">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19B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计划投入资金：一定时期（本年度或项目期）内计划投入到具体项目的资金。</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95A86">
            <w:pPr>
              <w:jc w:val="left"/>
              <w:rPr>
                <w:rFonts w:hint="eastAsia" w:ascii="宋体" w:hAnsi="宋体" w:eastAsia="宋体" w:cs="宋体"/>
                <w:i w:val="0"/>
                <w:iCs w:val="0"/>
                <w:color w:val="000000"/>
                <w:sz w:val="18"/>
                <w:szCs w:val="18"/>
                <w:u w:val="none"/>
              </w:rPr>
            </w:pPr>
          </w:p>
        </w:tc>
      </w:tr>
      <w:tr w14:paraId="02729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E98BE">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8DECE7">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CA4D0C">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BFFBB">
            <w:pPr>
              <w:jc w:val="center"/>
              <w:rPr>
                <w:rFonts w:hint="eastAsia" w:ascii="宋体" w:hAnsi="宋体" w:eastAsia="宋体" w:cs="宋体"/>
                <w:i w:val="0"/>
                <w:iCs w:val="0"/>
                <w:color w:val="000000"/>
                <w:sz w:val="18"/>
                <w:szCs w:val="18"/>
                <w:u w:val="none"/>
              </w:rPr>
            </w:pPr>
          </w:p>
        </w:tc>
        <w:tc>
          <w:tcPr>
            <w:tcW w:w="2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8524D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到位及时率</w:t>
            </w: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0FE1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232F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及时到位资金与应到位资金的比率，用以反映和考核项目资金落实的及时性程度。</w:t>
            </w: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552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到位及时率=（及时到位资金/应到位资金）×100%。</w:t>
            </w:r>
          </w:p>
        </w:tc>
        <w:tc>
          <w:tcPr>
            <w:tcW w:w="7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C802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资金到位率≦100%，且未对项目开展造成不良影响，得分等于指标分值*资金到位率；资金到位率﹤100%，且对项目开展造成不良影响，得分等于0。</w:t>
            </w:r>
          </w:p>
        </w:tc>
      </w:tr>
      <w:tr w14:paraId="0B897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B6EF39">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29ACB7">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A0D0E">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92EDB0">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956AF">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76B0C">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4B22E7">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09E6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应到位资金：按照绩效办法、合同或项目进度要求截至规定时点应落实到具体项目的资金。</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7B15F">
            <w:pPr>
              <w:jc w:val="center"/>
              <w:rPr>
                <w:rFonts w:hint="eastAsia" w:ascii="宋体" w:hAnsi="宋体" w:eastAsia="宋体" w:cs="宋体"/>
                <w:i w:val="0"/>
                <w:iCs w:val="0"/>
                <w:color w:val="000000"/>
                <w:sz w:val="18"/>
                <w:szCs w:val="18"/>
                <w:u w:val="none"/>
              </w:rPr>
            </w:pPr>
          </w:p>
        </w:tc>
      </w:tr>
      <w:tr w14:paraId="08BCD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874910">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26EEC3">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065E1">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2AD52">
            <w:pPr>
              <w:jc w:val="center"/>
              <w:rPr>
                <w:rFonts w:hint="eastAsia" w:ascii="宋体" w:hAnsi="宋体" w:eastAsia="宋体" w:cs="宋体"/>
                <w:i w:val="0"/>
                <w:iCs w:val="0"/>
                <w:color w:val="000000"/>
                <w:sz w:val="18"/>
                <w:szCs w:val="18"/>
                <w:u w:val="none"/>
              </w:rPr>
            </w:pPr>
          </w:p>
        </w:tc>
        <w:tc>
          <w:tcPr>
            <w:tcW w:w="2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C72C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预算执行率</w:t>
            </w: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7530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774A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项目预算资金是否按照计划执行，用以反映和考核项目预算执行情况。</w:t>
            </w: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3D4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预算执行率=（实际支出资金/实际到位资金）×100%。</w:t>
            </w:r>
          </w:p>
        </w:tc>
        <w:tc>
          <w:tcPr>
            <w:tcW w:w="7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DACA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得分等于指标分值*预算执行率。</w:t>
            </w:r>
          </w:p>
        </w:tc>
      </w:tr>
      <w:tr w14:paraId="3E6C2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5C8EA">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428CEA">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7C4126">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9CC91">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061AC8">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52126">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D18D9">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C8E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①实际支出资金：一定时期（本年度或项目期）内项目实际拨付的资金；</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C93E0">
            <w:pPr>
              <w:jc w:val="left"/>
              <w:rPr>
                <w:rFonts w:hint="eastAsia" w:ascii="宋体" w:hAnsi="宋体" w:eastAsia="宋体" w:cs="宋体"/>
                <w:i w:val="0"/>
                <w:iCs w:val="0"/>
                <w:color w:val="000000"/>
                <w:sz w:val="18"/>
                <w:szCs w:val="18"/>
                <w:u w:val="none"/>
              </w:rPr>
            </w:pPr>
          </w:p>
        </w:tc>
      </w:tr>
      <w:tr w14:paraId="3A154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4B86A7">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086E1">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9A0E7">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C7F358">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ED6811">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D4BFD4">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11492">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AA0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②实际到位资金：一定时期（本年度或项目期）内实际落实到具体项目的资金。</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2421B1">
            <w:pPr>
              <w:jc w:val="left"/>
              <w:rPr>
                <w:rFonts w:hint="eastAsia" w:ascii="宋体" w:hAnsi="宋体" w:eastAsia="宋体" w:cs="宋体"/>
                <w:i w:val="0"/>
                <w:iCs w:val="0"/>
                <w:color w:val="000000"/>
                <w:sz w:val="18"/>
                <w:szCs w:val="18"/>
                <w:u w:val="none"/>
              </w:rPr>
            </w:pPr>
          </w:p>
        </w:tc>
      </w:tr>
      <w:tr w14:paraId="5BA2B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435DBA">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43ACC">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4D6B3">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4BEFCF">
            <w:pPr>
              <w:jc w:val="center"/>
              <w:rPr>
                <w:rFonts w:hint="eastAsia" w:ascii="宋体" w:hAnsi="宋体" w:eastAsia="宋体" w:cs="宋体"/>
                <w:i w:val="0"/>
                <w:iCs w:val="0"/>
                <w:color w:val="000000"/>
                <w:sz w:val="18"/>
                <w:szCs w:val="18"/>
                <w:u w:val="none"/>
              </w:rPr>
            </w:pPr>
          </w:p>
        </w:tc>
        <w:tc>
          <w:tcPr>
            <w:tcW w:w="2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488F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管理制度健全性</w:t>
            </w: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CBFB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6C1F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项目实施单位的财务制度是否健全，用以反映和考核财务管理制度对资金规范、安全运行的保障情况。</w:t>
            </w: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B21C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7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3DD9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具备一个得分要素，得到指标分值的50%。</w:t>
            </w:r>
          </w:p>
        </w:tc>
      </w:tr>
      <w:tr w14:paraId="4284C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75E6F">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1A034">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BDD81D">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0F667">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42413B">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3D75A9">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CCEB28">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0A9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①是否已制定或具有相应的项目资金管理办法；</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4A4B89">
            <w:pPr>
              <w:jc w:val="left"/>
              <w:rPr>
                <w:rFonts w:hint="eastAsia" w:ascii="宋体" w:hAnsi="宋体" w:eastAsia="宋体" w:cs="宋体"/>
                <w:i w:val="0"/>
                <w:iCs w:val="0"/>
                <w:color w:val="000000"/>
                <w:sz w:val="18"/>
                <w:szCs w:val="18"/>
                <w:u w:val="none"/>
              </w:rPr>
            </w:pPr>
          </w:p>
        </w:tc>
      </w:tr>
      <w:tr w14:paraId="1D483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43584">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D3DC2">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A4DCC8">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A4BFE">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DC4B4">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D97327">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6E719">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8B0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②项目资金管理办法是否符合相关财务会计制度的规定。</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50082">
            <w:pPr>
              <w:jc w:val="left"/>
              <w:rPr>
                <w:rFonts w:hint="eastAsia" w:ascii="宋体" w:hAnsi="宋体" w:eastAsia="宋体" w:cs="宋体"/>
                <w:i w:val="0"/>
                <w:iCs w:val="0"/>
                <w:color w:val="000000"/>
                <w:sz w:val="18"/>
                <w:szCs w:val="18"/>
                <w:u w:val="none"/>
              </w:rPr>
            </w:pPr>
          </w:p>
        </w:tc>
      </w:tr>
      <w:tr w14:paraId="26798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BA793">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F5E44B">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F3105">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B6069">
            <w:pPr>
              <w:jc w:val="center"/>
              <w:rPr>
                <w:rFonts w:hint="eastAsia" w:ascii="宋体" w:hAnsi="宋体" w:eastAsia="宋体" w:cs="宋体"/>
                <w:i w:val="0"/>
                <w:iCs w:val="0"/>
                <w:color w:val="000000"/>
                <w:sz w:val="18"/>
                <w:szCs w:val="18"/>
                <w:u w:val="none"/>
              </w:rPr>
            </w:pPr>
          </w:p>
        </w:tc>
        <w:tc>
          <w:tcPr>
            <w:tcW w:w="2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2E0C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资金使用合规性</w:t>
            </w: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B980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9C6F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项目资金使用是否符合相关的财务管理制度规定，用以反映和考核项目资金的规范运行情况。</w:t>
            </w: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571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7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6883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具备一个得分要素，得到指标分值的20%。但如缺少要素④或⑤指标得分为0。</w:t>
            </w:r>
          </w:p>
        </w:tc>
      </w:tr>
      <w:tr w14:paraId="7ED2A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30B3F">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FC5BD6">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099F41">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0F6F5">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876D3">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7EC3C">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76B2AC">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F31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①是否符合国家财经法规和财务管理制度以及有关专项资金管理办法的规定；</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FB169">
            <w:pPr>
              <w:jc w:val="left"/>
              <w:rPr>
                <w:rFonts w:hint="eastAsia" w:ascii="宋体" w:hAnsi="宋体" w:eastAsia="宋体" w:cs="宋体"/>
                <w:i w:val="0"/>
                <w:iCs w:val="0"/>
                <w:color w:val="000000"/>
                <w:sz w:val="18"/>
                <w:szCs w:val="18"/>
                <w:u w:val="none"/>
              </w:rPr>
            </w:pPr>
          </w:p>
        </w:tc>
      </w:tr>
      <w:tr w14:paraId="4F42C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716C0">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6EBD9E">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B18D81">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483E2">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C655F">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226D9">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5679CA">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E42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②资金的拨付是否有完整的审批程序和手续；</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EAECE8">
            <w:pPr>
              <w:jc w:val="left"/>
              <w:rPr>
                <w:rFonts w:hint="eastAsia" w:ascii="宋体" w:hAnsi="宋体" w:eastAsia="宋体" w:cs="宋体"/>
                <w:i w:val="0"/>
                <w:iCs w:val="0"/>
                <w:color w:val="000000"/>
                <w:sz w:val="18"/>
                <w:szCs w:val="18"/>
                <w:u w:val="none"/>
              </w:rPr>
            </w:pPr>
          </w:p>
        </w:tc>
      </w:tr>
      <w:tr w14:paraId="56DB4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0A1B1">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DD1B3">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7FCFC4">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D6FF1D">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13BAB">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79B398">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6FA3A">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A53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③项目开支是否符合政府采购管理要求；</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F0B477">
            <w:pPr>
              <w:jc w:val="left"/>
              <w:rPr>
                <w:rFonts w:hint="eastAsia" w:ascii="宋体" w:hAnsi="宋体" w:eastAsia="宋体" w:cs="宋体"/>
                <w:i w:val="0"/>
                <w:iCs w:val="0"/>
                <w:color w:val="000000"/>
                <w:sz w:val="18"/>
                <w:szCs w:val="18"/>
                <w:u w:val="none"/>
              </w:rPr>
            </w:pPr>
          </w:p>
        </w:tc>
      </w:tr>
      <w:tr w14:paraId="3912C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CFEB49">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D45CE">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730F3">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4F1E3">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FA78A">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F8CD3">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0255BD">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456A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④是否符合项目预算批复或合同规定的用途；</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A9421">
            <w:pPr>
              <w:jc w:val="left"/>
              <w:rPr>
                <w:rFonts w:hint="eastAsia" w:ascii="宋体" w:hAnsi="宋体" w:eastAsia="宋体" w:cs="宋体"/>
                <w:i w:val="0"/>
                <w:iCs w:val="0"/>
                <w:color w:val="000000"/>
                <w:sz w:val="18"/>
                <w:szCs w:val="18"/>
                <w:u w:val="none"/>
              </w:rPr>
            </w:pPr>
          </w:p>
        </w:tc>
      </w:tr>
      <w:tr w14:paraId="1C5EB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5B6999">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B6FDAA">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0C5A1">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8DB10">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AB39A0">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023D0">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EE0769">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A01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⑤是否存在截留、挤占、挪用、虚列支出等情况。</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6218E">
            <w:pPr>
              <w:jc w:val="left"/>
              <w:rPr>
                <w:rFonts w:hint="eastAsia" w:ascii="宋体" w:hAnsi="宋体" w:eastAsia="宋体" w:cs="宋体"/>
                <w:i w:val="0"/>
                <w:iCs w:val="0"/>
                <w:color w:val="000000"/>
                <w:sz w:val="18"/>
                <w:szCs w:val="18"/>
                <w:u w:val="none"/>
              </w:rPr>
            </w:pPr>
          </w:p>
        </w:tc>
      </w:tr>
      <w:tr w14:paraId="60AA8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00766">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429551">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5654C7">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8E478">
            <w:pPr>
              <w:jc w:val="center"/>
              <w:rPr>
                <w:rFonts w:hint="eastAsia" w:ascii="宋体" w:hAnsi="宋体" w:eastAsia="宋体" w:cs="宋体"/>
                <w:i w:val="0"/>
                <w:iCs w:val="0"/>
                <w:color w:val="000000"/>
                <w:sz w:val="18"/>
                <w:szCs w:val="18"/>
                <w:u w:val="none"/>
              </w:rPr>
            </w:pPr>
          </w:p>
        </w:tc>
        <w:tc>
          <w:tcPr>
            <w:tcW w:w="2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8A811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财务监控有效性</w:t>
            </w: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653A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944E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项目实施单位是否为保障资金的安全、规范运行而采取了必要的监控措施，用以反映和考核项目实施单位对资金运行的控制情况。</w:t>
            </w: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EB0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7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88DC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具备一个得分要素，得到指标分值的50%。</w:t>
            </w:r>
          </w:p>
        </w:tc>
      </w:tr>
      <w:tr w14:paraId="09B46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A1168C">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F4768">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59D234">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D846BF">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3E03AA">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95AD8">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BA9B63">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0CCC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Style w:val="15"/>
                <w:lang w:val="en-US" w:eastAsia="zh-CN" w:bidi="ar"/>
              </w:rPr>
              <w:t>①是否已制定或具有相应的监控机制；</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2BA032">
            <w:pPr>
              <w:jc w:val="left"/>
              <w:rPr>
                <w:rFonts w:hint="eastAsia" w:ascii="宋体" w:hAnsi="宋体" w:eastAsia="宋体" w:cs="宋体"/>
                <w:i w:val="0"/>
                <w:iCs w:val="0"/>
                <w:color w:val="000000"/>
                <w:sz w:val="18"/>
                <w:szCs w:val="18"/>
                <w:u w:val="none"/>
              </w:rPr>
            </w:pPr>
          </w:p>
        </w:tc>
      </w:tr>
      <w:tr w14:paraId="45E08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3544B">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8C204A">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8EFB04">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04D1E3">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97A0D9">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712B73">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F4A76">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E81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②是否采取了相应的财务检查等必要的监控措施或手段。</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6C0D0">
            <w:pPr>
              <w:jc w:val="left"/>
              <w:rPr>
                <w:rFonts w:hint="eastAsia" w:ascii="宋体" w:hAnsi="宋体" w:eastAsia="宋体" w:cs="宋体"/>
                <w:i w:val="0"/>
                <w:iCs w:val="0"/>
                <w:color w:val="000000"/>
                <w:sz w:val="18"/>
                <w:szCs w:val="18"/>
                <w:u w:val="none"/>
              </w:rPr>
            </w:pPr>
          </w:p>
        </w:tc>
      </w:tr>
      <w:tr w14:paraId="6C228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1A36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 出</w:t>
            </w: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A2D0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69BC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产出数量</w:t>
            </w: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30BB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8A88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实际完成率</w:t>
            </w: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AFAF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D69F7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项目实施的实际产出数与计划产出数的比率，用以反映和考核项目产出数量目标的实现程度。</w:t>
            </w: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422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实际完成率=（实际产出数/计划产出数）×100%。</w:t>
            </w:r>
          </w:p>
        </w:tc>
        <w:tc>
          <w:tcPr>
            <w:tcW w:w="7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0B92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得分等于指标分值*实际完成率；</w:t>
            </w:r>
          </w:p>
        </w:tc>
      </w:tr>
      <w:tr w14:paraId="6F727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70AD10">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0BEBF6">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595FBB">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5B8FB">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92FC0">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1530D">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48AD38">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350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实际产出数：一定时期（本年度或项目期）内项目实际产出的产品或提供的服务数量。</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F54BEF">
            <w:pPr>
              <w:jc w:val="left"/>
              <w:rPr>
                <w:rFonts w:hint="eastAsia" w:ascii="宋体" w:hAnsi="宋体" w:eastAsia="宋体" w:cs="宋体"/>
                <w:i w:val="0"/>
                <w:iCs w:val="0"/>
                <w:color w:val="000000"/>
                <w:sz w:val="18"/>
                <w:szCs w:val="18"/>
                <w:u w:val="none"/>
              </w:rPr>
            </w:pPr>
          </w:p>
        </w:tc>
      </w:tr>
      <w:tr w14:paraId="21AB4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24DD4">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12B72">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66DBC8">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802D3C">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FB05E">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A3352C">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91E6F">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F0D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计划产出数：项目绩效目标确定的在一定时期(年度或项目期)内计划产出的产品或提供的服务数量</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D77D5">
            <w:pPr>
              <w:jc w:val="left"/>
              <w:rPr>
                <w:rFonts w:hint="eastAsia" w:ascii="宋体" w:hAnsi="宋体" w:eastAsia="宋体" w:cs="宋体"/>
                <w:i w:val="0"/>
                <w:iCs w:val="0"/>
                <w:color w:val="000000"/>
                <w:sz w:val="18"/>
                <w:szCs w:val="18"/>
                <w:u w:val="none"/>
              </w:rPr>
            </w:pPr>
          </w:p>
        </w:tc>
      </w:tr>
      <w:tr w14:paraId="4C1DD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E2269">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E4D88E">
            <w:pPr>
              <w:jc w:val="center"/>
              <w:rPr>
                <w:rFonts w:hint="eastAsia" w:ascii="宋体" w:hAnsi="宋体" w:eastAsia="宋体" w:cs="宋体"/>
                <w:i w:val="0"/>
                <w:iCs w:val="0"/>
                <w:color w:val="000000"/>
                <w:sz w:val="18"/>
                <w:szCs w:val="18"/>
                <w:u w:val="none"/>
              </w:rPr>
            </w:pP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CA26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产出时效</w:t>
            </w: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9F30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39AC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完成及时率</w:t>
            </w: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9731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03C0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项目实际提前完成时间与计划完成时间的比率，用以反映和考核项目产出时效目标的实现程度。</w:t>
            </w: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017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完成及时率=[（计划完成时间-实际完成时间）/计划完成时间]×100%。</w:t>
            </w:r>
          </w:p>
        </w:tc>
        <w:tc>
          <w:tcPr>
            <w:tcW w:w="7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AFA6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扣分分值=指标分值*完成及时率；</w:t>
            </w:r>
          </w:p>
        </w:tc>
      </w:tr>
      <w:tr w14:paraId="6B167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C8313A">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A722C6">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07E83">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26E6B6">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348721">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27BB1">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C1045">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1357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实际完成时间：项目实施单位完成该项目实际所耗用的时间。</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3C8E2F">
            <w:pPr>
              <w:jc w:val="left"/>
              <w:rPr>
                <w:rFonts w:hint="eastAsia" w:ascii="宋体" w:hAnsi="宋体" w:eastAsia="宋体" w:cs="宋体"/>
                <w:i w:val="0"/>
                <w:iCs w:val="0"/>
                <w:color w:val="000000"/>
                <w:sz w:val="18"/>
                <w:szCs w:val="18"/>
                <w:u w:val="none"/>
              </w:rPr>
            </w:pPr>
          </w:p>
        </w:tc>
      </w:tr>
      <w:tr w14:paraId="79793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D664A">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3518B">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6A35F7">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5FFBE">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F5885">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5E9BD">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7E4D8">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E15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计划完成时间：按照项目施工合同规定完成该项目所需的时间。</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81D7C4">
            <w:pPr>
              <w:jc w:val="left"/>
              <w:rPr>
                <w:rFonts w:hint="eastAsia" w:ascii="宋体" w:hAnsi="宋体" w:eastAsia="宋体" w:cs="宋体"/>
                <w:i w:val="0"/>
                <w:iCs w:val="0"/>
                <w:color w:val="000000"/>
                <w:sz w:val="18"/>
                <w:szCs w:val="18"/>
                <w:u w:val="none"/>
              </w:rPr>
            </w:pPr>
          </w:p>
        </w:tc>
      </w:tr>
      <w:tr w14:paraId="234EB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83933">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E792C4">
            <w:pPr>
              <w:jc w:val="center"/>
              <w:rPr>
                <w:rFonts w:hint="eastAsia" w:ascii="宋体" w:hAnsi="宋体" w:eastAsia="宋体" w:cs="宋体"/>
                <w:i w:val="0"/>
                <w:iCs w:val="0"/>
                <w:color w:val="000000"/>
                <w:sz w:val="18"/>
                <w:szCs w:val="18"/>
                <w:u w:val="none"/>
              </w:rPr>
            </w:pP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74CB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产出质量</w:t>
            </w: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582C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4E536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质量达标率</w:t>
            </w: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5F81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C1A0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项目完成的质量达标产出数与实际产出数的比率，用以反映和考核项目产出质量目标的实现程度。</w:t>
            </w: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E71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质量达标率=（质量达标产出数/实际产出数）×100%。</w:t>
            </w:r>
          </w:p>
        </w:tc>
        <w:tc>
          <w:tcPr>
            <w:tcW w:w="7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173D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得分等于指标分值*质量达标率。</w:t>
            </w:r>
          </w:p>
        </w:tc>
      </w:tr>
      <w:tr w14:paraId="65F6D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E47C34">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B2CDB">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E14F7">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89CDE">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BFC4A">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2A2E90">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174DD">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C8A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质量达标产出数：一定时期（本年度或项目期）内实际达到既定质量标准的产品或服务数量。</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C0259">
            <w:pPr>
              <w:jc w:val="left"/>
              <w:rPr>
                <w:rFonts w:hint="eastAsia" w:ascii="宋体" w:hAnsi="宋体" w:eastAsia="宋体" w:cs="宋体"/>
                <w:i w:val="0"/>
                <w:iCs w:val="0"/>
                <w:color w:val="000000"/>
                <w:sz w:val="18"/>
                <w:szCs w:val="18"/>
                <w:u w:val="none"/>
              </w:rPr>
            </w:pPr>
          </w:p>
        </w:tc>
      </w:tr>
      <w:tr w14:paraId="22353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8A479A">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CFBCB0">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2AFC69">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702B6D">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E4A3A">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A213B">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671F30">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C55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既定质量标准是指项目实施单位设立绩效目标时依据计划标准、行业标准、历史标准或其他标准而设定的绩效指标值。</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CA03A">
            <w:pPr>
              <w:jc w:val="left"/>
              <w:rPr>
                <w:rFonts w:hint="eastAsia" w:ascii="宋体" w:hAnsi="宋体" w:eastAsia="宋体" w:cs="宋体"/>
                <w:i w:val="0"/>
                <w:iCs w:val="0"/>
                <w:color w:val="000000"/>
                <w:sz w:val="18"/>
                <w:szCs w:val="18"/>
                <w:u w:val="none"/>
              </w:rPr>
            </w:pPr>
          </w:p>
        </w:tc>
      </w:tr>
      <w:tr w14:paraId="2D045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B5023C">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77975C">
            <w:pPr>
              <w:jc w:val="center"/>
              <w:rPr>
                <w:rFonts w:hint="eastAsia" w:ascii="宋体" w:hAnsi="宋体" w:eastAsia="宋体" w:cs="宋体"/>
                <w:i w:val="0"/>
                <w:iCs w:val="0"/>
                <w:color w:val="000000"/>
                <w:sz w:val="18"/>
                <w:szCs w:val="18"/>
                <w:u w:val="none"/>
              </w:rPr>
            </w:pP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4B6B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产出成本</w:t>
            </w: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0741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B2AE8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成本节约率</w:t>
            </w: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ADAE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54B8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完成项目计划工作目标的实际节约成本与计划成本的比率，用以反映和考核项目的成本节约程度。</w:t>
            </w: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C74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成本节约率=[（计划成本-实际成本）/计划成本]×100%。</w:t>
            </w:r>
          </w:p>
        </w:tc>
        <w:tc>
          <w:tcPr>
            <w:tcW w:w="7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68CF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得分等于指标分值*成本节约率/20%</w:t>
            </w:r>
          </w:p>
        </w:tc>
      </w:tr>
      <w:tr w14:paraId="7E89A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4EB8A">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89366">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9CC3DC">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951CF">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35255F">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E3F026">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3086D1">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E5A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实际成本：项目实施单位如期、保质、保量完成既定工作目标实际所耗费的支出。</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6340E">
            <w:pPr>
              <w:jc w:val="left"/>
              <w:rPr>
                <w:rFonts w:hint="eastAsia" w:ascii="宋体" w:hAnsi="宋体" w:eastAsia="宋体" w:cs="宋体"/>
                <w:i w:val="0"/>
                <w:iCs w:val="0"/>
                <w:color w:val="000000"/>
                <w:sz w:val="18"/>
                <w:szCs w:val="18"/>
                <w:u w:val="none"/>
              </w:rPr>
            </w:pPr>
          </w:p>
        </w:tc>
      </w:tr>
      <w:tr w14:paraId="41757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0C86F6">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C7F55C">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61DD58">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BA6F2">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6D71D">
            <w:pPr>
              <w:jc w:val="left"/>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1A987">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A02AE">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7B4E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计划成本：项目实施单位为完成工作目标计划安排的支出，一般以项目预算为参考。</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CC977">
            <w:pPr>
              <w:jc w:val="left"/>
              <w:rPr>
                <w:rFonts w:hint="eastAsia" w:ascii="宋体" w:hAnsi="宋体" w:eastAsia="宋体" w:cs="宋体"/>
                <w:i w:val="0"/>
                <w:iCs w:val="0"/>
                <w:color w:val="000000"/>
                <w:sz w:val="18"/>
                <w:szCs w:val="18"/>
                <w:u w:val="none"/>
              </w:rPr>
            </w:pPr>
          </w:p>
        </w:tc>
      </w:tr>
      <w:tr w14:paraId="73966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5CE7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 果</w:t>
            </w: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86E8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323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经济效益</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362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988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经济效益</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1E3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C63C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项目实施对经济发展所带来的直接或间接影响情况。</w:t>
            </w: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0953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项目为公共基础设施建设，经济效益采用定性指标和问卷调查相结合的方式。</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3B3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桥梁运营通车得4分，问卷分值满分3分，问卷得分等于3*经济指标的问卷平均比例。若桥梁未运营，经济效益得0分。</w:t>
            </w:r>
          </w:p>
        </w:tc>
      </w:tr>
      <w:tr w14:paraId="72F3A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402F41">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F2AAD">
            <w:pPr>
              <w:jc w:val="center"/>
              <w:rPr>
                <w:rFonts w:hint="eastAsia" w:ascii="宋体" w:hAnsi="宋体" w:eastAsia="宋体" w:cs="宋体"/>
                <w:i w:val="0"/>
                <w:iCs w:val="0"/>
                <w:color w:val="000000"/>
                <w:sz w:val="18"/>
                <w:szCs w:val="18"/>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16C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5F8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676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A8D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9D8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项目实施对社会发展所带来的直接或间接影响情况。</w:t>
            </w: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5D9D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项目为公共基础设施建设，社会效益采用定性指标和问卷调查相结合的方式。</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FEB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桥梁运营通车得4分，问卷分值满分3分，问卷得分等于3*经济指标的问卷平均比例。若桥梁未运营，社会效益得0分。</w:t>
            </w:r>
          </w:p>
        </w:tc>
      </w:tr>
      <w:tr w14:paraId="5B2AE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E674A3">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71CAB">
            <w:pPr>
              <w:jc w:val="center"/>
              <w:rPr>
                <w:rFonts w:hint="eastAsia" w:ascii="宋体" w:hAnsi="宋体" w:eastAsia="宋体" w:cs="宋体"/>
                <w:i w:val="0"/>
                <w:iCs w:val="0"/>
                <w:color w:val="000000"/>
                <w:sz w:val="18"/>
                <w:szCs w:val="18"/>
                <w:u w:val="none"/>
              </w:rPr>
            </w:pP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C6B3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w:t>
            </w: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BE46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6ADF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w:t>
            </w: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E3FA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9B9CA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项目后续运行及成效发挥的可持续影响情况。</w:t>
            </w: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709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7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079E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①、②各占3分；③查看验收报告，验收合格得3分，有一处质量缺陷扣1分，最多扣3分。</w:t>
            </w:r>
          </w:p>
        </w:tc>
      </w:tr>
      <w:tr w14:paraId="0AC8A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49AAD9">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DEF7F">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203E76">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3C980">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6B573">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3333DC">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22BA6">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5F79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①是否有桩基承载力检测报告。</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01B18">
            <w:pPr>
              <w:jc w:val="left"/>
              <w:rPr>
                <w:rFonts w:hint="eastAsia" w:ascii="宋体" w:hAnsi="宋体" w:eastAsia="宋体" w:cs="宋体"/>
                <w:i w:val="0"/>
                <w:iCs w:val="0"/>
                <w:color w:val="000000"/>
                <w:sz w:val="18"/>
                <w:szCs w:val="18"/>
                <w:u w:val="none"/>
              </w:rPr>
            </w:pPr>
          </w:p>
        </w:tc>
      </w:tr>
      <w:tr w14:paraId="16CDA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C8DEC9">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CC28E">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6768FE">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AEB1D">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F68F2F">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E7045">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35C84">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1B5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②是否有全部桥梁竣工承载力检测报告。</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E389AF">
            <w:pPr>
              <w:jc w:val="left"/>
              <w:rPr>
                <w:rFonts w:hint="eastAsia" w:ascii="宋体" w:hAnsi="宋体" w:eastAsia="宋体" w:cs="宋体"/>
                <w:i w:val="0"/>
                <w:iCs w:val="0"/>
                <w:color w:val="000000"/>
                <w:sz w:val="18"/>
                <w:szCs w:val="18"/>
                <w:u w:val="none"/>
              </w:rPr>
            </w:pPr>
          </w:p>
        </w:tc>
      </w:tr>
      <w:tr w14:paraId="7075E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4DA8C">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FFE092">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6714D0">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D6C02">
            <w:pPr>
              <w:jc w:val="center"/>
              <w:rPr>
                <w:rFonts w:hint="eastAsia" w:ascii="宋体" w:hAnsi="宋体" w:eastAsia="宋体" w:cs="宋体"/>
                <w:i w:val="0"/>
                <w:iCs w:val="0"/>
                <w:color w:val="000000"/>
                <w:sz w:val="18"/>
                <w:szCs w:val="18"/>
                <w:u w:val="none"/>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CB42E0">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FFA3C">
            <w:pPr>
              <w:jc w:val="center"/>
              <w:rPr>
                <w:rFonts w:hint="eastAsia" w:ascii="宋体" w:hAnsi="宋体" w:eastAsia="宋体" w:cs="宋体"/>
                <w:i w:val="0"/>
                <w:iCs w:val="0"/>
                <w:color w:val="000000"/>
                <w:sz w:val="18"/>
                <w:szCs w:val="18"/>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A144E4">
            <w:pPr>
              <w:jc w:val="left"/>
              <w:rPr>
                <w:rFonts w:hint="eastAsia" w:ascii="宋体" w:hAnsi="宋体" w:eastAsia="宋体" w:cs="宋体"/>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500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③依据项目设计图，桥梁主体结构预计使用50年，栏杆、支座、伸缩缝等易损部件15年，结合项目验收有无质量缺陷酌情扣分。</w:t>
            </w:r>
          </w:p>
        </w:tc>
        <w:tc>
          <w:tcPr>
            <w:tcW w:w="7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63C17">
            <w:pPr>
              <w:jc w:val="left"/>
              <w:rPr>
                <w:rFonts w:hint="eastAsia" w:ascii="宋体" w:hAnsi="宋体" w:eastAsia="宋体" w:cs="宋体"/>
                <w:i w:val="0"/>
                <w:iCs w:val="0"/>
                <w:color w:val="000000"/>
                <w:sz w:val="18"/>
                <w:szCs w:val="18"/>
                <w:u w:val="none"/>
              </w:rPr>
            </w:pPr>
          </w:p>
        </w:tc>
      </w:tr>
      <w:tr w14:paraId="50AB6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30103">
            <w:pPr>
              <w:jc w:val="center"/>
              <w:rPr>
                <w:rFonts w:hint="eastAsia" w:ascii="宋体" w:hAnsi="宋体" w:eastAsia="宋体" w:cs="宋体"/>
                <w:i w:val="0"/>
                <w:iCs w:val="0"/>
                <w:color w:val="000000"/>
                <w:sz w:val="18"/>
                <w:szCs w:val="18"/>
                <w:u w:val="none"/>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B6F563">
            <w:pPr>
              <w:jc w:val="center"/>
              <w:rPr>
                <w:rFonts w:hint="eastAsia" w:ascii="宋体" w:hAnsi="宋体" w:eastAsia="宋体" w:cs="宋体"/>
                <w:i w:val="0"/>
                <w:iCs w:val="0"/>
                <w:color w:val="000000"/>
                <w:sz w:val="18"/>
                <w:szCs w:val="18"/>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722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社会公众或服务对象满意度</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D52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29E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社会公众或服务对象满意度</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1B2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4EB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社会公众或服务对象对项目实施效果的满意程度。</w:t>
            </w: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28D1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社会公众或服务对象是指因该项目实施而受到影响的部门（单位）、群体或个人。一般采取社会调查的方式。</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16F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根据问卷调查</w:t>
            </w:r>
            <w:r>
              <w:rPr>
                <w:rFonts w:hint="eastAsia" w:ascii="宋体" w:hAnsi="宋体" w:cs="宋体"/>
                <w:i w:val="0"/>
                <w:iCs w:val="0"/>
                <w:color w:val="000000"/>
                <w:kern w:val="0"/>
                <w:sz w:val="18"/>
                <w:szCs w:val="18"/>
                <w:u w:val="none"/>
                <w:lang w:val="en-US" w:eastAsia="zh-CN" w:bidi="ar"/>
              </w:rPr>
              <w:t>的</w:t>
            </w:r>
            <w:r>
              <w:rPr>
                <w:rFonts w:hint="eastAsia" w:ascii="宋体" w:hAnsi="宋体" w:eastAsia="宋体" w:cs="宋体"/>
                <w:i w:val="0"/>
                <w:iCs w:val="0"/>
                <w:color w:val="000000"/>
                <w:kern w:val="0"/>
                <w:sz w:val="18"/>
                <w:szCs w:val="18"/>
                <w:u w:val="none"/>
                <w:lang w:val="en-US" w:eastAsia="zh-CN" w:bidi="ar"/>
              </w:rPr>
              <w:t>满意情况确定满意度得分，分值*问卷满意度。</w:t>
            </w:r>
          </w:p>
        </w:tc>
      </w:tr>
      <w:tr w14:paraId="1D4AD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2708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整体评价</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9702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100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A2C78">
            <w:pPr>
              <w:jc w:val="center"/>
              <w:rPr>
                <w:rFonts w:hint="eastAsia" w:ascii="宋体" w:hAnsi="宋体" w:eastAsia="宋体" w:cs="宋体"/>
                <w:b/>
                <w:bCs/>
                <w:i w:val="0"/>
                <w:iCs w:val="0"/>
                <w:color w:val="000000"/>
                <w:sz w:val="18"/>
                <w:szCs w:val="18"/>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DE80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100</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27410">
            <w:pPr>
              <w:jc w:val="center"/>
              <w:rPr>
                <w:rFonts w:hint="eastAsia" w:ascii="宋体" w:hAnsi="宋体" w:eastAsia="宋体" w:cs="宋体"/>
                <w:b/>
                <w:bCs/>
                <w:i w:val="0"/>
                <w:iCs w:val="0"/>
                <w:color w:val="000000"/>
                <w:sz w:val="18"/>
                <w:szCs w:val="18"/>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5B0C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100</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E5528">
            <w:pPr>
              <w:jc w:val="center"/>
              <w:rPr>
                <w:rFonts w:hint="eastAsia" w:ascii="宋体" w:hAnsi="宋体" w:eastAsia="宋体" w:cs="宋体"/>
                <w:b/>
                <w:bCs/>
                <w:i w:val="0"/>
                <w:iCs w:val="0"/>
                <w:color w:val="000000"/>
                <w:sz w:val="18"/>
                <w:szCs w:val="18"/>
                <w:u w:val="none"/>
              </w:rPr>
            </w:pP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D548A">
            <w:pPr>
              <w:jc w:val="center"/>
              <w:rPr>
                <w:rFonts w:hint="eastAsia" w:ascii="宋体" w:hAnsi="宋体" w:eastAsia="宋体" w:cs="宋体"/>
                <w:b/>
                <w:bCs/>
                <w:i w:val="0"/>
                <w:iCs w:val="0"/>
                <w:color w:val="000000"/>
                <w:sz w:val="18"/>
                <w:szCs w:val="18"/>
                <w:u w:val="none"/>
              </w:rPr>
            </w:pP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352B1">
            <w:pPr>
              <w:jc w:val="center"/>
              <w:rPr>
                <w:rFonts w:hint="eastAsia" w:ascii="宋体" w:hAnsi="宋体" w:eastAsia="宋体" w:cs="宋体"/>
                <w:b/>
                <w:bCs/>
                <w:i w:val="0"/>
                <w:iCs w:val="0"/>
                <w:color w:val="000000"/>
                <w:sz w:val="18"/>
                <w:szCs w:val="18"/>
                <w:u w:val="none"/>
              </w:rPr>
            </w:pPr>
          </w:p>
        </w:tc>
      </w:tr>
    </w:tbl>
    <w:p w14:paraId="01B39BC3">
      <w:pPr>
        <w:numPr>
          <w:ilvl w:val="0"/>
          <w:numId w:val="0"/>
        </w:numPr>
        <w:spacing w:line="360" w:lineRule="auto"/>
        <w:jc w:val="left"/>
        <w:rPr>
          <w:rFonts w:hint="eastAsia" w:ascii="宋体" w:hAnsi="宋体" w:eastAsia="宋体" w:cs="宋体"/>
          <w:color w:val="000000" w:themeColor="text1"/>
          <w:kern w:val="44"/>
          <w:sz w:val="28"/>
          <w:szCs w:val="28"/>
          <w:lang w:val="en-US" w:eastAsia="zh-CN"/>
          <w14:textFill>
            <w14:solidFill>
              <w14:schemeClr w14:val="tx1"/>
            </w14:solidFill>
          </w14:textFill>
        </w:rPr>
        <w:sectPr>
          <w:pgSz w:w="16838" w:h="11906" w:orient="landscape"/>
          <w:pgMar w:top="1800" w:right="1440" w:bottom="1800" w:left="1440" w:header="851" w:footer="992" w:gutter="0"/>
          <w:pgNumType w:fmt="decimal"/>
          <w:cols w:space="425" w:num="1"/>
          <w:docGrid w:type="lines" w:linePitch="312" w:charSpace="0"/>
        </w:sectPr>
      </w:pPr>
    </w:p>
    <w:p w14:paraId="7E8763EC">
      <w:pPr>
        <w:numPr>
          <w:ilvl w:val="0"/>
          <w:numId w:val="6"/>
        </w:numPr>
        <w:spacing w:line="360" w:lineRule="auto"/>
        <w:ind w:left="0" w:leftChars="0" w:firstLine="420" w:firstLineChars="0"/>
        <w:jc w:val="left"/>
        <w:outlineLvl w:val="1"/>
        <w:rPr>
          <w:rFonts w:hint="eastAsia" w:ascii="宋体" w:hAnsi="宋体" w:eastAsia="宋体" w:cs="宋体"/>
          <w:color w:val="000000" w:themeColor="text1"/>
          <w:kern w:val="44"/>
          <w:sz w:val="28"/>
          <w:szCs w:val="28"/>
          <w14:textFill>
            <w14:solidFill>
              <w14:schemeClr w14:val="tx1"/>
            </w14:solidFill>
          </w14:textFill>
        </w:rPr>
      </w:pPr>
      <w:bookmarkStart w:id="16" w:name="_Toc7121"/>
      <w:r>
        <w:rPr>
          <w:rFonts w:hint="eastAsia" w:ascii="宋体" w:hAnsi="宋体" w:eastAsia="宋体" w:cs="宋体"/>
          <w:color w:val="000000" w:themeColor="text1"/>
          <w:kern w:val="44"/>
          <w:sz w:val="28"/>
          <w:szCs w:val="28"/>
          <w14:textFill>
            <w14:solidFill>
              <w14:schemeClr w14:val="tx1"/>
            </w14:solidFill>
          </w14:textFill>
        </w:rPr>
        <w:t>评价组织实施</w:t>
      </w:r>
      <w:bookmarkEnd w:id="16"/>
      <w:bookmarkStart w:id="17" w:name="_Toc169183188"/>
    </w:p>
    <w:p w14:paraId="7852CC3B">
      <w:pPr>
        <w:spacing w:line="600" w:lineRule="exact"/>
        <w:ind w:firstLine="627" w:firstLineChars="196"/>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绩效评价工作</w:t>
      </w:r>
      <w:r>
        <w:rPr>
          <w:rFonts w:hint="eastAsia" w:ascii="宋体" w:hAnsi="宋体" w:eastAsia="宋体" w:cs="宋体"/>
          <w:color w:val="000000" w:themeColor="text1"/>
          <w:sz w:val="32"/>
          <w:szCs w:val="32"/>
          <w:lang w:val="en-US" w:eastAsia="zh-CN"/>
          <w14:textFill>
            <w14:solidFill>
              <w14:schemeClr w14:val="tx1"/>
            </w14:solidFill>
          </w14:textFill>
        </w:rPr>
        <w:t>组织实施，</w:t>
      </w:r>
      <w:r>
        <w:rPr>
          <w:rFonts w:hint="eastAsia" w:ascii="宋体" w:hAnsi="宋体" w:eastAsia="宋体" w:cs="宋体"/>
          <w:color w:val="000000" w:themeColor="text1"/>
          <w:sz w:val="32"/>
          <w:szCs w:val="32"/>
          <w14:textFill>
            <w14:solidFill>
              <w14:schemeClr w14:val="tx1"/>
            </w14:solidFill>
          </w14:textFill>
        </w:rPr>
        <w:t>一般分为准备、实施和撰写报告三个阶段。</w:t>
      </w:r>
    </w:p>
    <w:p w14:paraId="0837D365">
      <w:pPr>
        <w:numPr>
          <w:ilvl w:val="0"/>
          <w:numId w:val="11"/>
        </w:numPr>
        <w:spacing w:line="360" w:lineRule="auto"/>
        <w:ind w:left="0" w:leftChars="0" w:firstLine="283" w:firstLineChars="0"/>
        <w:jc w:val="left"/>
        <w:outlineLvl w:val="2"/>
        <w:rPr>
          <w:rFonts w:hint="eastAsia" w:ascii="宋体" w:hAnsi="宋体" w:eastAsia="宋体" w:cs="宋体"/>
          <w:color w:val="000000" w:themeColor="text1"/>
          <w:kern w:val="44"/>
          <w:sz w:val="28"/>
          <w:szCs w:val="28"/>
          <w:lang w:val="en-US" w:eastAsia="zh-CN"/>
          <w14:textFill>
            <w14:solidFill>
              <w14:schemeClr w14:val="tx1"/>
            </w14:solidFill>
          </w14:textFill>
        </w:rPr>
      </w:pPr>
      <w:bookmarkStart w:id="18" w:name="_Toc11487"/>
      <w:r>
        <w:rPr>
          <w:rFonts w:hint="eastAsia" w:ascii="宋体" w:hAnsi="宋体" w:eastAsia="宋体" w:cs="宋体"/>
          <w:color w:val="000000" w:themeColor="text1"/>
          <w:kern w:val="44"/>
          <w:sz w:val="28"/>
          <w:szCs w:val="28"/>
          <w:lang w:val="en-US" w:eastAsia="zh-CN"/>
          <w14:textFill>
            <w14:solidFill>
              <w14:schemeClr w14:val="tx1"/>
            </w14:solidFill>
          </w14:textFill>
        </w:rPr>
        <w:t>绩效评价准备阶段</w:t>
      </w:r>
      <w:bookmarkEnd w:id="18"/>
    </w:p>
    <w:p w14:paraId="3E875BBC">
      <w:pPr>
        <w:pStyle w:val="9"/>
        <w:numPr>
          <w:ilvl w:val="0"/>
          <w:numId w:val="12"/>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确定评价对象。根据三门峡市陕州区财政局《关于开展2024</w:t>
      </w:r>
    </w:p>
    <w:p w14:paraId="6F19F844">
      <w:pPr>
        <w:pStyle w:val="9"/>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年度区级财政支出重点项目绩效评价工作的通知》（三陕财效(2025)5号）的要求，本次绩效评价对象为三门峡市陕州区住房和城乡建设局</w:t>
      </w:r>
    </w:p>
    <w:p w14:paraId="4D089B5A">
      <w:pPr>
        <w:pStyle w:val="9"/>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王寨路、金华路跨金水河桥梁工程项目。</w:t>
      </w:r>
    </w:p>
    <w:p w14:paraId="6806D74B">
      <w:pPr>
        <w:pStyle w:val="9"/>
        <w:numPr>
          <w:ilvl w:val="0"/>
          <w:numId w:val="12"/>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成立评价工作组。根据工作要求结合项目实施情况本单位成</w:t>
      </w:r>
    </w:p>
    <w:p w14:paraId="06F0CD18">
      <w:pPr>
        <w:pStyle w:val="9"/>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立绩效评价工作组，具体负责实施绩效评价。评价工作组主要负责拟定绩效评价工作方案，实施具体绩效评价，撰写并向评价组织者提交绩效评价报告等工作。</w:t>
      </w:r>
    </w:p>
    <w:p w14:paraId="1C09678E">
      <w:pPr>
        <w:pStyle w:val="9"/>
        <w:numPr>
          <w:ilvl w:val="0"/>
          <w:numId w:val="0"/>
        </w:numPr>
        <w:tabs>
          <w:tab w:val="left" w:pos="0"/>
        </w:tabs>
        <w:ind w:firstLine="560" w:firstLineChars="200"/>
        <w:rPr>
          <w:rFonts w:hint="eastAsia" w:ascii="宋体" w:hAnsi="宋体" w:cs="宋体"/>
          <w:color w:val="000000" w:themeColor="text1"/>
          <w:kern w:val="44"/>
          <w:sz w:val="28"/>
          <w:szCs w:val="28"/>
          <w:lang w:val="en-US" w:eastAsia="zh-CN" w:bidi="ar-SA"/>
          <w14:textFill>
            <w14:solidFill>
              <w14:schemeClr w14:val="tx1"/>
            </w14:solidFill>
          </w14:textFill>
        </w:rPr>
      </w:pPr>
      <w:r>
        <w:rPr>
          <w:rFonts w:hint="eastAsia" w:ascii="宋体" w:hAnsi="宋体" w:cs="宋体"/>
          <w:color w:val="000000" w:themeColor="text1"/>
          <w:kern w:val="44"/>
          <w:sz w:val="28"/>
          <w:szCs w:val="28"/>
          <w:lang w:val="en-US" w:eastAsia="zh-CN" w:bidi="ar-SA"/>
          <w14:textFill>
            <w14:solidFill>
              <w14:schemeClr w14:val="tx1"/>
            </w14:solidFill>
          </w14:textFill>
        </w:rPr>
        <w:t>绩效评价工作组人员分工如下：</w:t>
      </w:r>
    </w:p>
    <w:tbl>
      <w:tblPr>
        <w:tblStyle w:val="11"/>
        <w:tblW w:w="8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1650"/>
        <w:gridCol w:w="2160"/>
        <w:gridCol w:w="3750"/>
      </w:tblGrid>
      <w:tr w14:paraId="6C27B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4" w:type="dxa"/>
            <w:vAlign w:val="center"/>
          </w:tcPr>
          <w:p w14:paraId="016596E2">
            <w:pPr>
              <w:pStyle w:val="9"/>
              <w:numPr>
                <w:ilvl w:val="0"/>
                <w:numId w:val="0"/>
              </w:numPr>
              <w:tabs>
                <w:tab w:val="left" w:pos="0"/>
              </w:tabs>
              <w:jc w:val="center"/>
              <w:rPr>
                <w:rFonts w:hint="default" w:ascii="宋体" w:hAnsi="宋体" w:cs="宋体"/>
                <w:b/>
                <w:bCs/>
                <w:color w:val="000000" w:themeColor="text1"/>
                <w:kern w:val="44"/>
                <w:sz w:val="28"/>
                <w:szCs w:val="28"/>
                <w:vertAlign w:val="baseline"/>
                <w:lang w:val="en-US" w:eastAsia="zh-CN" w:bidi="ar-SA"/>
                <w14:textFill>
                  <w14:solidFill>
                    <w14:schemeClr w14:val="tx1"/>
                  </w14:solidFill>
                </w14:textFill>
              </w:rPr>
            </w:pPr>
            <w:r>
              <w:rPr>
                <w:rFonts w:hint="eastAsia" w:ascii="宋体" w:hAnsi="宋体" w:cs="宋体"/>
                <w:b/>
                <w:bCs/>
                <w:color w:val="000000" w:themeColor="text1"/>
                <w:kern w:val="44"/>
                <w:sz w:val="28"/>
                <w:szCs w:val="28"/>
                <w:vertAlign w:val="baseline"/>
                <w:lang w:val="en-US" w:eastAsia="zh-CN" w:bidi="ar-SA"/>
                <w14:textFill>
                  <w14:solidFill>
                    <w14:schemeClr w14:val="tx1"/>
                  </w14:solidFill>
                </w14:textFill>
              </w:rPr>
              <w:t>姓名</w:t>
            </w:r>
          </w:p>
        </w:tc>
        <w:tc>
          <w:tcPr>
            <w:tcW w:w="1650" w:type="dxa"/>
            <w:vAlign w:val="center"/>
          </w:tcPr>
          <w:p w14:paraId="4A614A45">
            <w:pPr>
              <w:pStyle w:val="9"/>
              <w:numPr>
                <w:ilvl w:val="0"/>
                <w:numId w:val="0"/>
              </w:numPr>
              <w:tabs>
                <w:tab w:val="left" w:pos="0"/>
              </w:tabs>
              <w:jc w:val="center"/>
              <w:rPr>
                <w:rFonts w:hint="default" w:ascii="宋体" w:hAnsi="宋体" w:cs="宋体"/>
                <w:b/>
                <w:bCs/>
                <w:color w:val="000000" w:themeColor="text1"/>
                <w:kern w:val="44"/>
                <w:sz w:val="28"/>
                <w:szCs w:val="28"/>
                <w:vertAlign w:val="baseline"/>
                <w:lang w:val="en-US" w:eastAsia="zh-CN" w:bidi="ar-SA"/>
                <w14:textFill>
                  <w14:solidFill>
                    <w14:schemeClr w14:val="tx1"/>
                  </w14:solidFill>
                </w14:textFill>
              </w:rPr>
            </w:pPr>
            <w:r>
              <w:rPr>
                <w:rFonts w:hint="eastAsia" w:ascii="宋体" w:hAnsi="宋体" w:cs="宋体"/>
                <w:b/>
                <w:bCs/>
                <w:color w:val="000000" w:themeColor="text1"/>
                <w:kern w:val="44"/>
                <w:sz w:val="28"/>
                <w:szCs w:val="28"/>
                <w:vertAlign w:val="baseline"/>
                <w:lang w:val="en-US" w:eastAsia="zh-CN" w:bidi="ar-SA"/>
                <w14:textFill>
                  <w14:solidFill>
                    <w14:schemeClr w14:val="tx1"/>
                  </w14:solidFill>
                </w14:textFill>
              </w:rPr>
              <w:t>职务</w:t>
            </w:r>
          </w:p>
        </w:tc>
        <w:tc>
          <w:tcPr>
            <w:tcW w:w="2160" w:type="dxa"/>
            <w:vAlign w:val="center"/>
          </w:tcPr>
          <w:p w14:paraId="6F9BD87A">
            <w:pPr>
              <w:pStyle w:val="9"/>
              <w:numPr>
                <w:ilvl w:val="0"/>
                <w:numId w:val="0"/>
              </w:numPr>
              <w:tabs>
                <w:tab w:val="left" w:pos="0"/>
              </w:tabs>
              <w:jc w:val="center"/>
              <w:rPr>
                <w:rFonts w:hint="default" w:ascii="宋体" w:hAnsi="宋体" w:cs="宋体"/>
                <w:b/>
                <w:bCs/>
                <w:color w:val="000000" w:themeColor="text1"/>
                <w:kern w:val="44"/>
                <w:sz w:val="28"/>
                <w:szCs w:val="28"/>
                <w:vertAlign w:val="baseline"/>
                <w:lang w:val="en-US" w:eastAsia="zh-CN" w:bidi="ar-SA"/>
                <w14:textFill>
                  <w14:solidFill>
                    <w14:schemeClr w14:val="tx1"/>
                  </w14:solidFill>
                </w14:textFill>
              </w:rPr>
            </w:pPr>
            <w:r>
              <w:rPr>
                <w:rFonts w:hint="eastAsia" w:ascii="宋体" w:hAnsi="宋体" w:cs="宋体"/>
                <w:b/>
                <w:bCs/>
                <w:color w:val="000000" w:themeColor="text1"/>
                <w:kern w:val="44"/>
                <w:sz w:val="28"/>
                <w:szCs w:val="28"/>
                <w:vertAlign w:val="baseline"/>
                <w:lang w:val="en-US" w:eastAsia="zh-CN" w:bidi="ar-SA"/>
                <w14:textFill>
                  <w14:solidFill>
                    <w14:schemeClr w14:val="tx1"/>
                  </w14:solidFill>
                </w14:textFill>
              </w:rPr>
              <w:t>职称/执业资格</w:t>
            </w:r>
          </w:p>
        </w:tc>
        <w:tc>
          <w:tcPr>
            <w:tcW w:w="3750" w:type="dxa"/>
            <w:vAlign w:val="center"/>
          </w:tcPr>
          <w:p w14:paraId="7F1E7ADA">
            <w:pPr>
              <w:pStyle w:val="9"/>
              <w:numPr>
                <w:ilvl w:val="0"/>
                <w:numId w:val="0"/>
              </w:numPr>
              <w:tabs>
                <w:tab w:val="left" w:pos="0"/>
              </w:tabs>
              <w:jc w:val="center"/>
              <w:rPr>
                <w:rFonts w:hint="default" w:ascii="宋体" w:hAnsi="宋体" w:cs="宋体"/>
                <w:b/>
                <w:bCs/>
                <w:color w:val="000000" w:themeColor="text1"/>
                <w:kern w:val="44"/>
                <w:sz w:val="28"/>
                <w:szCs w:val="28"/>
                <w:vertAlign w:val="baseline"/>
                <w:lang w:val="en-US" w:eastAsia="zh-CN" w:bidi="ar-SA"/>
                <w14:textFill>
                  <w14:solidFill>
                    <w14:schemeClr w14:val="tx1"/>
                  </w14:solidFill>
                </w14:textFill>
              </w:rPr>
            </w:pPr>
            <w:r>
              <w:rPr>
                <w:rFonts w:hint="eastAsia" w:ascii="宋体" w:hAnsi="宋体" w:cs="宋体"/>
                <w:b/>
                <w:bCs/>
                <w:color w:val="000000" w:themeColor="text1"/>
                <w:kern w:val="44"/>
                <w:sz w:val="28"/>
                <w:szCs w:val="28"/>
                <w:vertAlign w:val="baseline"/>
                <w:lang w:val="en-US" w:eastAsia="zh-CN" w:bidi="ar-SA"/>
                <w14:textFill>
                  <w14:solidFill>
                    <w14:schemeClr w14:val="tx1"/>
                  </w14:solidFill>
                </w14:textFill>
              </w:rPr>
              <w:t>主要工作内容</w:t>
            </w:r>
          </w:p>
        </w:tc>
      </w:tr>
      <w:tr w14:paraId="0DC1D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Align w:val="center"/>
          </w:tcPr>
          <w:p w14:paraId="4557F3BB">
            <w:pPr>
              <w:pStyle w:val="9"/>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赵桥</w:t>
            </w:r>
          </w:p>
        </w:tc>
        <w:tc>
          <w:tcPr>
            <w:tcW w:w="1650" w:type="dxa"/>
            <w:vAlign w:val="center"/>
          </w:tcPr>
          <w:p w14:paraId="3233DBC6">
            <w:pPr>
              <w:pStyle w:val="9"/>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项目负责人</w:t>
            </w:r>
          </w:p>
        </w:tc>
        <w:tc>
          <w:tcPr>
            <w:tcW w:w="2160" w:type="dxa"/>
            <w:vAlign w:val="center"/>
          </w:tcPr>
          <w:p w14:paraId="44803D3F">
            <w:pPr>
              <w:pStyle w:val="9"/>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高级会计师、注册会计师</w:t>
            </w:r>
          </w:p>
        </w:tc>
        <w:tc>
          <w:tcPr>
            <w:tcW w:w="3750" w:type="dxa"/>
            <w:vAlign w:val="center"/>
          </w:tcPr>
          <w:p w14:paraId="76376DDE">
            <w:pPr>
              <w:pStyle w:val="9"/>
              <w:numPr>
                <w:ilvl w:val="0"/>
                <w:numId w:val="0"/>
              </w:numPr>
              <w:tabs>
                <w:tab w:val="left" w:pos="0"/>
              </w:tabs>
              <w:rPr>
                <w:rFonts w:hint="eastAsia"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负责项目整体组织实施、人员安排及协调，指导工作开展，项目考核细则与方法、工作方案、报告等重点工作内容的</w:t>
            </w:r>
          </w:p>
          <w:p w14:paraId="5C4A1FA5">
            <w:pPr>
              <w:pStyle w:val="9"/>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审核。</w:t>
            </w:r>
          </w:p>
        </w:tc>
      </w:tr>
      <w:tr w14:paraId="3071C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Align w:val="center"/>
          </w:tcPr>
          <w:p w14:paraId="23BCC209">
            <w:pPr>
              <w:pStyle w:val="9"/>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刘小利</w:t>
            </w:r>
          </w:p>
        </w:tc>
        <w:tc>
          <w:tcPr>
            <w:tcW w:w="1650" w:type="dxa"/>
            <w:vAlign w:val="center"/>
          </w:tcPr>
          <w:p w14:paraId="484FFA22">
            <w:pPr>
              <w:pStyle w:val="9"/>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eastAsia="宋体" w:cs="宋体"/>
                <w:color w:val="000000"/>
                <w:sz w:val="21"/>
                <w:szCs w:val="21"/>
                <w:highlight w:val="none"/>
                <w:lang w:val="en-US" w:eastAsia="zh-CN"/>
              </w:rPr>
              <w:t>项目组长</w:t>
            </w:r>
          </w:p>
        </w:tc>
        <w:tc>
          <w:tcPr>
            <w:tcW w:w="2160" w:type="dxa"/>
            <w:vAlign w:val="center"/>
          </w:tcPr>
          <w:p w14:paraId="5161F006">
            <w:pPr>
              <w:pStyle w:val="9"/>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注册会计师</w:t>
            </w:r>
          </w:p>
        </w:tc>
        <w:tc>
          <w:tcPr>
            <w:tcW w:w="3750" w:type="dxa"/>
            <w:vAlign w:val="center"/>
          </w:tcPr>
          <w:p w14:paraId="43607B8E">
            <w:pPr>
              <w:pStyle w:val="9"/>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default" w:ascii="宋体" w:hAnsi="宋体" w:cs="宋体"/>
                <w:color w:val="000000" w:themeColor="text1"/>
                <w:kern w:val="44"/>
                <w:sz w:val="21"/>
                <w:szCs w:val="21"/>
                <w:vertAlign w:val="baseline"/>
                <w:lang w:val="en-US" w:eastAsia="zh-CN" w:bidi="ar-SA"/>
                <w14:textFill>
                  <w14:solidFill>
                    <w14:schemeClr w14:val="tx1"/>
                  </w14:solidFill>
                </w14:textFill>
              </w:rPr>
              <w:t>主要负责项目方案制定、考核细则梳理、撰写报告</w:t>
            </w: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w:t>
            </w:r>
          </w:p>
        </w:tc>
      </w:tr>
      <w:tr w14:paraId="4B24E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Align w:val="center"/>
          </w:tcPr>
          <w:p w14:paraId="44581A22">
            <w:pPr>
              <w:pStyle w:val="9"/>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王斌</w:t>
            </w:r>
          </w:p>
        </w:tc>
        <w:tc>
          <w:tcPr>
            <w:tcW w:w="1650" w:type="dxa"/>
            <w:vAlign w:val="center"/>
          </w:tcPr>
          <w:p w14:paraId="6777E77A">
            <w:pPr>
              <w:pStyle w:val="9"/>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项目组成员</w:t>
            </w:r>
          </w:p>
        </w:tc>
        <w:tc>
          <w:tcPr>
            <w:tcW w:w="2160" w:type="dxa"/>
            <w:vAlign w:val="center"/>
          </w:tcPr>
          <w:p w14:paraId="288F429F">
            <w:pPr>
              <w:pStyle w:val="9"/>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注册会计师</w:t>
            </w:r>
          </w:p>
        </w:tc>
        <w:tc>
          <w:tcPr>
            <w:tcW w:w="3750" w:type="dxa"/>
            <w:vAlign w:val="center"/>
          </w:tcPr>
          <w:p w14:paraId="6584B76E">
            <w:pPr>
              <w:pStyle w:val="9"/>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default" w:ascii="宋体" w:hAnsi="宋体" w:cs="宋体"/>
                <w:color w:val="000000" w:themeColor="text1"/>
                <w:kern w:val="44"/>
                <w:sz w:val="21"/>
                <w:szCs w:val="21"/>
                <w:vertAlign w:val="baseline"/>
                <w:lang w:val="en-US" w:eastAsia="zh-CN" w:bidi="ar-SA"/>
                <w14:textFill>
                  <w14:solidFill>
                    <w14:schemeClr w14:val="tx1"/>
                  </w14:solidFill>
                </w14:textFill>
              </w:rPr>
              <w:t>直接参与项目实施，主要参与方案制定、数据采集</w:t>
            </w: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、撰写报告。</w:t>
            </w:r>
          </w:p>
        </w:tc>
      </w:tr>
      <w:tr w14:paraId="1AF3F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shd w:val="clear" w:color="auto" w:fill="auto"/>
            <w:vAlign w:val="center"/>
          </w:tcPr>
          <w:p w14:paraId="23CB4A3D">
            <w:pPr>
              <w:pStyle w:val="9"/>
              <w:numPr>
                <w:ilvl w:val="0"/>
                <w:numId w:val="0"/>
              </w:numPr>
              <w:tabs>
                <w:tab w:val="left" w:pos="0"/>
              </w:tabs>
              <w:ind w:left="0" w:leftChars="0" w:firstLine="0" w:firstLineChars="0"/>
              <w:rPr>
                <w:rFonts w:hint="default" w:ascii="宋体" w:hAnsi="宋体" w:eastAsia="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sz w:val="21"/>
                <w:szCs w:val="21"/>
                <w:lang w:val="en-US" w:eastAsia="zh-CN"/>
              </w:rPr>
              <w:t>陈贵凯</w:t>
            </w:r>
          </w:p>
        </w:tc>
        <w:tc>
          <w:tcPr>
            <w:tcW w:w="1650" w:type="dxa"/>
            <w:shd w:val="clear" w:color="auto" w:fill="auto"/>
            <w:vAlign w:val="center"/>
          </w:tcPr>
          <w:p w14:paraId="20AE3A78">
            <w:pPr>
              <w:pStyle w:val="9"/>
              <w:numPr>
                <w:ilvl w:val="0"/>
                <w:numId w:val="0"/>
              </w:numPr>
              <w:tabs>
                <w:tab w:val="left" w:pos="0"/>
              </w:tabs>
              <w:ind w:left="0" w:leftChars="0" w:firstLine="0" w:firstLineChars="0"/>
              <w:rPr>
                <w:rFonts w:hint="default" w:ascii="宋体" w:hAnsi="宋体" w:eastAsia="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项目组成员</w:t>
            </w:r>
          </w:p>
        </w:tc>
        <w:tc>
          <w:tcPr>
            <w:tcW w:w="2160" w:type="dxa"/>
            <w:vAlign w:val="center"/>
          </w:tcPr>
          <w:p w14:paraId="26355D6D">
            <w:pPr>
              <w:pStyle w:val="9"/>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注册会计师</w:t>
            </w:r>
          </w:p>
        </w:tc>
        <w:tc>
          <w:tcPr>
            <w:tcW w:w="3750" w:type="dxa"/>
            <w:vAlign w:val="center"/>
          </w:tcPr>
          <w:p w14:paraId="01639E0A">
            <w:pPr>
              <w:pStyle w:val="9"/>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default" w:ascii="宋体" w:hAnsi="宋体" w:cs="宋体"/>
                <w:color w:val="000000" w:themeColor="text1"/>
                <w:kern w:val="44"/>
                <w:sz w:val="21"/>
                <w:szCs w:val="21"/>
                <w:vertAlign w:val="baseline"/>
                <w:lang w:val="en-US" w:eastAsia="zh-CN" w:bidi="ar-SA"/>
                <w14:textFill>
                  <w14:solidFill>
                    <w14:schemeClr w14:val="tx1"/>
                  </w14:solidFill>
                </w14:textFill>
              </w:rPr>
              <w:t>直接参与项目实施，主要参与方案制定、数据采集</w:t>
            </w: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、撰写报告。</w:t>
            </w:r>
          </w:p>
        </w:tc>
      </w:tr>
      <w:tr w14:paraId="2633D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Align w:val="center"/>
          </w:tcPr>
          <w:p w14:paraId="456F72A2">
            <w:pPr>
              <w:pStyle w:val="9"/>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陈宏艺</w:t>
            </w:r>
          </w:p>
        </w:tc>
        <w:tc>
          <w:tcPr>
            <w:tcW w:w="1650" w:type="dxa"/>
            <w:vAlign w:val="center"/>
          </w:tcPr>
          <w:p w14:paraId="1E6D891F">
            <w:pPr>
              <w:pStyle w:val="9"/>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项目组成员</w:t>
            </w:r>
          </w:p>
        </w:tc>
        <w:tc>
          <w:tcPr>
            <w:tcW w:w="2160" w:type="dxa"/>
            <w:vAlign w:val="center"/>
          </w:tcPr>
          <w:p w14:paraId="52F27A43">
            <w:pPr>
              <w:pStyle w:val="9"/>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中级会计师</w:t>
            </w:r>
          </w:p>
        </w:tc>
        <w:tc>
          <w:tcPr>
            <w:tcW w:w="3750" w:type="dxa"/>
            <w:vAlign w:val="center"/>
          </w:tcPr>
          <w:p w14:paraId="1980502C">
            <w:pPr>
              <w:pStyle w:val="9"/>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default" w:ascii="宋体" w:hAnsi="宋体" w:cs="宋体"/>
                <w:color w:val="000000" w:themeColor="text1"/>
                <w:kern w:val="44"/>
                <w:sz w:val="21"/>
                <w:szCs w:val="21"/>
                <w:vertAlign w:val="baseline"/>
                <w:lang w:val="en-US" w:eastAsia="zh-CN" w:bidi="ar-SA"/>
                <w14:textFill>
                  <w14:solidFill>
                    <w14:schemeClr w14:val="tx1"/>
                  </w14:solidFill>
                </w14:textFill>
              </w:rPr>
              <w:t>直接参与项目实施，主要参与方案制定、数据采集</w:t>
            </w: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、撰写报告。</w:t>
            </w:r>
          </w:p>
        </w:tc>
      </w:tr>
      <w:tr w14:paraId="47054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Align w:val="center"/>
          </w:tcPr>
          <w:p w14:paraId="4887D5D8">
            <w:pPr>
              <w:pStyle w:val="9"/>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eastAsia="宋体" w:cs="宋体"/>
                <w:color w:val="000000"/>
                <w:sz w:val="21"/>
                <w:szCs w:val="21"/>
                <w:highlight w:val="none"/>
                <w:lang w:val="en-US" w:eastAsia="zh-CN"/>
              </w:rPr>
              <w:t>付宪法</w:t>
            </w:r>
          </w:p>
        </w:tc>
        <w:tc>
          <w:tcPr>
            <w:tcW w:w="1650" w:type="dxa"/>
            <w:vAlign w:val="center"/>
          </w:tcPr>
          <w:p w14:paraId="235054D8">
            <w:pPr>
              <w:pStyle w:val="9"/>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专家组组长</w:t>
            </w:r>
          </w:p>
        </w:tc>
        <w:tc>
          <w:tcPr>
            <w:tcW w:w="2160" w:type="dxa"/>
            <w:vAlign w:val="center"/>
          </w:tcPr>
          <w:p w14:paraId="328D4D48">
            <w:pPr>
              <w:pStyle w:val="9"/>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注册会计师</w:t>
            </w:r>
          </w:p>
        </w:tc>
        <w:tc>
          <w:tcPr>
            <w:tcW w:w="3750" w:type="dxa"/>
            <w:vAlign w:val="center"/>
          </w:tcPr>
          <w:p w14:paraId="2923ADFD">
            <w:pPr>
              <w:pStyle w:val="9"/>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统筹协调专家组全面完成绩效评价任务，保障评价过程规范、结果客观公正。</w:t>
            </w:r>
          </w:p>
        </w:tc>
      </w:tr>
      <w:tr w14:paraId="31F35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Align w:val="center"/>
          </w:tcPr>
          <w:p w14:paraId="1E35934A">
            <w:pPr>
              <w:pStyle w:val="9"/>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eastAsia="宋体" w:cs="宋体"/>
                <w:color w:val="000000"/>
                <w:sz w:val="21"/>
                <w:szCs w:val="21"/>
                <w:highlight w:val="none"/>
                <w:lang w:val="en-US" w:eastAsia="zh-CN"/>
              </w:rPr>
              <w:t>郭军来</w:t>
            </w:r>
          </w:p>
        </w:tc>
        <w:tc>
          <w:tcPr>
            <w:tcW w:w="1650" w:type="dxa"/>
            <w:vAlign w:val="center"/>
          </w:tcPr>
          <w:p w14:paraId="643775C2">
            <w:pPr>
              <w:pStyle w:val="9"/>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专家组成员</w:t>
            </w:r>
          </w:p>
        </w:tc>
        <w:tc>
          <w:tcPr>
            <w:tcW w:w="2160" w:type="dxa"/>
            <w:vAlign w:val="center"/>
          </w:tcPr>
          <w:p w14:paraId="0AC14DE0">
            <w:pPr>
              <w:pStyle w:val="9"/>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eastAsia="宋体" w:cs="宋体"/>
                <w:color w:val="000000"/>
                <w:sz w:val="21"/>
                <w:szCs w:val="21"/>
                <w:highlight w:val="none"/>
                <w:lang w:val="en-US" w:eastAsia="zh-CN"/>
              </w:rPr>
              <w:t>一级建造师</w:t>
            </w:r>
          </w:p>
        </w:tc>
        <w:tc>
          <w:tcPr>
            <w:tcW w:w="3750" w:type="dxa"/>
            <w:vAlign w:val="center"/>
          </w:tcPr>
          <w:p w14:paraId="0A5DE972">
            <w:pPr>
              <w:pStyle w:val="9"/>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凭借专业的工程建设知识与实践经验，围绕项目的工程实施、质量管控、投资合理性等核心维度开展评价，为绩效评价结论提供工程技术层面的专业支撑。</w:t>
            </w:r>
          </w:p>
        </w:tc>
      </w:tr>
      <w:tr w14:paraId="2B99D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Align w:val="center"/>
          </w:tcPr>
          <w:p w14:paraId="560FF829">
            <w:pPr>
              <w:pStyle w:val="9"/>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eastAsia="宋体" w:cs="宋体"/>
                <w:color w:val="000000"/>
                <w:sz w:val="21"/>
                <w:szCs w:val="21"/>
                <w:lang w:val="en-US" w:eastAsia="zh-CN"/>
              </w:rPr>
              <w:t>刘国伟</w:t>
            </w:r>
          </w:p>
        </w:tc>
        <w:tc>
          <w:tcPr>
            <w:tcW w:w="1650" w:type="dxa"/>
            <w:vAlign w:val="center"/>
          </w:tcPr>
          <w:p w14:paraId="06925999">
            <w:pPr>
              <w:pStyle w:val="9"/>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专家组成员</w:t>
            </w:r>
          </w:p>
        </w:tc>
        <w:tc>
          <w:tcPr>
            <w:tcW w:w="2160" w:type="dxa"/>
            <w:vAlign w:val="center"/>
          </w:tcPr>
          <w:p w14:paraId="65CC01BE">
            <w:pPr>
              <w:pStyle w:val="9"/>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eastAsia="宋体" w:cs="宋体"/>
                <w:color w:val="000000"/>
                <w:sz w:val="21"/>
                <w:szCs w:val="21"/>
                <w:lang w:val="en-US" w:eastAsia="zh-CN"/>
              </w:rPr>
              <w:t>二级建造师</w:t>
            </w:r>
          </w:p>
        </w:tc>
        <w:tc>
          <w:tcPr>
            <w:tcW w:w="3750" w:type="dxa"/>
            <w:vAlign w:val="center"/>
          </w:tcPr>
          <w:p w14:paraId="57F381F9">
            <w:pPr>
              <w:pStyle w:val="9"/>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凭借专业的工程建设知识与实践经验，围绕项目的工程实施、质量管控、投资合理性等核心维度开展评价，为绩效评价结论提供工程技术层面的专业支撑。</w:t>
            </w:r>
          </w:p>
        </w:tc>
      </w:tr>
    </w:tbl>
    <w:p w14:paraId="2F7E9E0E">
      <w:pPr>
        <w:pStyle w:val="9"/>
        <w:numPr>
          <w:ilvl w:val="0"/>
          <w:numId w:val="12"/>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制定绩效评价工作方案。制定绩效评价工作方案内容包括：</w:t>
      </w:r>
    </w:p>
    <w:p w14:paraId="3AB75710">
      <w:pPr>
        <w:pStyle w:val="9"/>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评价工作的计划安排；拟采用的绩效评价指标和评价标准；拟采用的评价方法；评价依据。绩效评价工作方案报评价组织者审定。</w:t>
      </w:r>
    </w:p>
    <w:p w14:paraId="0DE42AE0">
      <w:pPr>
        <w:pStyle w:val="9"/>
        <w:numPr>
          <w:ilvl w:val="0"/>
          <w:numId w:val="12"/>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下达绩效评价通知。实施评价前，评价组织者应向被评价的</w:t>
      </w:r>
    </w:p>
    <w:p w14:paraId="17833DAA">
      <w:pPr>
        <w:pStyle w:val="9"/>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部门或单位下达评价通知。通知内容主要包括评价目的、内容、任务、依据、评价实施机构、评价时间和要求等。</w:t>
      </w:r>
    </w:p>
    <w:p w14:paraId="225C8772">
      <w:pPr>
        <w:pStyle w:val="9"/>
        <w:numPr>
          <w:ilvl w:val="0"/>
          <w:numId w:val="12"/>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明确评价具体内容。评价工作组与被评价部门或单位就绩效</w:t>
      </w:r>
    </w:p>
    <w:p w14:paraId="38381FE1">
      <w:pPr>
        <w:pStyle w:val="9"/>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评价流程、绩效评价目标、绩效评价指标、评价标准和评价方法等具体内容进行充分沟通，取得一致意见。</w:t>
      </w:r>
    </w:p>
    <w:p w14:paraId="6581F241">
      <w:pPr>
        <w:numPr>
          <w:ilvl w:val="0"/>
          <w:numId w:val="11"/>
        </w:numPr>
        <w:spacing w:line="360" w:lineRule="auto"/>
        <w:ind w:left="0" w:leftChars="0" w:firstLine="283" w:firstLineChars="0"/>
        <w:jc w:val="left"/>
        <w:outlineLvl w:val="2"/>
        <w:rPr>
          <w:rFonts w:hint="eastAsia" w:ascii="宋体" w:hAnsi="宋体" w:eastAsia="宋体" w:cs="宋体"/>
          <w:color w:val="000000" w:themeColor="text1"/>
          <w:kern w:val="44"/>
          <w:sz w:val="28"/>
          <w:szCs w:val="28"/>
          <w:lang w:val="en-US" w:eastAsia="zh-CN"/>
          <w14:textFill>
            <w14:solidFill>
              <w14:schemeClr w14:val="tx1"/>
            </w14:solidFill>
          </w14:textFill>
        </w:rPr>
      </w:pPr>
      <w:bookmarkStart w:id="19" w:name="_Toc2961"/>
      <w:r>
        <w:rPr>
          <w:rFonts w:hint="eastAsia" w:ascii="宋体" w:hAnsi="宋体" w:eastAsia="宋体" w:cs="宋体"/>
          <w:color w:val="000000" w:themeColor="text1"/>
          <w:kern w:val="44"/>
          <w:sz w:val="28"/>
          <w:szCs w:val="28"/>
          <w:lang w:val="en-US" w:eastAsia="zh-CN"/>
          <w14:textFill>
            <w14:solidFill>
              <w14:schemeClr w14:val="tx1"/>
            </w14:solidFill>
          </w14:textFill>
        </w:rPr>
        <w:t>绩效评价实施阶段</w:t>
      </w:r>
      <w:bookmarkEnd w:id="19"/>
    </w:p>
    <w:p w14:paraId="4C8E98D9">
      <w:pPr>
        <w:pStyle w:val="9"/>
        <w:numPr>
          <w:ilvl w:val="0"/>
          <w:numId w:val="13"/>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收集、审核资料。评价工作组要在全面收集资料的基础上，</w:t>
      </w:r>
    </w:p>
    <w:p w14:paraId="6EF3811A">
      <w:pPr>
        <w:pStyle w:val="9"/>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根据评价工作方案，对已收集的资料进行分类整理、审查和分析。</w:t>
      </w:r>
    </w:p>
    <w:p w14:paraId="05250E48">
      <w:pPr>
        <w:pStyle w:val="9"/>
        <w:numPr>
          <w:ilvl w:val="0"/>
          <w:numId w:val="13"/>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现场勘查。根据评价对象的特点和项目承担单位提供的数据</w:t>
      </w:r>
    </w:p>
    <w:p w14:paraId="0DAEE743">
      <w:pPr>
        <w:pStyle w:val="9"/>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资料，评价工作组可采取现场勘察、询问检查的方式进行实地考察验证。</w:t>
      </w:r>
    </w:p>
    <w:p w14:paraId="03AEB9C1">
      <w:pPr>
        <w:pStyle w:val="9"/>
        <w:numPr>
          <w:ilvl w:val="0"/>
          <w:numId w:val="13"/>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综合评价。评价工作组根据评价工作方案确定的评价指标、</w:t>
      </w:r>
    </w:p>
    <w:p w14:paraId="49D9CF5E">
      <w:pPr>
        <w:pStyle w:val="9"/>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评价标准和评价方法，对评价对象的绩效情况进行全面的定量定性分析和综合评价，形成评价结论。</w:t>
      </w:r>
    </w:p>
    <w:p w14:paraId="653512DD">
      <w:pPr>
        <w:pStyle w:val="9"/>
        <w:numPr>
          <w:ilvl w:val="0"/>
          <w:numId w:val="13"/>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交换意见。评价工作组在撤点前就绩效评价工作开展情况及</w:t>
      </w:r>
    </w:p>
    <w:p w14:paraId="791CC998">
      <w:pPr>
        <w:pStyle w:val="9"/>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评价结论与被评价部门或单位交换意见。</w:t>
      </w:r>
    </w:p>
    <w:p w14:paraId="7BA54E64">
      <w:pPr>
        <w:numPr>
          <w:ilvl w:val="0"/>
          <w:numId w:val="11"/>
        </w:numPr>
        <w:spacing w:line="360" w:lineRule="auto"/>
        <w:ind w:left="0" w:leftChars="0" w:firstLine="283" w:firstLineChars="0"/>
        <w:jc w:val="left"/>
        <w:outlineLvl w:val="2"/>
        <w:rPr>
          <w:rFonts w:hint="eastAsia" w:ascii="宋体" w:hAnsi="宋体" w:eastAsia="宋体" w:cs="宋体"/>
          <w:color w:val="000000" w:themeColor="text1"/>
          <w:kern w:val="44"/>
          <w:sz w:val="28"/>
          <w:szCs w:val="28"/>
          <w:lang w:val="en-US" w:eastAsia="zh-CN"/>
          <w14:textFill>
            <w14:solidFill>
              <w14:schemeClr w14:val="tx1"/>
            </w14:solidFill>
          </w14:textFill>
        </w:rPr>
      </w:pPr>
      <w:bookmarkStart w:id="20" w:name="_Toc21403"/>
      <w:r>
        <w:rPr>
          <w:rFonts w:hint="eastAsia" w:ascii="宋体" w:hAnsi="宋体" w:eastAsia="宋体" w:cs="宋体"/>
          <w:color w:val="000000" w:themeColor="text1"/>
          <w:kern w:val="44"/>
          <w:sz w:val="28"/>
          <w:szCs w:val="28"/>
          <w:lang w:val="en-US" w:eastAsia="zh-CN"/>
          <w14:textFill>
            <w14:solidFill>
              <w14:schemeClr w14:val="tx1"/>
            </w14:solidFill>
          </w14:textFill>
        </w:rPr>
        <w:t>撰写和提交评价报告阶段</w:t>
      </w:r>
      <w:bookmarkEnd w:id="20"/>
    </w:p>
    <w:p w14:paraId="61D750A1">
      <w:pPr>
        <w:pStyle w:val="9"/>
        <w:numPr>
          <w:ilvl w:val="0"/>
          <w:numId w:val="14"/>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撰写报告。按照规定的文本格式和要求撰写绩效评价报告。</w:t>
      </w:r>
    </w:p>
    <w:p w14:paraId="680BBA8C">
      <w:pPr>
        <w:pStyle w:val="9"/>
        <w:numPr>
          <w:ilvl w:val="0"/>
          <w:numId w:val="14"/>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提交报告。在规定的时间内向评价组织者提交绩效评价报告</w:t>
      </w:r>
    </w:p>
    <w:p w14:paraId="09622873">
      <w:pPr>
        <w:pStyle w:val="9"/>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（草案），经评审后修改完善并提交正式绩效评价报告。</w:t>
      </w:r>
    </w:p>
    <w:p w14:paraId="10F4F0EF">
      <w:pPr>
        <w:pStyle w:val="9"/>
        <w:numPr>
          <w:ilvl w:val="0"/>
          <w:numId w:val="14"/>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及时总结。评价实施方应及时对绩效评价工作总结，将工作</w:t>
      </w:r>
    </w:p>
    <w:p w14:paraId="1D3C543D">
      <w:pPr>
        <w:pStyle w:val="9"/>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背景、时间地点、基本情况、遇到的问题及工作建议等形成书面材料，随同绩效评价报告一并提交三门峡市陕州区财政局。</w:t>
      </w:r>
    </w:p>
    <w:p w14:paraId="6F4D36C5">
      <w:pPr>
        <w:pStyle w:val="9"/>
        <w:numPr>
          <w:ilvl w:val="0"/>
          <w:numId w:val="14"/>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建立档案。评价工作结束后，评价工作组应妥善保管工作底</w:t>
      </w:r>
    </w:p>
    <w:p w14:paraId="0118D61C">
      <w:pPr>
        <w:pStyle w:val="9"/>
        <w:numPr>
          <w:ilvl w:val="0"/>
          <w:numId w:val="0"/>
        </w:numPr>
        <w:tabs>
          <w:tab w:val="left" w:pos="0"/>
        </w:tabs>
        <w:rPr>
          <w:rFonts w:hint="eastAsia" w:ascii="宋体" w:hAnsi="宋体" w:eastAsia="宋体" w:cs="宋体"/>
          <w:color w:val="000000" w:themeColor="text1"/>
          <w:kern w:val="44"/>
          <w:sz w:val="28"/>
          <w:szCs w:val="28"/>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稿和评价报告等有关资料，建立绩效评价档案。</w:t>
      </w:r>
    </w:p>
    <w:bookmarkEnd w:id="17"/>
    <w:p w14:paraId="5DE90AFD">
      <w:pPr>
        <w:numPr>
          <w:ilvl w:val="0"/>
          <w:numId w:val="1"/>
        </w:numPr>
        <w:spacing w:line="360" w:lineRule="auto"/>
        <w:ind w:left="0" w:leftChars="0" w:firstLine="283" w:firstLineChars="0"/>
        <w:jc w:val="left"/>
        <w:outlineLvl w:val="0"/>
        <w:rPr>
          <w:rFonts w:hint="eastAsia" w:ascii="宋体" w:hAnsi="宋体" w:eastAsia="宋体" w:cs="宋体"/>
          <w:b/>
          <w:bCs/>
          <w:snapToGrid w:val="0"/>
          <w:color w:val="000000" w:themeColor="text1"/>
          <w:kern w:val="0"/>
          <w:sz w:val="28"/>
          <w:szCs w:val="28"/>
          <w14:textFill>
            <w14:solidFill>
              <w14:schemeClr w14:val="tx1"/>
            </w14:solidFill>
          </w14:textFill>
        </w:rPr>
      </w:pPr>
      <w:bookmarkStart w:id="21" w:name="_Toc16910"/>
      <w:r>
        <w:rPr>
          <w:rFonts w:hint="eastAsia" w:ascii="宋体" w:hAnsi="宋体" w:eastAsia="宋体" w:cs="宋体"/>
          <w:b/>
          <w:bCs/>
          <w:snapToGrid w:val="0"/>
          <w:color w:val="000000" w:themeColor="text1"/>
          <w:kern w:val="0"/>
          <w:sz w:val="28"/>
          <w:szCs w:val="28"/>
          <w14:textFill>
            <w14:solidFill>
              <w14:schemeClr w14:val="tx1"/>
            </w14:solidFill>
          </w14:textFill>
        </w:rPr>
        <w:t>绩效评价分析</w:t>
      </w:r>
      <w:bookmarkEnd w:id="21"/>
    </w:p>
    <w:p w14:paraId="76034D9F">
      <w:pPr>
        <w:numPr>
          <w:ilvl w:val="0"/>
          <w:numId w:val="15"/>
        </w:numPr>
        <w:spacing w:line="360" w:lineRule="auto"/>
        <w:ind w:left="0" w:leftChars="0" w:firstLine="283" w:firstLineChars="0"/>
        <w:jc w:val="left"/>
        <w:outlineLvl w:val="1"/>
        <w:rPr>
          <w:rFonts w:hint="eastAsia" w:ascii="宋体" w:hAnsi="宋体" w:eastAsia="宋体" w:cs="宋体"/>
          <w:b w:val="0"/>
          <w:bCs w:val="0"/>
          <w:snapToGrid w:val="0"/>
          <w:color w:val="000000" w:themeColor="text1"/>
          <w:kern w:val="0"/>
          <w:sz w:val="28"/>
          <w:szCs w:val="28"/>
          <w14:textFill>
            <w14:solidFill>
              <w14:schemeClr w14:val="tx1"/>
            </w14:solidFill>
          </w14:textFill>
        </w:rPr>
      </w:pPr>
      <w:bookmarkStart w:id="22" w:name="_Toc2611"/>
      <w:r>
        <w:rPr>
          <w:rFonts w:hint="eastAsia" w:ascii="宋体" w:hAnsi="宋体" w:eastAsia="宋体" w:cs="宋体"/>
          <w:b w:val="0"/>
          <w:bCs w:val="0"/>
          <w:snapToGrid w:val="0"/>
          <w:color w:val="000000" w:themeColor="text1"/>
          <w:kern w:val="0"/>
          <w:sz w:val="28"/>
          <w:szCs w:val="28"/>
          <w14:textFill>
            <w14:solidFill>
              <w14:schemeClr w14:val="tx1"/>
            </w14:solidFill>
          </w14:textFill>
        </w:rPr>
        <w:t>项目绩效目标完成情况分析</w:t>
      </w:r>
      <w:bookmarkEnd w:id="22"/>
    </w:p>
    <w:p w14:paraId="2B14787D">
      <w:pPr>
        <w:numPr>
          <w:ilvl w:val="0"/>
          <w:numId w:val="16"/>
        </w:numPr>
        <w:spacing w:line="360" w:lineRule="auto"/>
        <w:ind w:left="0" w:leftChars="0" w:firstLine="283" w:firstLineChars="0"/>
        <w:jc w:val="left"/>
        <w:outlineLvl w:val="2"/>
        <w:rPr>
          <w:rFonts w:hint="eastAsia" w:ascii="宋体" w:hAnsi="宋体" w:eastAsia="宋体" w:cs="宋体"/>
          <w:color w:val="000000" w:themeColor="text1"/>
          <w:kern w:val="44"/>
          <w:sz w:val="28"/>
          <w:szCs w:val="28"/>
          <w14:textFill>
            <w14:solidFill>
              <w14:schemeClr w14:val="tx1"/>
            </w14:solidFill>
          </w14:textFill>
        </w:rPr>
      </w:pPr>
      <w:bookmarkStart w:id="23" w:name="_Toc438"/>
      <w:r>
        <w:rPr>
          <w:rFonts w:hint="eastAsia" w:ascii="宋体" w:hAnsi="宋体" w:eastAsia="宋体" w:cs="宋体"/>
          <w:color w:val="000000" w:themeColor="text1"/>
          <w:kern w:val="44"/>
          <w:sz w:val="28"/>
          <w:szCs w:val="28"/>
          <w14:textFill>
            <w14:solidFill>
              <w14:schemeClr w14:val="tx1"/>
            </w14:solidFill>
          </w14:textFill>
        </w:rPr>
        <w:t>项目绩效目标评价分析</w:t>
      </w:r>
      <w:bookmarkEnd w:id="23"/>
    </w:p>
    <w:p w14:paraId="55029506">
      <w:pPr>
        <w:pStyle w:val="9"/>
        <w:numPr>
          <w:ilvl w:val="0"/>
          <w:numId w:val="17"/>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目标明确性</w:t>
      </w:r>
      <w:r>
        <w:rPr>
          <w:rFonts w:hint="eastAsia" w:ascii="宋体" w:hAnsi="宋体" w:cs="宋体"/>
          <w:color w:val="000000" w:themeColor="text1"/>
          <w:kern w:val="44"/>
          <w:sz w:val="28"/>
          <w:szCs w:val="28"/>
          <w:lang w:val="en-US" w:eastAsia="zh-CN" w:bidi="ar-SA"/>
          <w14:textFill>
            <w14:solidFill>
              <w14:schemeClr w14:val="tx1"/>
            </w14:solidFill>
          </w14:textFill>
        </w:rPr>
        <w:t>、合理性</w:t>
      </w:r>
      <w:r>
        <w:rPr>
          <w:rFonts w:hint="eastAsia" w:ascii="宋体" w:hAnsi="宋体" w:eastAsia="宋体" w:cs="宋体"/>
          <w:color w:val="000000" w:themeColor="text1"/>
          <w:kern w:val="44"/>
          <w:sz w:val="28"/>
          <w:szCs w:val="28"/>
          <w:lang w:val="en-US" w:eastAsia="zh-CN" w:bidi="ar-SA"/>
          <w14:textFill>
            <w14:solidFill>
              <w14:schemeClr w14:val="tx1"/>
            </w14:solidFill>
          </w14:textFill>
        </w:rPr>
        <w:t>分析</w:t>
      </w:r>
    </w:p>
    <w:p w14:paraId="09E06B44">
      <w:pPr>
        <w:ind w:firstLine="560" w:firstLineChars="200"/>
        <w:rPr>
          <w:rFonts w:hint="eastAsia" w:ascii="宋体" w:hAnsi="宋体" w:cs="宋体"/>
          <w:color w:val="000000" w:themeColor="text1"/>
          <w:kern w:val="44"/>
          <w:sz w:val="28"/>
          <w:szCs w:val="28"/>
          <w:highlight w:val="none"/>
          <w:lang w:val="en-US" w:eastAsia="zh-CN"/>
          <w14:textFill>
            <w14:solidFill>
              <w14:schemeClr w14:val="tx1"/>
            </w14:solidFill>
          </w14:textFill>
        </w:rPr>
      </w:pPr>
      <w:r>
        <w:rPr>
          <w:rFonts w:hint="default" w:ascii="宋体" w:hAnsi="宋体" w:eastAsia="宋体" w:cs="宋体"/>
          <w:color w:val="000000" w:themeColor="text1"/>
          <w:kern w:val="44"/>
          <w:sz w:val="28"/>
          <w:szCs w:val="28"/>
          <w:highlight w:val="none"/>
          <w:lang w:val="en-US" w:eastAsia="zh-CN"/>
          <w14:textFill>
            <w14:solidFill>
              <w14:schemeClr w14:val="tx1"/>
            </w14:solidFill>
          </w14:textFill>
        </w:rPr>
        <w:t>建设单位制定的绩效目标：按期开工建设，按照城建建设流程及规范实施，保证工程安全性、质量性、时效性。</w:t>
      </w:r>
    </w:p>
    <w:p w14:paraId="41FC1BC6">
      <w:pPr>
        <w:ind w:firstLine="560" w:firstLineChars="200"/>
        <w:rPr>
          <w:rFonts w:hint="eastAsia" w:asciiTheme="minorEastAsia" w:hAnsiTheme="minorEastAsia" w:eastAsiaTheme="minorEastAsia" w:cstheme="minorEastAsia"/>
          <w:sz w:val="28"/>
          <w:szCs w:val="28"/>
          <w:highlight w:val="none"/>
          <w:lang w:val="en-US" w:eastAsia="zh-CN"/>
        </w:rPr>
      </w:pPr>
      <w:r>
        <w:rPr>
          <w:rFonts w:hint="eastAsia" w:ascii="宋体" w:hAnsi="宋体" w:cs="宋体"/>
          <w:color w:val="000000" w:themeColor="text1"/>
          <w:kern w:val="44"/>
          <w:sz w:val="28"/>
          <w:szCs w:val="28"/>
          <w:highlight w:val="none"/>
          <w:lang w:val="en-US" w:eastAsia="zh-CN"/>
          <w14:textFill>
            <w14:solidFill>
              <w14:schemeClr w14:val="tx1"/>
            </w14:solidFill>
          </w14:textFill>
        </w:rPr>
        <w:t>绩效目标中无预期产出及效果的表述，</w:t>
      </w:r>
      <w:r>
        <w:rPr>
          <w:rFonts w:hint="eastAsia" w:asciiTheme="minorEastAsia" w:hAnsiTheme="minorEastAsia" w:eastAsiaTheme="minorEastAsia" w:cstheme="minorEastAsia"/>
          <w:b w:val="0"/>
          <w:bCs w:val="0"/>
          <w:sz w:val="28"/>
          <w:szCs w:val="28"/>
          <w:highlight w:val="none"/>
          <w:lang w:val="en-US" w:eastAsia="zh-CN"/>
        </w:rPr>
        <w:t>绩效目标的构成应是：完成什么工作+达成什么效果、解决什么需求、解决什么问题，</w:t>
      </w:r>
      <w:r>
        <w:rPr>
          <w:rFonts w:hint="eastAsia" w:asciiTheme="minorEastAsia" w:hAnsiTheme="minorEastAsia" w:eastAsiaTheme="minorEastAsia" w:cstheme="minorEastAsia"/>
          <w:sz w:val="28"/>
          <w:szCs w:val="28"/>
          <w:highlight w:val="none"/>
          <w:lang w:val="en-US" w:eastAsia="zh-CN"/>
        </w:rPr>
        <w:t>项目绩效目标不明确、不完整。</w:t>
      </w:r>
    </w:p>
    <w:p w14:paraId="3A01F3EC">
      <w:pPr>
        <w:pStyle w:val="9"/>
        <w:numPr>
          <w:ilvl w:val="0"/>
          <w:numId w:val="17"/>
        </w:numPr>
        <w:ind w:left="454" w:leftChars="0" w:firstLine="113" w:firstLineChars="0"/>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目标</w:t>
      </w:r>
      <w:r>
        <w:rPr>
          <w:rFonts w:hint="eastAsia" w:ascii="宋体" w:hAnsi="宋体" w:cs="宋体"/>
          <w:color w:val="000000" w:themeColor="text1"/>
          <w:kern w:val="44"/>
          <w:sz w:val="28"/>
          <w:szCs w:val="28"/>
          <w:highlight w:val="none"/>
          <w:lang w:val="en-US" w:eastAsia="zh-CN" w:bidi="ar-SA"/>
          <w14:textFill>
            <w14:solidFill>
              <w14:schemeClr w14:val="tx1"/>
            </w14:solidFill>
          </w14:textFill>
        </w:rPr>
        <w:t>细化程度分析</w:t>
      </w:r>
    </w:p>
    <w:p w14:paraId="3A5A28E5">
      <w:pPr>
        <w:ind w:firstLine="560" w:firstLineChars="200"/>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建设单位制定的经济效益指标：决算报审核减率，不属于桥梁工程可以带动的经济效益，绩效目标细化过程中未正确理解绩效指标的含义。</w:t>
      </w:r>
    </w:p>
    <w:p w14:paraId="5AD2D1AC">
      <w:pPr>
        <w:pStyle w:val="9"/>
        <w:numPr>
          <w:ilvl w:val="0"/>
          <w:numId w:val="17"/>
        </w:numPr>
        <w:ind w:left="454" w:leftChars="0" w:firstLine="113" w:firstLineChars="0"/>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项目绩效控制评价分析</w:t>
      </w:r>
    </w:p>
    <w:p w14:paraId="121B0046">
      <w:pPr>
        <w:ind w:firstLine="560" w:firstLineChars="200"/>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社会效益指标:对公共服务水平的改善或提高程度100%，未能提供指标值定量计算公式，指标不具有考核性。</w:t>
      </w:r>
    </w:p>
    <w:p w14:paraId="426AB2FA">
      <w:pPr>
        <w:ind w:firstLine="560" w:firstLineChars="200"/>
        <w:rPr>
          <w:rFonts w:hint="default" w:asciiTheme="minorEastAsia" w:hAnsiTheme="minorEastAsia" w:eastAsiaTheme="minorEastAsia" w:cstheme="minorEastAsia"/>
          <w:sz w:val="28"/>
          <w:szCs w:val="28"/>
          <w:highlight w:val="none"/>
          <w:lang w:val="en-US" w:eastAsia="zh-CN"/>
        </w:rPr>
      </w:pPr>
      <w:r>
        <w:rPr>
          <w:rFonts w:hint="default" w:asciiTheme="minorEastAsia" w:hAnsiTheme="minorEastAsia" w:eastAsiaTheme="minorEastAsia" w:cstheme="minorEastAsia"/>
          <w:sz w:val="28"/>
          <w:szCs w:val="28"/>
          <w:highlight w:val="none"/>
          <w:lang w:val="en-US" w:eastAsia="zh-CN"/>
        </w:rPr>
        <w:t>绩效目标与绩效指标是整体与分解、统领与支撑的关系，二者共同构成财政项目绩效评价的核心内容，缺一不可。</w:t>
      </w:r>
    </w:p>
    <w:p w14:paraId="29ED92BC">
      <w:pPr>
        <w:ind w:firstLine="560" w:firstLineChars="200"/>
        <w:rPr>
          <w:rFonts w:hint="default" w:asciiTheme="minorEastAsia" w:hAnsiTheme="minorEastAsia" w:eastAsiaTheme="minorEastAsia" w:cstheme="minorEastAsia"/>
          <w:sz w:val="28"/>
          <w:szCs w:val="28"/>
          <w:highlight w:val="none"/>
          <w:lang w:val="en-US" w:eastAsia="zh-CN"/>
        </w:rPr>
      </w:pPr>
      <w:r>
        <w:rPr>
          <w:rFonts w:hint="default" w:asciiTheme="minorEastAsia" w:hAnsiTheme="minorEastAsia" w:eastAsiaTheme="minorEastAsia" w:cstheme="minorEastAsia"/>
          <w:sz w:val="28"/>
          <w:szCs w:val="28"/>
          <w:highlight w:val="none"/>
          <w:lang w:val="en-US" w:eastAsia="zh-CN"/>
        </w:rPr>
        <w:t>绩效目标是总方向：是项目预期实现的总体成果，回答“项目要达成什么效果”的问题，比如财政桥梁工程项目的总体绩效目标是“建成符合标准的桥梁，提升区域通行效率，满足群众出行需求”，具有宏观性、概括性的特点。</w:t>
      </w:r>
    </w:p>
    <w:p w14:paraId="3132D843">
      <w:pPr>
        <w:ind w:firstLine="560" w:firstLineChars="200"/>
        <w:rPr>
          <w:rFonts w:hint="default" w:asciiTheme="minorEastAsia" w:hAnsiTheme="minorEastAsia" w:eastAsiaTheme="minorEastAsia" w:cstheme="minorEastAsia"/>
          <w:sz w:val="28"/>
          <w:szCs w:val="28"/>
          <w:highlight w:val="none"/>
          <w:lang w:val="en-US" w:eastAsia="zh-CN"/>
        </w:rPr>
      </w:pPr>
      <w:r>
        <w:rPr>
          <w:rFonts w:hint="default" w:asciiTheme="minorEastAsia" w:hAnsiTheme="minorEastAsia" w:eastAsiaTheme="minorEastAsia" w:cstheme="minorEastAsia"/>
          <w:sz w:val="28"/>
          <w:szCs w:val="28"/>
          <w:highlight w:val="none"/>
          <w:lang w:val="en-US" w:eastAsia="zh-CN"/>
        </w:rPr>
        <w:t>绩效指标是细化载体：是衡量绩效目标是否实现的具体标尺，回答“如何衡量目标是否达成”的问题，它将总体目标拆解为可量化、可考核的具体内容，比如用“桥梁主体工程完工率100%”“</w:t>
      </w:r>
      <w:r>
        <w:rPr>
          <w:rFonts w:hint="eastAsia" w:asciiTheme="minorEastAsia" w:hAnsiTheme="minorEastAsia" w:eastAsiaTheme="minorEastAsia" w:cstheme="minorEastAsia"/>
          <w:sz w:val="28"/>
          <w:szCs w:val="28"/>
          <w:highlight w:val="none"/>
          <w:lang w:val="en-US" w:eastAsia="zh-CN"/>
        </w:rPr>
        <w:t>建设成本≤XX万元</w:t>
      </w:r>
      <w:r>
        <w:rPr>
          <w:rFonts w:hint="default" w:asciiTheme="minorEastAsia" w:hAnsiTheme="minorEastAsia" w:eastAsiaTheme="minorEastAsia" w:cstheme="minorEastAsia"/>
          <w:sz w:val="28"/>
          <w:szCs w:val="28"/>
          <w:highlight w:val="none"/>
          <w:lang w:val="en-US" w:eastAsia="zh-CN"/>
        </w:rPr>
        <w:t>”等指标，来支撑总体目标的落地。二者的联动逻辑：绩效指标围绕绩效目标设定，指标的完成情况直接对应目标的实现程度；绩效目标通过绩效指标体现，没有指标的量化支撑，目标就会流于空泛，无法开展有效评价。</w:t>
      </w:r>
    </w:p>
    <w:p w14:paraId="272A832A">
      <w:pPr>
        <w:numPr>
          <w:ilvl w:val="0"/>
          <w:numId w:val="16"/>
        </w:numPr>
        <w:spacing w:line="360" w:lineRule="auto"/>
        <w:ind w:left="0" w:leftChars="0" w:firstLine="283" w:firstLineChars="0"/>
        <w:jc w:val="left"/>
        <w:outlineLvl w:val="2"/>
        <w:rPr>
          <w:rFonts w:hint="eastAsia" w:ascii="宋体" w:hAnsi="宋体" w:eastAsia="宋体" w:cs="宋体"/>
          <w:color w:val="000000" w:themeColor="text1"/>
          <w:kern w:val="44"/>
          <w:sz w:val="28"/>
          <w:szCs w:val="28"/>
          <w14:textFill>
            <w14:solidFill>
              <w14:schemeClr w14:val="tx1"/>
            </w14:solidFill>
          </w14:textFill>
        </w:rPr>
      </w:pPr>
      <w:bookmarkStart w:id="24" w:name="_Toc19468"/>
      <w:r>
        <w:rPr>
          <w:rFonts w:hint="eastAsia" w:ascii="宋体" w:hAnsi="宋体" w:eastAsia="宋体" w:cs="宋体"/>
          <w:color w:val="000000" w:themeColor="text1"/>
          <w:kern w:val="44"/>
          <w:sz w:val="28"/>
          <w:szCs w:val="28"/>
          <w14:textFill>
            <w14:solidFill>
              <w14:schemeClr w14:val="tx1"/>
            </w14:solidFill>
          </w14:textFill>
        </w:rPr>
        <w:t>资金使用及管理情况分析</w:t>
      </w:r>
      <w:bookmarkEnd w:id="24"/>
    </w:p>
    <w:p w14:paraId="49A7ABE8">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项目建设单位三门峡市陕州区住房和城乡建设局内部控制健全，有严格的资金使用及管理制度，</w:t>
      </w:r>
      <w:r>
        <w:rPr>
          <w:rFonts w:hint="eastAsia" w:ascii="宋体" w:hAnsi="宋体" w:cs="宋体"/>
          <w:color w:val="000000" w:themeColor="text1"/>
          <w:kern w:val="44"/>
          <w:sz w:val="28"/>
          <w:szCs w:val="28"/>
          <w:lang w:val="en-US" w:eastAsia="zh-CN"/>
          <w14:textFill>
            <w14:solidFill>
              <w14:schemeClr w14:val="tx1"/>
            </w14:solidFill>
          </w14:textFill>
        </w:rPr>
        <w:t>《</w:t>
      </w:r>
      <w:r>
        <w:rPr>
          <w:rFonts w:hint="eastAsia" w:ascii="宋体" w:hAnsi="宋体" w:eastAsia="宋体" w:cs="宋体"/>
          <w:color w:val="000000" w:themeColor="text1"/>
          <w:kern w:val="44"/>
          <w:sz w:val="28"/>
          <w:szCs w:val="28"/>
          <w:lang w:val="en-US" w:eastAsia="zh-CN"/>
          <w14:textFill>
            <w14:solidFill>
              <w14:schemeClr w14:val="tx1"/>
            </w14:solidFill>
          </w14:textFill>
        </w:rPr>
        <w:t>三门峡市陕州区住房和城乡建设局</w:t>
      </w:r>
    </w:p>
    <w:p w14:paraId="09696F44">
      <w:pPr>
        <w:numPr>
          <w:ilvl w:val="0"/>
          <w:numId w:val="0"/>
        </w:numPr>
        <w:spacing w:line="360" w:lineRule="auto"/>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财务报销支付及报销流程</w:t>
      </w:r>
      <w:r>
        <w:rPr>
          <w:rFonts w:hint="eastAsia" w:ascii="宋体" w:hAnsi="宋体" w:cs="宋体"/>
          <w:color w:val="000000" w:themeColor="text1"/>
          <w:kern w:val="44"/>
          <w:sz w:val="28"/>
          <w:szCs w:val="28"/>
          <w:lang w:val="en-US" w:eastAsia="zh-CN"/>
          <w14:textFill>
            <w14:solidFill>
              <w14:schemeClr w14:val="tx1"/>
            </w14:solidFill>
          </w14:textFill>
        </w:rPr>
        <w:t>》第五条规定</w:t>
      </w:r>
      <w:r>
        <w:rPr>
          <w:rFonts w:hint="eastAsia" w:ascii="宋体" w:hAnsi="宋体" w:eastAsia="宋体" w:cs="宋体"/>
          <w:color w:val="000000" w:themeColor="text1"/>
          <w:kern w:val="44"/>
          <w:sz w:val="28"/>
          <w:szCs w:val="28"/>
          <w:lang w:val="en-US" w:eastAsia="zh-CN"/>
          <w14:textFill>
            <w14:solidFill>
              <w14:schemeClr w14:val="tx1"/>
            </w14:solidFill>
          </w14:textFill>
        </w:rPr>
        <w:t>按照财政部《基本建设财务管理规定》，结合本单位实际情况，对各类建设项目工程款的支付作如下规定:</w:t>
      </w:r>
    </w:p>
    <w:p w14:paraId="6A9B1F97">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在支付或预付第一笔工程款时，必须按照工程款支付审批程序提供该建设项目的预算及签订的合同;工程项目建设完工后，在支付最后一笔工程款时，必须按照工程款支付审批程序提供该建设项目的决算及审计报告书。</w:t>
      </w:r>
    </w:p>
    <w:p w14:paraId="799A1DC6">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各类建设项目工程款支付的审批程序为:1、由收款方出具工程款收款凭证，经办审核签字。2、财务部门审核。3、项目分管领导审核签字。4、主管财务副局长审核签字。5.严格落实“三重一大”制度，经班子会议讨论充分研究确定支付。6、出纳人员复核无误后给予付款。</w:t>
      </w:r>
    </w:p>
    <w:p w14:paraId="7461B4F8">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抽查项目部分付款凭证，其报账需先由报账员整理报账资料，包括但不限于政府采购备案表、中标通知书、合同、发票、工程款支付申请书、提款申请，报账资料由报账员审核无误后由</w:t>
      </w:r>
      <w:r>
        <w:rPr>
          <w:rFonts w:hint="eastAsia" w:ascii="宋体" w:hAnsi="宋体" w:cs="宋体"/>
          <w:color w:val="000000" w:themeColor="text1"/>
          <w:kern w:val="44"/>
          <w:sz w:val="28"/>
          <w:szCs w:val="28"/>
          <w:lang w:val="en-US" w:eastAsia="zh-CN"/>
          <w14:textFill>
            <w14:solidFill>
              <w14:schemeClr w14:val="tx1"/>
            </w14:solidFill>
          </w14:textFill>
        </w:rPr>
        <w:t>各级领导签字，最后</w:t>
      </w:r>
      <w:r>
        <w:rPr>
          <w:rFonts w:hint="eastAsia" w:ascii="宋体" w:hAnsi="宋体" w:eastAsia="宋体" w:cs="宋体"/>
          <w:color w:val="000000" w:themeColor="text1"/>
          <w:kern w:val="44"/>
          <w:sz w:val="28"/>
          <w:szCs w:val="28"/>
          <w:lang w:val="en-US" w:eastAsia="zh-CN"/>
          <w14:textFill>
            <w14:solidFill>
              <w14:schemeClr w14:val="tx1"/>
            </w14:solidFill>
          </w14:textFill>
        </w:rPr>
        <w:t>转账支付，财务记账，装订凭证。建设单位内部控制健全，设计合理，得到有效执行。</w:t>
      </w:r>
    </w:p>
    <w:p w14:paraId="36DF9C6D">
      <w:pPr>
        <w:numPr>
          <w:ilvl w:val="0"/>
          <w:numId w:val="16"/>
        </w:numPr>
        <w:spacing w:line="360" w:lineRule="auto"/>
        <w:ind w:left="0" w:leftChars="0" w:firstLine="283" w:firstLineChars="0"/>
        <w:jc w:val="left"/>
        <w:outlineLvl w:val="2"/>
        <w:rPr>
          <w:rFonts w:hint="eastAsia" w:ascii="宋体" w:hAnsi="宋体" w:eastAsia="宋体" w:cs="宋体"/>
          <w:color w:val="000000" w:themeColor="text1"/>
          <w:kern w:val="44"/>
          <w:sz w:val="28"/>
          <w:szCs w:val="28"/>
          <w14:textFill>
            <w14:solidFill>
              <w14:schemeClr w14:val="tx1"/>
            </w14:solidFill>
          </w14:textFill>
        </w:rPr>
      </w:pPr>
      <w:bookmarkStart w:id="25" w:name="_Toc14429"/>
      <w:r>
        <w:rPr>
          <w:rFonts w:hint="eastAsia" w:ascii="宋体" w:hAnsi="宋体" w:eastAsia="宋体" w:cs="宋体"/>
          <w:color w:val="000000" w:themeColor="text1"/>
          <w:kern w:val="44"/>
          <w:sz w:val="28"/>
          <w:szCs w:val="28"/>
          <w14:textFill>
            <w14:solidFill>
              <w14:schemeClr w14:val="tx1"/>
            </w14:solidFill>
          </w14:textFill>
        </w:rPr>
        <w:t>项目组织情况分析</w:t>
      </w:r>
      <w:bookmarkEnd w:id="25"/>
    </w:p>
    <w:p w14:paraId="4C263372">
      <w:pPr>
        <w:pStyle w:val="9"/>
        <w:numPr>
          <w:ilvl w:val="0"/>
          <w:numId w:val="0"/>
        </w:numPr>
        <w:ind w:firstLine="560" w:firstLineChars="200"/>
        <w:jc w:val="cente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陕州区王寨路桥工程</w:t>
      </w:r>
    </w:p>
    <w:p w14:paraId="6A0A18E7">
      <w:pPr>
        <w:pStyle w:val="9"/>
        <w:numPr>
          <w:ilvl w:val="0"/>
          <w:numId w:val="0"/>
        </w:numPr>
        <w:ind w:firstLine="560" w:firstLineChars="200"/>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2020年3月，三门峡市陕州区住房和城乡建设局委托北京中设泛华工程咨询有限公司河南分公司为项目编制</w:t>
      </w: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《三门峡市陕州区王寨路桥工程可行性研究报告》</w:t>
      </w:r>
      <w:r>
        <w:rPr>
          <w:rFonts w:hint="eastAsia" w:ascii="宋体" w:hAnsi="宋体" w:eastAsia="宋体" w:cs="宋体"/>
          <w:color w:val="000000" w:themeColor="text1"/>
          <w:kern w:val="44"/>
          <w:sz w:val="28"/>
          <w:szCs w:val="28"/>
          <w:lang w:val="en-US" w:eastAsia="zh-CN" w:bidi="ar-SA"/>
          <w14:textFill>
            <w14:solidFill>
              <w14:schemeClr w14:val="tx1"/>
            </w14:solidFill>
          </w14:textFill>
        </w:rPr>
        <w:t>，2020年3月</w:t>
      </w: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受托方</w:t>
      </w:r>
      <w:r>
        <w:rPr>
          <w:rFonts w:hint="eastAsia" w:ascii="宋体" w:hAnsi="宋体" w:eastAsia="宋体" w:cs="宋体"/>
          <w:color w:val="000000" w:themeColor="text1"/>
          <w:kern w:val="44"/>
          <w:sz w:val="28"/>
          <w:szCs w:val="28"/>
          <w:lang w:val="en-US" w:eastAsia="zh-CN" w:bidi="ar-SA"/>
          <w14:textFill>
            <w14:solidFill>
              <w14:schemeClr w14:val="tx1"/>
            </w14:solidFill>
          </w14:textFill>
        </w:rPr>
        <w:t>北京中设泛华工程咨询有限公司河南分公司</w:t>
      </w: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提交《三门峡市陕州区王寨路桥工程可行性研究报告》。</w:t>
      </w:r>
    </w:p>
    <w:p w14:paraId="3772ED72">
      <w:pPr>
        <w:pStyle w:val="9"/>
        <w:numPr>
          <w:ilvl w:val="0"/>
          <w:numId w:val="0"/>
        </w:numPr>
        <w:ind w:firstLine="560" w:firstLineChars="200"/>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2020年3月17日，</w:t>
      </w:r>
      <w:r>
        <w:rPr>
          <w:rFonts w:hint="eastAsia" w:ascii="宋体" w:hAnsi="宋体" w:eastAsia="宋体" w:cs="宋体"/>
          <w:color w:val="000000" w:themeColor="text1"/>
          <w:kern w:val="44"/>
          <w:sz w:val="28"/>
          <w:szCs w:val="28"/>
          <w:lang w:val="en-US" w:eastAsia="zh-CN" w:bidi="ar-SA"/>
          <w14:textFill>
            <w14:solidFill>
              <w14:schemeClr w14:val="tx1"/>
            </w14:solidFill>
          </w14:textFill>
        </w:rPr>
        <w:t>三门峡市</w:t>
      </w: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陕州区发展和改革委员会委托中匠民大国际工程设计有限公司对《三门峡市陕州区王寨路桥工程可行性研究报告》组织评估。2020年3月19日，中匠民大国际工程设计有限公司组织专家组，在三门峡市文博城会议室组织召开《三门峡市陕州区王寨路桥工程可行性研究报告》评估会，经认真评审讨论，专家组认为:该可研报告基本符合编制要求，原则同意该可研报告，并提出修改意见。</w:t>
      </w:r>
    </w:p>
    <w:p w14:paraId="34F45AB9">
      <w:pPr>
        <w:pStyle w:val="9"/>
        <w:numPr>
          <w:ilvl w:val="0"/>
          <w:numId w:val="0"/>
        </w:numPr>
        <w:ind w:firstLine="560" w:firstLineChars="200"/>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2020年3月23日，中匠民大国际工程设计有限公司出具评估结论：《三门峡市陕州区王寨路桥工程可行性研究报告》经我公司内部专家初评以及建筑、经济、电气、结构、城镇建设等方面五位专业专家评审，修改后的《三门峡市陕州区王寨路桥工程可行性研究报告》内容符合有关法律法规、政策规定符合相关规范及技术标准的要求，可研报告中项目设计方案、项目组织及管理、投资分析、社会效益分析、经济效益评价等内容均合理可行，格式合理，深度满足国家及省市相关文件对可研报告编制深度的规定，可以作为项目下一阶段的依据。评估前后项目主要信息如下：</w:t>
      </w:r>
    </w:p>
    <w:tbl>
      <w:tblPr>
        <w:tblStyle w:val="11"/>
        <w:tblW w:w="9030" w:type="dxa"/>
        <w:tblInd w:w="-2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3141"/>
        <w:gridCol w:w="3120"/>
        <w:gridCol w:w="823"/>
        <w:gridCol w:w="883"/>
      </w:tblGrid>
      <w:tr w14:paraId="2C447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9030" w:type="dxa"/>
            <w:gridSpan w:val="5"/>
            <w:vAlign w:val="center"/>
          </w:tcPr>
          <w:p w14:paraId="6E5A276D">
            <w:pPr>
              <w:pStyle w:val="9"/>
              <w:numPr>
                <w:ilvl w:val="0"/>
                <w:numId w:val="0"/>
              </w:numPr>
              <w:spacing w:line="240" w:lineRule="auto"/>
              <w:jc w:val="center"/>
              <w:rPr>
                <w:rFonts w:hint="eastAsia" w:ascii="宋体" w:hAnsi="宋体" w:eastAsia="宋体" w:cs="宋体"/>
                <w:color w:val="000000" w:themeColor="text1"/>
                <w:kern w:val="44"/>
                <w:sz w:val="24"/>
                <w:szCs w:val="24"/>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44"/>
                <w:sz w:val="30"/>
                <w:szCs w:val="30"/>
                <w:highlight w:val="none"/>
                <w:vertAlign w:val="baseline"/>
                <w:lang w:val="en-US" w:eastAsia="zh-CN" w:bidi="ar-SA"/>
                <w14:textFill>
                  <w14:solidFill>
                    <w14:schemeClr w14:val="tx1"/>
                  </w14:solidFill>
                </w14:textFill>
              </w:rPr>
              <w:t>项目建设规模（内容）评估前后对比表</w:t>
            </w:r>
          </w:p>
        </w:tc>
      </w:tr>
      <w:tr w14:paraId="0F1E4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Align w:val="center"/>
          </w:tcPr>
          <w:p w14:paraId="5F18F99F">
            <w:pPr>
              <w:pStyle w:val="9"/>
              <w:numPr>
                <w:ilvl w:val="0"/>
                <w:numId w:val="0"/>
              </w:numPr>
              <w:jc w:val="center"/>
              <w:rPr>
                <w:rFonts w:hint="eastAsia" w:ascii="宋体" w:hAnsi="宋体" w:eastAsia="宋体" w:cs="宋体"/>
                <w:b/>
                <w:bCs/>
                <w:color w:val="000000" w:themeColor="text1"/>
                <w:kern w:val="44"/>
                <w:sz w:val="24"/>
                <w:szCs w:val="24"/>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44"/>
                <w:sz w:val="24"/>
                <w:szCs w:val="24"/>
                <w:highlight w:val="none"/>
                <w:vertAlign w:val="baseline"/>
                <w:lang w:val="en-US" w:eastAsia="zh-CN" w:bidi="ar-SA"/>
                <w14:textFill>
                  <w14:solidFill>
                    <w14:schemeClr w14:val="tx1"/>
                  </w14:solidFill>
                </w14:textFill>
              </w:rPr>
              <w:t>项目名称</w:t>
            </w:r>
          </w:p>
        </w:tc>
        <w:tc>
          <w:tcPr>
            <w:tcW w:w="0" w:type="auto"/>
            <w:vAlign w:val="center"/>
          </w:tcPr>
          <w:p w14:paraId="33C74A00">
            <w:pPr>
              <w:pStyle w:val="9"/>
              <w:numPr>
                <w:ilvl w:val="0"/>
                <w:numId w:val="0"/>
              </w:numPr>
              <w:jc w:val="center"/>
              <w:rPr>
                <w:rFonts w:hint="eastAsia" w:ascii="宋体" w:hAnsi="宋体" w:eastAsia="宋体" w:cs="宋体"/>
                <w:b/>
                <w:bCs/>
                <w:color w:val="000000" w:themeColor="text1"/>
                <w:kern w:val="44"/>
                <w:sz w:val="24"/>
                <w:szCs w:val="24"/>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44"/>
                <w:sz w:val="24"/>
                <w:szCs w:val="24"/>
                <w:highlight w:val="none"/>
                <w:vertAlign w:val="baseline"/>
                <w:lang w:val="en-US" w:eastAsia="zh-CN" w:bidi="ar-SA"/>
                <w14:textFill>
                  <w14:solidFill>
                    <w14:schemeClr w14:val="tx1"/>
                  </w14:solidFill>
                </w14:textFill>
              </w:rPr>
              <w:t>评估前项目建设规模（内容）</w:t>
            </w:r>
          </w:p>
        </w:tc>
        <w:tc>
          <w:tcPr>
            <w:tcW w:w="0" w:type="auto"/>
            <w:vAlign w:val="center"/>
          </w:tcPr>
          <w:p w14:paraId="6A91D6F5">
            <w:pPr>
              <w:pStyle w:val="9"/>
              <w:numPr>
                <w:ilvl w:val="0"/>
                <w:numId w:val="0"/>
              </w:numPr>
              <w:jc w:val="center"/>
              <w:rPr>
                <w:rFonts w:hint="eastAsia" w:ascii="宋体" w:hAnsi="宋体" w:eastAsia="宋体" w:cs="宋体"/>
                <w:b/>
                <w:bCs/>
                <w:color w:val="000000" w:themeColor="text1"/>
                <w:kern w:val="44"/>
                <w:sz w:val="24"/>
                <w:szCs w:val="24"/>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44"/>
                <w:sz w:val="24"/>
                <w:szCs w:val="24"/>
                <w:highlight w:val="none"/>
                <w:vertAlign w:val="baseline"/>
                <w:lang w:val="en-US" w:eastAsia="zh-CN" w:bidi="ar-SA"/>
                <w14:textFill>
                  <w14:solidFill>
                    <w14:schemeClr w14:val="tx1"/>
                  </w14:solidFill>
                </w14:textFill>
              </w:rPr>
              <w:t>评估后项目建设规模（内容）</w:t>
            </w:r>
          </w:p>
        </w:tc>
        <w:tc>
          <w:tcPr>
            <w:tcW w:w="823" w:type="dxa"/>
            <w:vAlign w:val="center"/>
          </w:tcPr>
          <w:p w14:paraId="2941F9EE">
            <w:pPr>
              <w:pStyle w:val="9"/>
              <w:numPr>
                <w:ilvl w:val="0"/>
                <w:numId w:val="0"/>
              </w:numPr>
              <w:jc w:val="center"/>
              <w:rPr>
                <w:rFonts w:hint="eastAsia" w:ascii="宋体" w:hAnsi="宋体" w:eastAsia="宋体" w:cs="宋体"/>
                <w:b/>
                <w:bCs/>
                <w:color w:val="000000" w:themeColor="text1"/>
                <w:kern w:val="44"/>
                <w:sz w:val="24"/>
                <w:szCs w:val="24"/>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44"/>
                <w:sz w:val="24"/>
                <w:szCs w:val="24"/>
                <w:highlight w:val="none"/>
                <w:vertAlign w:val="baseline"/>
                <w:lang w:val="en-US" w:eastAsia="zh-CN" w:bidi="ar-SA"/>
                <w14:textFill>
                  <w14:solidFill>
                    <w14:schemeClr w14:val="tx1"/>
                  </w14:solidFill>
                </w14:textFill>
              </w:rPr>
              <w:t>评估前后建设规模(内容)对比</w:t>
            </w:r>
          </w:p>
        </w:tc>
        <w:tc>
          <w:tcPr>
            <w:tcW w:w="883" w:type="dxa"/>
            <w:vAlign w:val="center"/>
          </w:tcPr>
          <w:p w14:paraId="40EDDF51">
            <w:pPr>
              <w:pStyle w:val="9"/>
              <w:numPr>
                <w:ilvl w:val="0"/>
                <w:numId w:val="0"/>
              </w:numPr>
              <w:jc w:val="center"/>
              <w:rPr>
                <w:rFonts w:hint="eastAsia" w:ascii="宋体" w:hAnsi="宋体" w:eastAsia="宋体" w:cs="宋体"/>
                <w:b/>
                <w:bCs/>
                <w:color w:val="000000" w:themeColor="text1"/>
                <w:kern w:val="44"/>
                <w:sz w:val="24"/>
                <w:szCs w:val="24"/>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44"/>
                <w:sz w:val="24"/>
                <w:szCs w:val="24"/>
                <w:highlight w:val="none"/>
                <w:vertAlign w:val="baseline"/>
                <w:lang w:val="en-US" w:eastAsia="zh-CN" w:bidi="ar-SA"/>
                <w14:textFill>
                  <w14:solidFill>
                    <w14:schemeClr w14:val="tx1"/>
                  </w14:solidFill>
                </w14:textFill>
              </w:rPr>
              <w:t>对投资的影响情况</w:t>
            </w:r>
          </w:p>
        </w:tc>
      </w:tr>
      <w:tr w14:paraId="4C499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9" w:hRule="atLeast"/>
        </w:trPr>
        <w:tc>
          <w:tcPr>
            <w:tcW w:w="1063" w:type="dxa"/>
            <w:vAlign w:val="center"/>
          </w:tcPr>
          <w:p w14:paraId="52F6A97F">
            <w:pPr>
              <w:pStyle w:val="9"/>
              <w:numPr>
                <w:ilvl w:val="0"/>
                <w:numId w:val="0"/>
              </w:numPr>
              <w:spacing w:line="360" w:lineRule="auto"/>
              <w:jc w:val="cente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三门峡市陕州区王寨路桥工程</w:t>
            </w:r>
          </w:p>
        </w:tc>
        <w:tc>
          <w:tcPr>
            <w:tcW w:w="0" w:type="auto"/>
            <w:vAlign w:val="center"/>
          </w:tcPr>
          <w:p w14:paraId="1CDA6AB5">
            <w:pPr>
              <w:pStyle w:val="9"/>
              <w:numPr>
                <w:ilvl w:val="0"/>
                <w:numId w:val="0"/>
              </w:numPr>
              <w:spacing w:line="360" w:lineRule="auto"/>
              <w:jc w:val="cente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工程主要包括跨越城区金水河的王寨路桥及与两侧道路连接线。其中王寨路桥长70米、宽24米，道路连接线长29.87米,宽24米。主要建设内容包括桥梁工程、道路工程、给水工程、污水工程、雨水工程、照明工程、通讯工程、人行道板及河道改线等。</w:t>
            </w:r>
          </w:p>
        </w:tc>
        <w:tc>
          <w:tcPr>
            <w:tcW w:w="0" w:type="auto"/>
            <w:vAlign w:val="center"/>
          </w:tcPr>
          <w:p w14:paraId="25D9A406">
            <w:pPr>
              <w:pStyle w:val="9"/>
              <w:numPr>
                <w:ilvl w:val="0"/>
                <w:numId w:val="0"/>
              </w:numPr>
              <w:spacing w:line="360" w:lineRule="auto"/>
              <w:jc w:val="cente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工程主要包括跨越城区金水河的王寨路桥及与两侧道路连接线。其中王寨路桥长70米、宽24米。道路连接线长29.87米,宽24米主要建设内容包括桥梁工程、道路工程、给水工程、污水工程、雨水工程、照明工程、通讯工程、人行道板及河道改线等。</w:t>
            </w:r>
          </w:p>
        </w:tc>
        <w:tc>
          <w:tcPr>
            <w:tcW w:w="823" w:type="dxa"/>
            <w:vAlign w:val="center"/>
          </w:tcPr>
          <w:p w14:paraId="6203302A">
            <w:pPr>
              <w:pStyle w:val="9"/>
              <w:numPr>
                <w:ilvl w:val="0"/>
                <w:numId w:val="0"/>
              </w:numPr>
              <w:spacing w:line="360" w:lineRule="auto"/>
              <w:jc w:val="cente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保持不变</w:t>
            </w:r>
          </w:p>
        </w:tc>
        <w:tc>
          <w:tcPr>
            <w:tcW w:w="883" w:type="dxa"/>
            <w:vAlign w:val="center"/>
          </w:tcPr>
          <w:p w14:paraId="13FE04C5">
            <w:pPr>
              <w:pStyle w:val="9"/>
              <w:numPr>
                <w:ilvl w:val="0"/>
                <w:numId w:val="0"/>
              </w:numPr>
              <w:spacing w:line="360" w:lineRule="auto"/>
              <w:jc w:val="cente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无</w:t>
            </w:r>
          </w:p>
        </w:tc>
      </w:tr>
    </w:tbl>
    <w:p w14:paraId="18B2C575">
      <w:pPr>
        <w:pStyle w:val="9"/>
        <w:numPr>
          <w:ilvl w:val="0"/>
          <w:numId w:val="0"/>
        </w:numP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pPr>
    </w:p>
    <w:tbl>
      <w:tblPr>
        <w:tblStyle w:val="11"/>
        <w:tblW w:w="9045" w:type="dxa"/>
        <w:tblInd w:w="-2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1575"/>
        <w:gridCol w:w="1517"/>
        <w:gridCol w:w="1536"/>
        <w:gridCol w:w="1387"/>
        <w:gridCol w:w="2190"/>
      </w:tblGrid>
      <w:tr w14:paraId="7BC75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9045" w:type="dxa"/>
            <w:gridSpan w:val="6"/>
            <w:vAlign w:val="center"/>
          </w:tcPr>
          <w:p w14:paraId="5882CE6C">
            <w:pPr>
              <w:pStyle w:val="9"/>
              <w:numPr>
                <w:ilvl w:val="0"/>
                <w:numId w:val="0"/>
              </w:numPr>
              <w:spacing w:line="240" w:lineRule="auto"/>
              <w:jc w:val="center"/>
              <w:rPr>
                <w:rFonts w:hint="eastAsia" w:ascii="宋体" w:hAnsi="宋体" w:eastAsia="宋体" w:cs="宋体"/>
                <w:color w:val="000000" w:themeColor="text1"/>
                <w:kern w:val="44"/>
                <w:sz w:val="28"/>
                <w:szCs w:val="28"/>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44"/>
                <w:sz w:val="30"/>
                <w:szCs w:val="30"/>
                <w:highlight w:val="none"/>
                <w:vertAlign w:val="baseline"/>
                <w:lang w:val="en-US" w:eastAsia="zh-CN" w:bidi="ar-SA"/>
                <w14:textFill>
                  <w14:solidFill>
                    <w14:schemeClr w14:val="tx1"/>
                  </w14:solidFill>
                </w14:textFill>
              </w:rPr>
              <w:t>项目投资评估前后对比表</w:t>
            </w:r>
          </w:p>
        </w:tc>
      </w:tr>
      <w:tr w14:paraId="5CE0A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exact"/>
        </w:trPr>
        <w:tc>
          <w:tcPr>
            <w:tcW w:w="840" w:type="dxa"/>
            <w:vAlign w:val="center"/>
          </w:tcPr>
          <w:p w14:paraId="11DC725F">
            <w:pPr>
              <w:pStyle w:val="9"/>
              <w:numPr>
                <w:ilvl w:val="0"/>
                <w:numId w:val="0"/>
              </w:numPr>
              <w:spacing w:line="360" w:lineRule="auto"/>
              <w:jc w:val="center"/>
              <w:rPr>
                <w:rFonts w:hint="eastAsia" w:ascii="宋体" w:hAnsi="宋体" w:eastAsia="宋体" w:cs="宋体"/>
                <w:b/>
                <w:bCs/>
                <w:color w:val="000000" w:themeColor="text1"/>
                <w:kern w:val="44"/>
                <w:sz w:val="24"/>
                <w:szCs w:val="24"/>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44"/>
                <w:sz w:val="24"/>
                <w:szCs w:val="24"/>
                <w:highlight w:val="none"/>
                <w:vertAlign w:val="baseline"/>
                <w:lang w:val="en-US" w:eastAsia="zh-CN" w:bidi="ar-SA"/>
                <w14:textFill>
                  <w14:solidFill>
                    <w14:schemeClr w14:val="tx1"/>
                  </w14:solidFill>
                </w14:textFill>
              </w:rPr>
              <w:t>序号</w:t>
            </w:r>
          </w:p>
        </w:tc>
        <w:tc>
          <w:tcPr>
            <w:tcW w:w="1575" w:type="dxa"/>
            <w:vAlign w:val="center"/>
          </w:tcPr>
          <w:p w14:paraId="6167B24E">
            <w:pPr>
              <w:pStyle w:val="9"/>
              <w:numPr>
                <w:ilvl w:val="0"/>
                <w:numId w:val="0"/>
              </w:numPr>
              <w:spacing w:line="360" w:lineRule="auto"/>
              <w:jc w:val="center"/>
              <w:rPr>
                <w:rFonts w:hint="eastAsia" w:ascii="宋体" w:hAnsi="宋体" w:eastAsia="宋体" w:cs="宋体"/>
                <w:b/>
                <w:bCs/>
                <w:color w:val="000000" w:themeColor="text1"/>
                <w:kern w:val="44"/>
                <w:sz w:val="24"/>
                <w:szCs w:val="24"/>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44"/>
                <w:sz w:val="24"/>
                <w:szCs w:val="24"/>
                <w:highlight w:val="none"/>
                <w:vertAlign w:val="baseline"/>
                <w:lang w:val="en-US" w:eastAsia="zh-CN" w:bidi="ar-SA"/>
                <w14:textFill>
                  <w14:solidFill>
                    <w14:schemeClr w14:val="tx1"/>
                  </w14:solidFill>
                </w14:textFill>
              </w:rPr>
              <w:t>工程或费用名称</w:t>
            </w:r>
          </w:p>
        </w:tc>
        <w:tc>
          <w:tcPr>
            <w:tcW w:w="1517" w:type="dxa"/>
            <w:vAlign w:val="center"/>
          </w:tcPr>
          <w:p w14:paraId="41F1471B">
            <w:pPr>
              <w:pStyle w:val="9"/>
              <w:numPr>
                <w:ilvl w:val="0"/>
                <w:numId w:val="0"/>
              </w:numPr>
              <w:spacing w:line="360" w:lineRule="auto"/>
              <w:jc w:val="center"/>
              <w:rPr>
                <w:rFonts w:hint="eastAsia" w:ascii="宋体" w:hAnsi="宋体" w:eastAsia="宋体" w:cs="宋体"/>
                <w:b/>
                <w:bCs/>
                <w:color w:val="000000" w:themeColor="text1"/>
                <w:kern w:val="44"/>
                <w:sz w:val="24"/>
                <w:szCs w:val="24"/>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44"/>
                <w:sz w:val="24"/>
                <w:szCs w:val="24"/>
                <w:highlight w:val="none"/>
                <w:vertAlign w:val="baseline"/>
                <w:lang w:val="en-US" w:eastAsia="zh-CN" w:bidi="ar-SA"/>
                <w14:textFill>
                  <w14:solidFill>
                    <w14:schemeClr w14:val="tx1"/>
                  </w14:solidFill>
                </w14:textFill>
              </w:rPr>
              <w:t>评估前投资</w:t>
            </w:r>
          </w:p>
        </w:tc>
        <w:tc>
          <w:tcPr>
            <w:tcW w:w="1536" w:type="dxa"/>
            <w:vAlign w:val="center"/>
          </w:tcPr>
          <w:p w14:paraId="18977594">
            <w:pPr>
              <w:pStyle w:val="9"/>
              <w:numPr>
                <w:ilvl w:val="0"/>
                <w:numId w:val="0"/>
              </w:numPr>
              <w:spacing w:line="360" w:lineRule="auto"/>
              <w:jc w:val="center"/>
              <w:rPr>
                <w:rFonts w:hint="eastAsia" w:ascii="宋体" w:hAnsi="宋体" w:eastAsia="宋体" w:cs="宋体"/>
                <w:b/>
                <w:bCs/>
                <w:color w:val="000000" w:themeColor="text1"/>
                <w:kern w:val="44"/>
                <w:sz w:val="24"/>
                <w:szCs w:val="24"/>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44"/>
                <w:sz w:val="24"/>
                <w:szCs w:val="24"/>
                <w:highlight w:val="none"/>
                <w:vertAlign w:val="baseline"/>
                <w:lang w:val="en-US" w:eastAsia="zh-CN" w:bidi="ar-SA"/>
                <w14:textFill>
                  <w14:solidFill>
                    <w14:schemeClr w14:val="tx1"/>
                  </w14:solidFill>
                </w14:textFill>
              </w:rPr>
              <w:t>评估后投资</w:t>
            </w:r>
          </w:p>
        </w:tc>
        <w:tc>
          <w:tcPr>
            <w:tcW w:w="1387" w:type="dxa"/>
            <w:vAlign w:val="center"/>
          </w:tcPr>
          <w:p w14:paraId="2B6103E7">
            <w:pPr>
              <w:pStyle w:val="9"/>
              <w:numPr>
                <w:ilvl w:val="0"/>
                <w:numId w:val="0"/>
              </w:numPr>
              <w:spacing w:line="360" w:lineRule="auto"/>
              <w:jc w:val="center"/>
              <w:rPr>
                <w:rFonts w:hint="eastAsia" w:ascii="宋体" w:hAnsi="宋体" w:eastAsia="宋体" w:cs="宋体"/>
                <w:b/>
                <w:bCs/>
                <w:color w:val="000000" w:themeColor="text1"/>
                <w:kern w:val="44"/>
                <w:sz w:val="24"/>
                <w:szCs w:val="24"/>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44"/>
                <w:sz w:val="24"/>
                <w:szCs w:val="24"/>
                <w:highlight w:val="none"/>
                <w:vertAlign w:val="baseline"/>
                <w:lang w:val="en-US" w:eastAsia="zh-CN" w:bidi="ar-SA"/>
                <w14:textFill>
                  <w14:solidFill>
                    <w14:schemeClr w14:val="tx1"/>
                  </w14:solidFill>
                </w14:textFill>
              </w:rPr>
              <w:t>评估前后投资变动</w:t>
            </w:r>
          </w:p>
        </w:tc>
        <w:tc>
          <w:tcPr>
            <w:tcW w:w="2190" w:type="dxa"/>
            <w:vAlign w:val="center"/>
          </w:tcPr>
          <w:p w14:paraId="2EF9FBE6">
            <w:pPr>
              <w:pStyle w:val="9"/>
              <w:numPr>
                <w:ilvl w:val="0"/>
                <w:numId w:val="0"/>
              </w:numPr>
              <w:spacing w:line="360" w:lineRule="auto"/>
              <w:jc w:val="center"/>
              <w:rPr>
                <w:rFonts w:hint="eastAsia" w:ascii="宋体" w:hAnsi="宋体" w:eastAsia="宋体" w:cs="宋体"/>
                <w:b/>
                <w:bCs/>
                <w:color w:val="000000" w:themeColor="text1"/>
                <w:kern w:val="44"/>
                <w:sz w:val="24"/>
                <w:szCs w:val="24"/>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44"/>
                <w:sz w:val="24"/>
                <w:szCs w:val="24"/>
                <w:highlight w:val="none"/>
                <w:vertAlign w:val="baseline"/>
                <w:lang w:val="en-US" w:eastAsia="zh-CN" w:bidi="ar-SA"/>
                <w14:textFill>
                  <w14:solidFill>
                    <w14:schemeClr w14:val="tx1"/>
                  </w14:solidFill>
                </w14:textFill>
              </w:rPr>
              <w:t>备注</w:t>
            </w:r>
          </w:p>
        </w:tc>
      </w:tr>
      <w:tr w14:paraId="2B53B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40" w:type="dxa"/>
            <w:vAlign w:val="center"/>
          </w:tcPr>
          <w:p w14:paraId="779FB677">
            <w:pPr>
              <w:pStyle w:val="9"/>
              <w:numPr>
                <w:ilvl w:val="0"/>
                <w:numId w:val="0"/>
              </w:numPr>
              <w:spacing w:line="360" w:lineRule="auto"/>
              <w:jc w:val="cente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1</w:t>
            </w:r>
          </w:p>
        </w:tc>
        <w:tc>
          <w:tcPr>
            <w:tcW w:w="1575" w:type="dxa"/>
            <w:vAlign w:val="center"/>
          </w:tcPr>
          <w:p w14:paraId="75827E56">
            <w:pPr>
              <w:pStyle w:val="9"/>
              <w:numPr>
                <w:ilvl w:val="0"/>
                <w:numId w:val="0"/>
              </w:numPr>
              <w:spacing w:line="360" w:lineRule="auto"/>
              <w:jc w:val="left"/>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工程建设费用</w:t>
            </w:r>
          </w:p>
        </w:tc>
        <w:tc>
          <w:tcPr>
            <w:tcW w:w="1517" w:type="dxa"/>
            <w:vAlign w:val="center"/>
          </w:tcPr>
          <w:p w14:paraId="54B9969F">
            <w:pPr>
              <w:pStyle w:val="9"/>
              <w:numPr>
                <w:ilvl w:val="0"/>
                <w:numId w:val="0"/>
              </w:numPr>
              <w:spacing w:line="360" w:lineRule="auto"/>
              <w:jc w:val="right"/>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 xml:space="preserve"> 2,036.48 </w:t>
            </w:r>
          </w:p>
        </w:tc>
        <w:tc>
          <w:tcPr>
            <w:tcW w:w="1536" w:type="dxa"/>
            <w:vAlign w:val="center"/>
          </w:tcPr>
          <w:p w14:paraId="46056DD0">
            <w:pPr>
              <w:pStyle w:val="9"/>
              <w:numPr>
                <w:ilvl w:val="0"/>
                <w:numId w:val="0"/>
              </w:numPr>
              <w:spacing w:line="360" w:lineRule="auto"/>
              <w:jc w:val="right"/>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 xml:space="preserve"> 2,036.48 </w:t>
            </w:r>
          </w:p>
        </w:tc>
        <w:tc>
          <w:tcPr>
            <w:tcW w:w="1387" w:type="dxa"/>
            <w:vAlign w:val="center"/>
          </w:tcPr>
          <w:p w14:paraId="4CBAAB44">
            <w:pPr>
              <w:pStyle w:val="9"/>
              <w:numPr>
                <w:ilvl w:val="0"/>
                <w:numId w:val="0"/>
              </w:numPr>
              <w:spacing w:line="360" w:lineRule="auto"/>
              <w:jc w:val="right"/>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p>
        </w:tc>
        <w:tc>
          <w:tcPr>
            <w:tcW w:w="2190" w:type="dxa"/>
            <w:vAlign w:val="center"/>
          </w:tcPr>
          <w:p w14:paraId="7DCB5A4F">
            <w:pPr>
              <w:pStyle w:val="9"/>
              <w:numPr>
                <w:ilvl w:val="0"/>
                <w:numId w:val="0"/>
              </w:numPr>
              <w:spacing w:line="360" w:lineRule="auto"/>
              <w:jc w:val="cente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p>
        </w:tc>
      </w:tr>
      <w:tr w14:paraId="24471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exact"/>
        </w:trPr>
        <w:tc>
          <w:tcPr>
            <w:tcW w:w="840" w:type="dxa"/>
            <w:vAlign w:val="center"/>
          </w:tcPr>
          <w:p w14:paraId="735151FC">
            <w:pPr>
              <w:pStyle w:val="9"/>
              <w:numPr>
                <w:ilvl w:val="0"/>
                <w:numId w:val="0"/>
              </w:numPr>
              <w:spacing w:line="360" w:lineRule="auto"/>
              <w:jc w:val="cente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2</w:t>
            </w:r>
          </w:p>
        </w:tc>
        <w:tc>
          <w:tcPr>
            <w:tcW w:w="1575" w:type="dxa"/>
            <w:vAlign w:val="center"/>
          </w:tcPr>
          <w:p w14:paraId="5726B569">
            <w:pPr>
              <w:pStyle w:val="9"/>
              <w:numPr>
                <w:ilvl w:val="0"/>
                <w:numId w:val="0"/>
              </w:numPr>
              <w:spacing w:line="360" w:lineRule="auto"/>
              <w:jc w:val="left"/>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工程建设其他费用</w:t>
            </w:r>
          </w:p>
        </w:tc>
        <w:tc>
          <w:tcPr>
            <w:tcW w:w="1517" w:type="dxa"/>
            <w:vAlign w:val="center"/>
          </w:tcPr>
          <w:p w14:paraId="059232C7">
            <w:pPr>
              <w:pStyle w:val="9"/>
              <w:numPr>
                <w:ilvl w:val="0"/>
                <w:numId w:val="0"/>
              </w:numPr>
              <w:spacing w:line="360" w:lineRule="auto"/>
              <w:jc w:val="right"/>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 xml:space="preserve"> 219.96 </w:t>
            </w:r>
          </w:p>
        </w:tc>
        <w:tc>
          <w:tcPr>
            <w:tcW w:w="1536" w:type="dxa"/>
            <w:vAlign w:val="center"/>
          </w:tcPr>
          <w:p w14:paraId="2E0061D0">
            <w:pPr>
              <w:pStyle w:val="9"/>
              <w:numPr>
                <w:ilvl w:val="0"/>
                <w:numId w:val="0"/>
              </w:numPr>
              <w:spacing w:line="360" w:lineRule="auto"/>
              <w:jc w:val="right"/>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 xml:space="preserve"> 209.61 </w:t>
            </w:r>
          </w:p>
        </w:tc>
        <w:tc>
          <w:tcPr>
            <w:tcW w:w="1387" w:type="dxa"/>
            <w:vAlign w:val="center"/>
          </w:tcPr>
          <w:p w14:paraId="0A402E0B">
            <w:pPr>
              <w:pStyle w:val="9"/>
              <w:numPr>
                <w:ilvl w:val="0"/>
                <w:numId w:val="0"/>
              </w:numPr>
              <w:spacing w:line="360" w:lineRule="auto"/>
              <w:jc w:val="right"/>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 xml:space="preserve"> -10.35 </w:t>
            </w:r>
          </w:p>
        </w:tc>
        <w:tc>
          <w:tcPr>
            <w:tcW w:w="2190" w:type="dxa"/>
            <w:vAlign w:val="center"/>
          </w:tcPr>
          <w:p w14:paraId="0AF7D38D">
            <w:pPr>
              <w:pStyle w:val="9"/>
              <w:numPr>
                <w:ilvl w:val="0"/>
                <w:numId w:val="0"/>
              </w:numPr>
              <w:spacing w:line="240" w:lineRule="auto"/>
              <w:jc w:val="cente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根据专家意见建设单位管理费按分档当计费引起费用变动</w:t>
            </w:r>
          </w:p>
        </w:tc>
      </w:tr>
      <w:tr w14:paraId="4D2B7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exact"/>
        </w:trPr>
        <w:tc>
          <w:tcPr>
            <w:tcW w:w="840" w:type="dxa"/>
            <w:vAlign w:val="center"/>
          </w:tcPr>
          <w:p w14:paraId="12067766">
            <w:pPr>
              <w:pStyle w:val="9"/>
              <w:numPr>
                <w:ilvl w:val="0"/>
                <w:numId w:val="0"/>
              </w:numPr>
              <w:spacing w:line="360" w:lineRule="auto"/>
              <w:jc w:val="cente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3</w:t>
            </w:r>
          </w:p>
        </w:tc>
        <w:tc>
          <w:tcPr>
            <w:tcW w:w="1575" w:type="dxa"/>
            <w:vAlign w:val="center"/>
          </w:tcPr>
          <w:p w14:paraId="3502F6E3">
            <w:pPr>
              <w:pStyle w:val="9"/>
              <w:numPr>
                <w:ilvl w:val="0"/>
                <w:numId w:val="0"/>
              </w:numPr>
              <w:spacing w:line="360" w:lineRule="auto"/>
              <w:jc w:val="left"/>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基本预备费</w:t>
            </w:r>
          </w:p>
        </w:tc>
        <w:tc>
          <w:tcPr>
            <w:tcW w:w="1517" w:type="dxa"/>
            <w:vAlign w:val="center"/>
          </w:tcPr>
          <w:p w14:paraId="360B47EF">
            <w:pPr>
              <w:pStyle w:val="9"/>
              <w:numPr>
                <w:ilvl w:val="0"/>
                <w:numId w:val="0"/>
              </w:numPr>
              <w:spacing w:line="360" w:lineRule="auto"/>
              <w:jc w:val="right"/>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 xml:space="preserve"> 135.38 </w:t>
            </w:r>
          </w:p>
        </w:tc>
        <w:tc>
          <w:tcPr>
            <w:tcW w:w="1536" w:type="dxa"/>
            <w:vAlign w:val="center"/>
          </w:tcPr>
          <w:p w14:paraId="55358420">
            <w:pPr>
              <w:pStyle w:val="9"/>
              <w:numPr>
                <w:ilvl w:val="0"/>
                <w:numId w:val="0"/>
              </w:numPr>
              <w:spacing w:line="360" w:lineRule="auto"/>
              <w:jc w:val="right"/>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 xml:space="preserve"> 134.76 </w:t>
            </w:r>
          </w:p>
        </w:tc>
        <w:tc>
          <w:tcPr>
            <w:tcW w:w="1387" w:type="dxa"/>
            <w:vAlign w:val="center"/>
          </w:tcPr>
          <w:p w14:paraId="4317FCFA">
            <w:pPr>
              <w:pStyle w:val="9"/>
              <w:numPr>
                <w:ilvl w:val="0"/>
                <w:numId w:val="0"/>
              </w:numPr>
              <w:spacing w:line="360" w:lineRule="auto"/>
              <w:jc w:val="right"/>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 xml:space="preserve"> -0.62 </w:t>
            </w:r>
          </w:p>
        </w:tc>
        <w:tc>
          <w:tcPr>
            <w:tcW w:w="2190" w:type="dxa"/>
            <w:vAlign w:val="center"/>
          </w:tcPr>
          <w:p w14:paraId="03A48A74">
            <w:pPr>
              <w:pStyle w:val="9"/>
              <w:numPr>
                <w:ilvl w:val="0"/>
                <w:numId w:val="0"/>
              </w:numPr>
              <w:spacing w:line="240" w:lineRule="auto"/>
              <w:jc w:val="cente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因工程费用变化所导致相应调整</w:t>
            </w:r>
          </w:p>
        </w:tc>
      </w:tr>
      <w:tr w14:paraId="12AF0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exact"/>
        </w:trPr>
        <w:tc>
          <w:tcPr>
            <w:tcW w:w="2415" w:type="dxa"/>
            <w:gridSpan w:val="2"/>
            <w:vAlign w:val="center"/>
          </w:tcPr>
          <w:p w14:paraId="33001FCA">
            <w:pPr>
              <w:pStyle w:val="9"/>
              <w:numPr>
                <w:ilvl w:val="0"/>
                <w:numId w:val="0"/>
              </w:numPr>
              <w:spacing w:line="360" w:lineRule="auto"/>
              <w:jc w:val="center"/>
              <w:rPr>
                <w:rFonts w:hint="eastAsia" w:ascii="宋体" w:hAnsi="宋体" w:eastAsia="宋体" w:cs="宋体"/>
                <w:b/>
                <w:bCs/>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44"/>
                <w:sz w:val="21"/>
                <w:szCs w:val="21"/>
                <w:highlight w:val="none"/>
                <w:vertAlign w:val="baseline"/>
                <w:lang w:val="en-US" w:eastAsia="zh-CN" w:bidi="ar-SA"/>
                <w14:textFill>
                  <w14:solidFill>
                    <w14:schemeClr w14:val="tx1"/>
                  </w14:solidFill>
                </w14:textFill>
              </w:rPr>
              <w:t>项目总投资</w:t>
            </w:r>
          </w:p>
        </w:tc>
        <w:tc>
          <w:tcPr>
            <w:tcW w:w="1517" w:type="dxa"/>
            <w:vAlign w:val="center"/>
          </w:tcPr>
          <w:p w14:paraId="6D0A6985">
            <w:pPr>
              <w:pStyle w:val="9"/>
              <w:numPr>
                <w:ilvl w:val="0"/>
                <w:numId w:val="0"/>
              </w:numPr>
              <w:spacing w:line="360" w:lineRule="auto"/>
              <w:jc w:val="right"/>
              <w:rPr>
                <w:rFonts w:hint="eastAsia" w:ascii="宋体" w:hAnsi="宋体" w:eastAsia="宋体" w:cs="宋体"/>
                <w:b/>
                <w:bCs/>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44"/>
                <w:sz w:val="21"/>
                <w:szCs w:val="21"/>
                <w:highlight w:val="none"/>
                <w:vertAlign w:val="baseline"/>
                <w:lang w:val="en-US" w:eastAsia="zh-CN" w:bidi="ar-SA"/>
                <w14:textFill>
                  <w14:solidFill>
                    <w14:schemeClr w14:val="tx1"/>
                  </w14:solidFill>
                </w14:textFill>
              </w:rPr>
              <w:t xml:space="preserve"> 2,391.82 </w:t>
            </w:r>
          </w:p>
        </w:tc>
        <w:tc>
          <w:tcPr>
            <w:tcW w:w="1536" w:type="dxa"/>
            <w:vAlign w:val="center"/>
          </w:tcPr>
          <w:p w14:paraId="56A80E8B">
            <w:pPr>
              <w:pStyle w:val="9"/>
              <w:numPr>
                <w:ilvl w:val="0"/>
                <w:numId w:val="0"/>
              </w:numPr>
              <w:spacing w:line="360" w:lineRule="auto"/>
              <w:jc w:val="right"/>
              <w:rPr>
                <w:rFonts w:hint="eastAsia" w:ascii="宋体" w:hAnsi="宋体" w:eastAsia="宋体" w:cs="宋体"/>
                <w:b/>
                <w:bCs/>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44"/>
                <w:sz w:val="21"/>
                <w:szCs w:val="21"/>
                <w:highlight w:val="none"/>
                <w:vertAlign w:val="baseline"/>
                <w:lang w:val="en-US" w:eastAsia="zh-CN" w:bidi="ar-SA"/>
                <w14:textFill>
                  <w14:solidFill>
                    <w14:schemeClr w14:val="tx1"/>
                  </w14:solidFill>
                </w14:textFill>
              </w:rPr>
              <w:t xml:space="preserve"> 2,380.85 </w:t>
            </w:r>
          </w:p>
        </w:tc>
        <w:tc>
          <w:tcPr>
            <w:tcW w:w="1387" w:type="dxa"/>
            <w:vAlign w:val="center"/>
          </w:tcPr>
          <w:p w14:paraId="03918B90">
            <w:pPr>
              <w:pStyle w:val="9"/>
              <w:numPr>
                <w:ilvl w:val="0"/>
                <w:numId w:val="0"/>
              </w:numPr>
              <w:spacing w:line="360" w:lineRule="auto"/>
              <w:jc w:val="right"/>
              <w:rPr>
                <w:rFonts w:hint="eastAsia" w:ascii="宋体" w:hAnsi="宋体" w:eastAsia="宋体" w:cs="宋体"/>
                <w:b/>
                <w:bCs/>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44"/>
                <w:sz w:val="21"/>
                <w:szCs w:val="21"/>
                <w:highlight w:val="none"/>
                <w:vertAlign w:val="baseline"/>
                <w:lang w:val="en-US" w:eastAsia="zh-CN" w:bidi="ar-SA"/>
                <w14:textFill>
                  <w14:solidFill>
                    <w14:schemeClr w14:val="tx1"/>
                  </w14:solidFill>
                </w14:textFill>
              </w:rPr>
              <w:t xml:space="preserve"> -10.97 </w:t>
            </w:r>
          </w:p>
        </w:tc>
        <w:tc>
          <w:tcPr>
            <w:tcW w:w="2190" w:type="dxa"/>
            <w:vAlign w:val="center"/>
          </w:tcPr>
          <w:p w14:paraId="7D1BE5DE">
            <w:pPr>
              <w:pStyle w:val="9"/>
              <w:numPr>
                <w:ilvl w:val="0"/>
                <w:numId w:val="0"/>
              </w:numPr>
              <w:spacing w:line="240" w:lineRule="auto"/>
              <w:jc w:val="cente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44"/>
                <w:sz w:val="21"/>
                <w:szCs w:val="21"/>
                <w:highlight w:val="none"/>
                <w:vertAlign w:val="baseline"/>
                <w:lang w:val="en-US" w:eastAsia="zh-CN" w:bidi="ar-SA"/>
                <w14:textFill>
                  <w14:solidFill>
                    <w14:schemeClr w14:val="tx1"/>
                  </w14:solidFill>
                </w14:textFill>
              </w:rPr>
              <w:t>因上述费用导致总投资变动</w:t>
            </w:r>
          </w:p>
        </w:tc>
      </w:tr>
    </w:tbl>
    <w:p w14:paraId="7D127C63">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2020年3月24日，三门峡市陕州区住房和城乡建设局印发关于呈报《陕州区王寨路桥工程可行性研究报告》的请示（三陕住建文【2020】166号）。</w:t>
      </w:r>
    </w:p>
    <w:p w14:paraId="1FF9498A">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2020年3月25日，三门峡市陕州区发展和改革委员会印发关于对《陕州区王寨路桥工程可行性研究报告》的批复（三陕发改【2020】36号），批复了项目名称、建设地点、主要建设内容及规模、项目总投资及资金来源、项目建设周期、项目招标初步方案等内容。项目总投资及资金来源：经估算，项目总投资2380.85万元。资金来源为财政投资。项目建设周期：项目2020年7月开始，计划2021年12月竣工验收，建设周期18个月。</w:t>
      </w:r>
    </w:p>
    <w:p w14:paraId="3B77BB2D">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2022年4月8日，三门峡市陕州区住房和城乡建设局印发《关于申请对王寨路桥梁工程进行施工及监理招标的请示》（三陕住建文【2022】81号），为进一步提升城区道路通达性，根据城市建设提质工作要求及区委、区政府工作安排，计划实施王寨路桥梁工程，王寨路桥梁位于王寨路中段跨金水河，主桥长75米，宽24米。建设内容包括桥梁、雨污水、人行道板等，工程概算投资约为2,100.00万元。为加快项目进度，按照城建项目建设流程，现申请对王寨路桥梁工程进行施工及监理招标。</w:t>
      </w:r>
    </w:p>
    <w:p w14:paraId="6A35B3B2">
      <w:pPr>
        <w:pStyle w:val="9"/>
        <w:ind w:left="0" w:leftChars="0" w:firstLine="560" w:firstLineChars="200"/>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2022年4月8日，三门峡市陕州区住房和城乡建设局《关于申请对王寨路桥梁工程进行施工及监理招标的请示》（三陕住建文【2022】81号），得到上级批复。</w:t>
      </w:r>
    </w:p>
    <w:p w14:paraId="5E34F6FB">
      <w:pPr>
        <w:pStyle w:val="9"/>
        <w:ind w:left="0" w:leftChars="0" w:firstLine="560" w:firstLineChars="200"/>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三门峡市陕州区住房和城乡建设局委托河南圣基工程咨询有限公司三门峡分公司对陕州区王寨路桥工程编制工程量清单及招标控制价，最终陕州区王寨路桥工程招标控制价17,191,533.58元。</w:t>
      </w:r>
    </w:p>
    <w:p w14:paraId="27776E6F">
      <w:pPr>
        <w:pStyle w:val="9"/>
        <w:ind w:left="0" w:leftChars="0" w:firstLine="560" w:firstLineChars="200"/>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2022年4月18日，三门峡市陕州区住房和城乡建设局委托河南天一工程管理有限公司为陕州区王寨路桥工程施工及监理项目提供招投标代理服务。</w:t>
      </w:r>
    </w:p>
    <w:p w14:paraId="3823DF40">
      <w:pPr>
        <w:pStyle w:val="9"/>
        <w:ind w:left="0" w:leftChars="0" w:firstLine="560" w:firstLineChars="200"/>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2022年6月10日，受三门峡市陕州区财政局委托，北京福陆工程管理有限公司出具《三门峡市陕州区王寨路跨金水河桥梁工程招标控制价评审报告》（京福陆评审字(2022)S007），显示三门峡市陕州区王寨路跨金水河桥梁工程申报造价17,191,533.58元，审定造价17,060,034.23元，综合审减金额131,499.35元。</w:t>
      </w:r>
    </w:p>
    <w:p w14:paraId="1EE92B0B">
      <w:pPr>
        <w:pStyle w:val="9"/>
        <w:ind w:left="0" w:leftChars="0" w:firstLine="560" w:firstLineChars="200"/>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2022年6月22日，三门峡市陕州区财政投资评审中心印发《建设项目投资评审结论》（陕财评审字【2022】38号），显示三门峡市陕州区王寨路跨金水河桥梁工程施工及监理项目评审结果如下：原报控制价17,191,533.58元，审定控制价17,060,034.23元，综合审减金额131,499.35元。</w:t>
      </w:r>
    </w:p>
    <w:p w14:paraId="2EA9CCC9">
      <w:pPr>
        <w:pStyle w:val="9"/>
        <w:ind w:left="0" w:leftChars="0" w:firstLine="560" w:firstLineChars="200"/>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2022年7月1日，河南天一工程管理有限公司在《中国招标投标公共服务平台》、《河南省政府采购网》、《三门峡市公共资源交易中心网》上同时发布三门峡市陕州区王寨路跨金水河桥梁工程施工及监理项目招标公告。招标文件获取时间2022年7月2日至2022年7月22日08时30分。开标时间2022年07月22日08时30分00秒。开标地点三门峡市陕州区公共资源交易中心第二开标室。项目一标段为施工标，限价17,060,034.23元，二标段为监理标，限价项目施工中标金额的1.45%。</w:t>
      </w:r>
    </w:p>
    <w:p w14:paraId="2D9CF838">
      <w:pPr>
        <w:pStyle w:val="9"/>
        <w:ind w:left="0" w:leftChars="0" w:firstLine="560" w:firstLineChars="200"/>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2022年7月22日08时30分，在三门峡市陕州区公共资源交易中心进行招标会议，共收到7家单位递交的投标文件。一标段4家：河南省康达公路建设有限公司、三门峡市君腾建设有限公司、河南锦路路桥建设有限公司、三门峡市源泰市政工程有限公司。二标段3家：河南省亿达工程管理咨询有限公司、河南顺成建设工程管理有限公司、河南鑫东辰工程管理有限公司。</w:t>
      </w:r>
    </w:p>
    <w:p w14:paraId="6394BDD7">
      <w:pPr>
        <w:pStyle w:val="9"/>
        <w:ind w:left="0" w:leftChars="0" w:firstLine="560" w:firstLineChars="200"/>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2022年7月26日，河南天一工程管理有限公司在《中国招标投标公共服务平台》、《河南省政府采购网》、《三门峡市公共资源交易中心网》同时发布了结果公告：一标段中标人河南省康达公路建设有限公司，中标金额16,809,673.63元；二标段中标人河南省亿达工程管理咨询有限公司，中标金额施工中标金额的1.35%。</w:t>
      </w:r>
    </w:p>
    <w:p w14:paraId="24CB3FA1">
      <w:pPr>
        <w:pStyle w:val="9"/>
        <w:ind w:left="0" w:leftChars="0" w:firstLine="560" w:firstLineChars="200"/>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2022年7月26日，招标单位三门峡市陕州区住房和城乡建设局、代理机构河南天一工程管理有限公司、监督单位三门峡市陕州区城市管理局，向一标及二标的中标单位印发了《中标通知书》。</w:t>
      </w:r>
    </w:p>
    <w:p w14:paraId="4D4E5185">
      <w:pPr>
        <w:pStyle w:val="9"/>
        <w:ind w:left="0" w:leftChars="0" w:firstLine="560" w:firstLineChars="200"/>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2022年7月26日，三门峡市陕州区住房和城乡建设局与河南省康达公路建设有限公司签订施工合同，合同工期90日历天，2022年8月10日—2022年11月10日。合同金额16,809,673.63元，付款方式:在项目完成审计前，工程款支付累计不超过总价款的70%，工程竣工验收合格经审计后，除留取总价款的3%作为质量保证金外，付清剩余工程款项。</w:t>
      </w:r>
    </w:p>
    <w:p w14:paraId="3D85FF99">
      <w:pPr>
        <w:pStyle w:val="9"/>
        <w:ind w:left="0" w:leftChars="0" w:firstLine="560" w:firstLineChars="200"/>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2022年8月1日，三门峡市陕州区住房和城乡建设局与河南省亿达工程管理咨询有限公司签订监理合同，合同金额226,930.59元，付款方式:工程完成60%，支付监理服务费的50%；工程完成90%，支付监理服务费的70%；工程完工，支付监理服务费的90%；工程完工验收合格，监理服务酬金全部付完。</w:t>
      </w:r>
    </w:p>
    <w:p w14:paraId="29397348">
      <w:pPr>
        <w:pStyle w:val="9"/>
        <w:ind w:left="0" w:leftChars="0" w:firstLine="560" w:firstLineChars="200"/>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2022年11月25日，项目竣工。</w:t>
      </w:r>
    </w:p>
    <w:p w14:paraId="01A1691B">
      <w:pPr>
        <w:pStyle w:val="9"/>
        <w:ind w:left="0" w:leftChars="0" w:firstLine="560" w:firstLineChars="200"/>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2024年11月11日，</w:t>
      </w:r>
      <w:r>
        <w:rPr>
          <w:rFonts w:hint="eastAsia" w:ascii="宋体" w:hAnsi="宋体" w:eastAsia="宋体" w:cs="宋体"/>
          <w:color w:val="000000" w:themeColor="text1"/>
          <w:kern w:val="44"/>
          <w:sz w:val="28"/>
          <w:szCs w:val="28"/>
          <w:lang w:val="en-US" w:eastAsia="zh-CN"/>
          <w14:textFill>
            <w14:solidFill>
              <w14:schemeClr w14:val="tx1"/>
            </w14:solidFill>
          </w14:textFill>
        </w:rPr>
        <w:t>三门峡市陕州区住房和城乡建设局委托三门峡市正则工程造价咨询事务所(普通合伙)对项目进行工程结算审核。</w:t>
      </w:r>
    </w:p>
    <w:p w14:paraId="5CB7FC69">
      <w:pPr>
        <w:pStyle w:val="9"/>
        <w:ind w:left="0" w:leftChars="0" w:firstLine="560" w:firstLineChars="200"/>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2025年2月17日，三门峡市陕州区财政局印发《关于下达陕州区王寨路桥梁工程2025年河南省政府专项债券(一至二期)资金的通知》（三陕财预(2025〕490号），下达三门峡市陕州区住房与城乡建设局2025年河南省政府专项债券(一期至二期)置换存量资金1177万元，主要用于陕州区王寨路桥梁工程。</w:t>
      </w:r>
    </w:p>
    <w:p w14:paraId="7E1B052F">
      <w:pPr>
        <w:pStyle w:val="9"/>
        <w:ind w:left="0" w:leftChars="0" w:firstLine="560" w:firstLineChars="200"/>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2025年4月8日，三门峡市正则工程造价咨询事务所(普通合伙)出具《三门峡市陕州区王寨路跨金水河桥梁工程结算审核报告》（正则审字【2025】第24号），显示项目项目送审造价17,730,024.52元，审减1,292,299.19元，审定造价16,437,725.33元。</w:t>
      </w:r>
    </w:p>
    <w:p w14:paraId="7BAC140B">
      <w:pPr>
        <w:pStyle w:val="9"/>
        <w:ind w:left="0" w:leftChars="0" w:firstLine="560" w:firstLineChars="200"/>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2025年4月9日,支付给陕州区王寨路桥工程施工方河南省康达公路建设有限公司11,766,771.54元。</w:t>
      </w:r>
    </w:p>
    <w:p w14:paraId="4DBF4F24">
      <w:pPr>
        <w:pStyle w:val="9"/>
        <w:ind w:left="0" w:leftChars="0" w:firstLine="560" w:firstLineChars="200"/>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2025年12月17日,支付给陕州区王寨路桥工程施工方河南省康达公路建设有限公司3,228.46元。</w:t>
      </w:r>
    </w:p>
    <w:p w14:paraId="7EF2B45D">
      <w:pPr>
        <w:numPr>
          <w:ilvl w:val="0"/>
          <w:numId w:val="0"/>
        </w:numPr>
        <w:spacing w:line="360" w:lineRule="auto"/>
        <w:ind w:firstLine="560" w:firstLineChars="200"/>
        <w:jc w:val="center"/>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陕州区金华路道路工程</w:t>
      </w:r>
    </w:p>
    <w:p w14:paraId="14DA4718">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2018年9月28日，三门峡市陕州区住房和城乡建设局印发关于呈报《金华路桥工程可行性研究报告》的请示（三陕住建文【2018】200号）。</w:t>
      </w:r>
    </w:p>
    <w:p w14:paraId="52429285">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2018年11月19日，三门峡市陕州区发展和改革委员会印发关于对《金华路工程可行性研究报告》的批复（三陕发改【2018】97号），</w:t>
      </w:r>
      <w:r>
        <w:rPr>
          <w:rFonts w:hint="eastAsia" w:ascii="宋体" w:hAnsi="宋体" w:eastAsia="宋体" w:cs="宋体"/>
          <w:color w:val="000000" w:themeColor="text1"/>
          <w:kern w:val="44"/>
          <w:sz w:val="28"/>
          <w:szCs w:val="28"/>
          <w:lang w:val="en-US" w:eastAsia="zh-CN"/>
          <w14:textFill>
            <w14:solidFill>
              <w14:schemeClr w14:val="tx1"/>
            </w14:solidFill>
          </w14:textFill>
        </w:rPr>
        <w:t>批复了建设地点、主要建设规模及内容、项目总投资及资金来源、建设年限等内容。资金来源：经估算，项目总投资3,160.87万元(不含前期征地拆迁费)其中，工程费用2,621.99万元，工程建设其他费用304.74万元，预备费234.14万元，本项目拟采用政府投资，资金由区财政筹措。建设年限:2019年3月至2019年12月。</w:t>
      </w:r>
    </w:p>
    <w:p w14:paraId="509ACA24">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2022年4月8日，三门峡市陕州区住房和城乡建设局印发《关于申请对金华路桥梁工程进行施工及监理招标的请示》（三陕住建文【2022】86号），为进一步提升城区道路通达性，根据城市建设提质工作要求及区委、区政府工作安排，计划实施金华路桥梁工程，金华路桥梁位于金华路中段跨金水河，主桥长90米，宽30米。建设内容包括桥梁、雨污水、人行道板等，工程概算投资约为2,200.00万元。为加快项目进度，按照城建项目建设流程，现申请对金华路桥梁工程进行施工及监理招标。</w:t>
      </w:r>
    </w:p>
    <w:p w14:paraId="4294CFDC">
      <w:pPr>
        <w:pStyle w:val="9"/>
        <w:ind w:left="0" w:leftChars="0" w:firstLine="560" w:firstLineChars="200"/>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2022年4月8日，三门峡市陕州区住房和城乡建设局《关于申请对金华路桥梁工程进行施工及监理招标的请示》（三陕住建文【2022】86号），得到上级批复。</w:t>
      </w:r>
    </w:p>
    <w:p w14:paraId="77D108B0">
      <w:pPr>
        <w:pStyle w:val="9"/>
        <w:ind w:left="0" w:leftChars="0" w:firstLine="560" w:firstLineChars="200"/>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2022年4月18日，三门峡市陕州区住房和城乡建设局委托中恒晟(北京)工程管理有限公司为陕州区金华路跨金水河桥梁工程施工及监理项目提供招投标代理服务。</w:t>
      </w:r>
    </w:p>
    <w:p w14:paraId="497D2E84">
      <w:pPr>
        <w:pStyle w:val="9"/>
        <w:ind w:left="0" w:leftChars="0" w:firstLine="560" w:firstLineChars="200"/>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三门峡市陕州区住房和城乡建设局委托河南圣基工程咨询有限公司三门峡分公司对金华路桥梁工程项目编制工程量清单及招标控制价，最终金华路桥梁工程项目招标控制价</w:t>
      </w: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18,315,009.02</w:t>
      </w:r>
      <w:r>
        <w:rPr>
          <w:rFonts w:hint="eastAsia" w:ascii="宋体" w:hAnsi="宋体" w:eastAsia="宋体" w:cs="宋体"/>
          <w:color w:val="000000" w:themeColor="text1"/>
          <w:kern w:val="44"/>
          <w:sz w:val="28"/>
          <w:szCs w:val="28"/>
          <w:lang w:val="en-US" w:eastAsia="zh-CN"/>
          <w14:textFill>
            <w14:solidFill>
              <w14:schemeClr w14:val="tx1"/>
            </w14:solidFill>
          </w14:textFill>
        </w:rPr>
        <w:t>元。</w:t>
      </w:r>
    </w:p>
    <w:p w14:paraId="5BC4DB9F">
      <w:pPr>
        <w:pStyle w:val="9"/>
        <w:ind w:left="0" w:leftChars="0" w:firstLine="560" w:firstLineChars="200"/>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2022年6月21日，受三门峡市陕州区财政局委托，河南常燊工程管理有限责任公司出具《三门峡市陕州区金华路跨金水河桥梁工程招标控制价评审报告》（常燊建审字(2022)23号），显示三门峡市陕州区金华路跨金水河桥梁工程申报造价18,315,009.02元，审定造价17,789,541.72元，综合审减金额525,467.30元。</w:t>
      </w:r>
    </w:p>
    <w:p w14:paraId="0BDA6003">
      <w:pPr>
        <w:pStyle w:val="9"/>
        <w:ind w:left="0" w:leftChars="0" w:firstLine="560" w:firstLineChars="200"/>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2022年6月22日，三门峡市陕州区财政投资评审中心印发《建设项目投资评审结论》（陕财评审字【2022】39号），显示三门峡市陕州区金华路跨金水河桥梁工程施工及监理项目评审结果如下：原报控制价18,315,009.02元，审定控制价17,789,541.72元，综合审减金额525,467.30元。</w:t>
      </w:r>
    </w:p>
    <w:p w14:paraId="16699BCC">
      <w:pPr>
        <w:pStyle w:val="9"/>
        <w:ind w:left="0" w:leftChars="0" w:firstLine="560" w:firstLineChars="200"/>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2022年6月30日，中恒晟(北京)工程管理有限公司在《河南省政府采购网》、《河南省电子招标投标公共服务平台》、《三门峡市公共资源交易中心网》上同时发布三门峡市陕州区金华路跨金水河桥梁工程施工及监理项目招标公告。招标文件获取时间2022年7月4日至2022年7月26日08时 30分。开标时间2022年07月26日08时30分00秒。开标地点三门峡市陕州区公共资源交易中心第一开标室。项目一标段为施工标，限价17,789,541.72元，二标段为监理标，限价项目施工中标金额的1.45%。</w:t>
      </w:r>
    </w:p>
    <w:p w14:paraId="48B97681">
      <w:pPr>
        <w:pStyle w:val="9"/>
        <w:ind w:left="0" w:leftChars="0" w:firstLine="560" w:firstLineChars="200"/>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2022年7月26日08时30分，在三门峡市陕州区公共资源交易中心进行招标会议，共收到7家单位递交的投标文件。一标段4家：河南省康达公路建设有限公司、三门峡市源泰市政工程有限公司、河南锦路路桥建设有限公司、三门峡市君腾建设有限公司。二标段3家：新正源项目咨询有限公司、河南泰安工程管理有限公司、河南汇元工程咨询有限公司。</w:t>
      </w:r>
    </w:p>
    <w:p w14:paraId="4D0F6504">
      <w:pPr>
        <w:pStyle w:val="9"/>
        <w:ind w:left="0" w:leftChars="0" w:firstLine="560" w:firstLineChars="200"/>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2022年7月26日，中恒晟(北京)工程管理有限公司在</w:t>
      </w:r>
      <w:r>
        <w:rPr>
          <w:rFonts w:hint="eastAsia" w:ascii="宋体" w:hAnsi="宋体" w:eastAsia="宋体" w:cs="宋体"/>
          <w:i w:val="0"/>
          <w:iCs w:val="0"/>
          <w:caps w:val="0"/>
          <w:color w:val="000000" w:themeColor="text1"/>
          <w:spacing w:val="0"/>
          <w:sz w:val="28"/>
          <w:szCs w:val="28"/>
          <w14:textFill>
            <w14:solidFill>
              <w14:schemeClr w14:val="tx1"/>
            </w14:solidFill>
          </w14:textFill>
        </w:rPr>
        <w:t>《河南省政府采购网》、《河南省电子招投标公共服务平台》、《三门峡市公共资源交易中心网》</w:t>
      </w: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同时发布了结果公告：一标段中标人河南省康达公路建设有限公司，中标金额17,522,291.56元；二标段中标人新正源项目咨询有限公司，中标金额施工中标金额的1.44%。</w:t>
      </w:r>
    </w:p>
    <w:p w14:paraId="0EAC41D6">
      <w:pPr>
        <w:pStyle w:val="9"/>
        <w:ind w:left="0" w:leftChars="0" w:firstLine="560" w:firstLineChars="200"/>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2022年8月9日，招标单位三门峡市陕州区住房和城乡建设局、代理机构中恒晟(北京)工程管理有限公司、监督单位三门峡市陕州区城市管理局，向一标及二标的中标单位印发了《中标通知书》。</w:t>
      </w:r>
    </w:p>
    <w:p w14:paraId="6DF731CD">
      <w:pPr>
        <w:pStyle w:val="9"/>
        <w:ind w:left="0" w:leftChars="0" w:firstLine="560" w:firstLineChars="200"/>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2022年8月9日，三门峡市陕州区住房和城乡建设局与新正源项目咨询有限公司签订监理合同，合同金额252,321.00元，付款方式:工程完成60%，支付监理服务费的50%；工程完成90%，支付监理服务费的70%；工程完工，支付监理服务费的90%；工程完工验收合格，监理服务酬金全部付完。</w:t>
      </w:r>
    </w:p>
    <w:p w14:paraId="6D998BFB">
      <w:pPr>
        <w:pStyle w:val="9"/>
        <w:ind w:left="0" w:leftChars="0" w:firstLine="560" w:firstLineChars="200"/>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2022年8月15日，三门峡市陕州区住房和城乡建设局与河南省康达公路建设有限公司签订施工合同，合同工期60日历天，2022年8月16日—2022年10月15日。合同金额 17,522,291.56 元，付款方式:在项目完成审计前，工程款支付累计不超过总价款的70%，工程竣工验收合格经审计后，除留取总价款的3%作为质量保证金外，付清剩余工程款项。</w:t>
      </w:r>
    </w:p>
    <w:p w14:paraId="29D26932">
      <w:pPr>
        <w:pStyle w:val="9"/>
        <w:ind w:left="0" w:leftChars="0" w:firstLine="560" w:firstLineChars="200"/>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2022年11月28日，项目竣工。2024年10月24日，项目验收，验收结论合格。</w:t>
      </w:r>
    </w:p>
    <w:p w14:paraId="1DA56C87">
      <w:pPr>
        <w:pStyle w:val="9"/>
        <w:ind w:left="0" w:leftChars="0" w:firstLine="560" w:firstLineChars="200"/>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2024年11月11日，</w:t>
      </w:r>
      <w:r>
        <w:rPr>
          <w:rFonts w:hint="eastAsia" w:ascii="宋体" w:hAnsi="宋体" w:eastAsia="宋体" w:cs="宋体"/>
          <w:color w:val="000000" w:themeColor="text1"/>
          <w:kern w:val="44"/>
          <w:sz w:val="28"/>
          <w:szCs w:val="28"/>
          <w:lang w:val="en-US" w:eastAsia="zh-CN"/>
          <w14:textFill>
            <w14:solidFill>
              <w14:schemeClr w14:val="tx1"/>
            </w14:solidFill>
          </w14:textFill>
        </w:rPr>
        <w:t>三门峡市陕州区住房和城乡建设局委托三门峡市正则工程造价咨询事务所(普通合伙)对项目进行工程结算审核。</w:t>
      </w:r>
    </w:p>
    <w:p w14:paraId="7A4494F0">
      <w:pPr>
        <w:pStyle w:val="9"/>
        <w:ind w:left="0" w:leftChars="0" w:firstLine="560" w:firstLineChars="200"/>
        <w:rPr>
          <w:rFonts w:hint="default"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2025年2月17日，三门峡市陕州区财政局印发《关于下达陕州区金华路跨金水河桥梁工程2025年河南省政府专项债券(一至二期)资金的通知》（三陕财预(2025〕49</w:t>
      </w:r>
      <w:r>
        <w:rPr>
          <w:rFonts w:hint="eastAsia" w:ascii="宋体" w:hAnsi="宋体" w:cs="宋体"/>
          <w:color w:val="000000" w:themeColor="text1"/>
          <w:kern w:val="44"/>
          <w:sz w:val="28"/>
          <w:szCs w:val="28"/>
          <w:lang w:val="en-US" w:eastAsia="zh-CN"/>
          <w14:textFill>
            <w14:solidFill>
              <w14:schemeClr w14:val="tx1"/>
            </w14:solidFill>
          </w14:textFill>
        </w:rPr>
        <w:t>1</w:t>
      </w:r>
      <w:r>
        <w:rPr>
          <w:rFonts w:hint="eastAsia" w:ascii="宋体" w:hAnsi="宋体" w:eastAsia="宋体" w:cs="宋体"/>
          <w:color w:val="000000" w:themeColor="text1"/>
          <w:kern w:val="44"/>
          <w:sz w:val="28"/>
          <w:szCs w:val="28"/>
          <w:lang w:val="en-US" w:eastAsia="zh-CN"/>
          <w14:textFill>
            <w14:solidFill>
              <w14:schemeClr w14:val="tx1"/>
            </w14:solidFill>
          </w14:textFill>
        </w:rPr>
        <w:t>号），下达三门峡市陕州区住房与城乡建设局2025年河南省政府专项债券(一期至二期)置换存量资金1,227.00万元，主要用于陕州区金华路跨金水河桥梁工程</w:t>
      </w:r>
      <w:r>
        <w:rPr>
          <w:rFonts w:hint="eastAsia" w:ascii="宋体" w:hAnsi="宋体" w:cs="宋体"/>
          <w:color w:val="000000" w:themeColor="text1"/>
          <w:kern w:val="44"/>
          <w:sz w:val="28"/>
          <w:szCs w:val="28"/>
          <w:lang w:val="en-US" w:eastAsia="zh-CN"/>
          <w14:textFill>
            <w14:solidFill>
              <w14:schemeClr w14:val="tx1"/>
            </w14:solidFill>
          </w14:textFill>
        </w:rPr>
        <w:t>。</w:t>
      </w:r>
    </w:p>
    <w:p w14:paraId="464A3BF6">
      <w:pPr>
        <w:pStyle w:val="9"/>
        <w:ind w:left="0" w:leftChars="0" w:firstLine="560" w:firstLineChars="200"/>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2025年4月8日，三门峡市正则工程造价咨询事务所(普通合伙)出具《三门峡市陕州区金华路跨金水河桥梁工程结算审核报告》（正则审字【2025】第25号），显示项目项目送审造价19,123,102.22元，审减1,647,043.80元，审定造价17,476,058.42元。</w:t>
      </w:r>
    </w:p>
    <w:p w14:paraId="3A99B428">
      <w:pPr>
        <w:pStyle w:val="9"/>
        <w:ind w:left="0" w:leftChars="0" w:firstLine="560" w:firstLineChars="200"/>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2025年4月9日,支付给</w:t>
      </w: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陕州区金华路跨金水河桥梁工程</w:t>
      </w:r>
      <w:r>
        <w:rPr>
          <w:rFonts w:hint="eastAsia" w:ascii="宋体" w:hAnsi="宋体" w:eastAsia="宋体" w:cs="宋体"/>
          <w:color w:val="000000" w:themeColor="text1"/>
          <w:kern w:val="44"/>
          <w:sz w:val="28"/>
          <w:szCs w:val="28"/>
          <w:lang w:val="en-US" w:eastAsia="zh-CN"/>
          <w14:textFill>
            <w14:solidFill>
              <w14:schemeClr w14:val="tx1"/>
            </w14:solidFill>
          </w14:textFill>
        </w:rPr>
        <w:t>施工方河南省康达公路建设有限公司12,265,604.09元。</w:t>
      </w:r>
    </w:p>
    <w:p w14:paraId="2DD45CCA">
      <w:pPr>
        <w:pStyle w:val="9"/>
        <w:ind w:left="0" w:leftChars="0" w:firstLine="560" w:firstLineChars="200"/>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2025年12月17日,支付给</w:t>
      </w: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陕州区金华路跨金水河桥梁工程</w:t>
      </w:r>
      <w:r>
        <w:rPr>
          <w:rFonts w:hint="eastAsia" w:ascii="宋体" w:hAnsi="宋体" w:eastAsia="宋体" w:cs="宋体"/>
          <w:color w:val="000000" w:themeColor="text1"/>
          <w:kern w:val="44"/>
          <w:sz w:val="28"/>
          <w:szCs w:val="28"/>
          <w:lang w:val="en-US" w:eastAsia="zh-CN"/>
          <w14:textFill>
            <w14:solidFill>
              <w14:schemeClr w14:val="tx1"/>
            </w14:solidFill>
          </w14:textFill>
        </w:rPr>
        <w:t>施工方河南省康达公路建设有限公司4,395.91元。</w:t>
      </w:r>
    </w:p>
    <w:p w14:paraId="4E101F3D">
      <w:pPr>
        <w:numPr>
          <w:ilvl w:val="0"/>
          <w:numId w:val="16"/>
        </w:numPr>
        <w:spacing w:line="360" w:lineRule="auto"/>
        <w:ind w:left="0" w:leftChars="0" w:firstLine="283" w:firstLineChars="0"/>
        <w:jc w:val="left"/>
        <w:outlineLvl w:val="2"/>
        <w:rPr>
          <w:rFonts w:hint="eastAsia" w:ascii="宋体" w:hAnsi="宋体" w:eastAsia="宋体" w:cs="宋体"/>
          <w:color w:val="000000" w:themeColor="text1"/>
          <w:kern w:val="44"/>
          <w:sz w:val="28"/>
          <w:szCs w:val="28"/>
          <w14:textFill>
            <w14:solidFill>
              <w14:schemeClr w14:val="tx1"/>
            </w14:solidFill>
          </w14:textFill>
        </w:rPr>
      </w:pPr>
      <w:bookmarkStart w:id="26" w:name="_Toc14239"/>
      <w:r>
        <w:rPr>
          <w:rFonts w:hint="eastAsia" w:ascii="宋体" w:hAnsi="宋体" w:eastAsia="宋体" w:cs="宋体"/>
          <w:color w:val="000000" w:themeColor="text1"/>
          <w:kern w:val="44"/>
          <w:sz w:val="28"/>
          <w:szCs w:val="28"/>
          <w14:textFill>
            <w14:solidFill>
              <w14:schemeClr w14:val="tx1"/>
            </w14:solidFill>
          </w14:textFill>
        </w:rPr>
        <w:t>项目管理情况分析</w:t>
      </w:r>
      <w:bookmarkEnd w:id="26"/>
    </w:p>
    <w:p w14:paraId="2E0E6BD4">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项目建设单位三门峡市陕州区住房与城乡建设局，制定有</w:t>
      </w:r>
      <w:r>
        <w:rPr>
          <w:rFonts w:hint="eastAsia" w:ascii="宋体" w:hAnsi="宋体" w:cs="宋体"/>
          <w:color w:val="000000" w:themeColor="text1"/>
          <w:kern w:val="44"/>
          <w:sz w:val="28"/>
          <w:szCs w:val="28"/>
          <w:lang w:val="en-US" w:eastAsia="zh-CN"/>
          <w14:textFill>
            <w14:solidFill>
              <w14:schemeClr w14:val="tx1"/>
            </w14:solidFill>
          </w14:textFill>
        </w:rPr>
        <w:t>《</w:t>
      </w:r>
      <w:r>
        <w:rPr>
          <w:rFonts w:hint="eastAsia" w:ascii="宋体" w:hAnsi="宋体" w:eastAsia="宋体" w:cs="宋体"/>
          <w:color w:val="000000" w:themeColor="text1"/>
          <w:kern w:val="44"/>
          <w:sz w:val="28"/>
          <w:szCs w:val="28"/>
          <w:lang w:val="en-US" w:eastAsia="zh-CN"/>
          <w14:textFill>
            <w14:solidFill>
              <w14:schemeClr w14:val="tx1"/>
            </w14:solidFill>
          </w14:textFill>
        </w:rPr>
        <w:t>三门峡市陕州区城市建设项目管理办法</w:t>
      </w:r>
      <w:r>
        <w:rPr>
          <w:rFonts w:hint="eastAsia" w:ascii="宋体" w:hAnsi="宋体" w:cs="宋体"/>
          <w:color w:val="000000" w:themeColor="text1"/>
          <w:kern w:val="44"/>
          <w:sz w:val="28"/>
          <w:szCs w:val="28"/>
          <w:lang w:val="en-US" w:eastAsia="zh-CN"/>
          <w14:textFill>
            <w14:solidFill>
              <w14:schemeClr w14:val="tx1"/>
            </w14:solidFill>
          </w14:textFill>
        </w:rPr>
        <w:t>》</w:t>
      </w:r>
      <w:r>
        <w:rPr>
          <w:rFonts w:hint="eastAsia" w:ascii="宋体" w:hAnsi="宋体" w:eastAsia="宋体" w:cs="宋体"/>
          <w:color w:val="000000" w:themeColor="text1"/>
          <w:kern w:val="44"/>
          <w:sz w:val="28"/>
          <w:szCs w:val="28"/>
          <w:lang w:val="en-US" w:eastAsia="zh-CN"/>
          <w14:textFill>
            <w14:solidFill>
              <w14:schemeClr w14:val="tx1"/>
            </w14:solidFill>
          </w14:textFill>
        </w:rPr>
        <w:t>制度设计合理，得到有效执行。建设单位提交的项目管理资料中有八份项目整改通知单，分别是未按照施工规范设置围挡、未按照相关规范对配电箱设置护栏及悬挂警示标志、未按照相关规范在泥浆池周围设置护栏及悬挂警示标志、未按照相关规范配备防汛物资、施工现场积水较多、施工现场存在裸漏黄土、施工现场扬尘治理未达到“八个百分百”、未按照施工规范在断头路设置防护装置。</w:t>
      </w:r>
    </w:p>
    <w:p w14:paraId="49710337">
      <w:pPr>
        <w:numPr>
          <w:ilvl w:val="0"/>
          <w:numId w:val="16"/>
        </w:numPr>
        <w:spacing w:line="360" w:lineRule="auto"/>
        <w:ind w:left="0" w:leftChars="0" w:firstLine="283" w:firstLineChars="0"/>
        <w:jc w:val="left"/>
        <w:outlineLvl w:val="2"/>
        <w:rPr>
          <w:rFonts w:hint="eastAsia" w:ascii="宋体" w:hAnsi="宋体" w:eastAsia="宋体" w:cs="宋体"/>
          <w:color w:val="000000" w:themeColor="text1"/>
          <w:kern w:val="44"/>
          <w:sz w:val="28"/>
          <w:szCs w:val="28"/>
          <w:highlight w:val="none"/>
          <w14:textFill>
            <w14:solidFill>
              <w14:schemeClr w14:val="tx1"/>
            </w14:solidFill>
          </w14:textFill>
        </w:rPr>
      </w:pPr>
      <w:bookmarkStart w:id="27" w:name="_Toc15019"/>
      <w:r>
        <w:rPr>
          <w:rFonts w:hint="eastAsia" w:ascii="宋体" w:hAnsi="宋体" w:eastAsia="宋体" w:cs="宋体"/>
          <w:color w:val="000000" w:themeColor="text1"/>
          <w:kern w:val="44"/>
          <w:sz w:val="28"/>
          <w:szCs w:val="28"/>
          <w:highlight w:val="none"/>
          <w14:textFill>
            <w14:solidFill>
              <w14:schemeClr w14:val="tx1"/>
            </w14:solidFill>
          </w14:textFill>
        </w:rPr>
        <w:t>项目产出及效果评价分析</w:t>
      </w:r>
      <w:bookmarkEnd w:id="27"/>
    </w:p>
    <w:p w14:paraId="1B1E089C">
      <w:pPr>
        <w:pStyle w:val="9"/>
        <w:numPr>
          <w:ilvl w:val="0"/>
          <w:numId w:val="18"/>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项目的经济性分析：</w:t>
      </w:r>
    </w:p>
    <w:p w14:paraId="5DF77972">
      <w:pPr>
        <w:pStyle w:val="9"/>
        <w:numPr>
          <w:ilvl w:val="0"/>
          <w:numId w:val="0"/>
        </w:numPr>
        <w:ind w:firstLine="560" w:firstLineChars="200"/>
        <w:jc w:val="center"/>
        <w:rPr>
          <w:rFonts w:hint="eastAsia"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eastAsia="宋体" w:cs="宋体"/>
          <w:b w:val="0"/>
          <w:bCs w:val="0"/>
          <w:color w:val="000000" w:themeColor="text1"/>
          <w:sz w:val="28"/>
          <w:szCs w:val="28"/>
          <w:lang w:val="en-US" w:eastAsia="zh-CN"/>
          <w14:textFill>
            <w14:solidFill>
              <w14:schemeClr w14:val="tx1"/>
            </w14:solidFill>
          </w14:textFill>
        </w:rPr>
        <w:t>陕州区王寨路桥工程</w:t>
      </w:r>
    </w:p>
    <w:p w14:paraId="49D4898D">
      <w:pPr>
        <w:pStyle w:val="9"/>
        <w:numPr>
          <w:ilvl w:val="0"/>
          <w:numId w:val="0"/>
        </w:numPr>
        <w:ind w:firstLine="560" w:firstLineChars="200"/>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2020年3月，三门峡市陕州区住房和城乡建设局委托北京中设泛华工程咨询有限公司河南分公司为项目编制</w:t>
      </w: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《三门峡市陕州区王寨路桥工程可行性研究报告》</w:t>
      </w:r>
      <w:r>
        <w:rPr>
          <w:rFonts w:hint="eastAsia" w:ascii="宋体" w:hAnsi="宋体" w:eastAsia="宋体" w:cs="宋体"/>
          <w:color w:val="000000" w:themeColor="text1"/>
          <w:kern w:val="44"/>
          <w:sz w:val="28"/>
          <w:szCs w:val="28"/>
          <w:lang w:val="en-US" w:eastAsia="zh-CN" w:bidi="ar-SA"/>
          <w14:textFill>
            <w14:solidFill>
              <w14:schemeClr w14:val="tx1"/>
            </w14:solidFill>
          </w14:textFill>
        </w:rPr>
        <w:t>，2020年3月</w:t>
      </w: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受托方提交《三门峡市陕州区王寨路桥工程可行性研究报告》。</w:t>
      </w:r>
    </w:p>
    <w:p w14:paraId="1521EC52">
      <w:pPr>
        <w:pStyle w:val="9"/>
        <w:numPr>
          <w:ilvl w:val="0"/>
          <w:numId w:val="0"/>
        </w:numPr>
        <w:ind w:firstLine="560" w:firstLineChars="200"/>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2020年3月17日，</w:t>
      </w:r>
      <w:r>
        <w:rPr>
          <w:rFonts w:hint="eastAsia" w:ascii="宋体" w:hAnsi="宋体" w:eastAsia="宋体" w:cs="宋体"/>
          <w:color w:val="000000" w:themeColor="text1"/>
          <w:kern w:val="44"/>
          <w:sz w:val="28"/>
          <w:szCs w:val="28"/>
          <w:lang w:val="en-US" w:eastAsia="zh-CN" w:bidi="ar-SA"/>
          <w14:textFill>
            <w14:solidFill>
              <w14:schemeClr w14:val="tx1"/>
            </w14:solidFill>
          </w14:textFill>
        </w:rPr>
        <w:t>三门峡市</w:t>
      </w: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陕州区发展和改革委员会委托中匠民大国际工程设计有限公司对《三门峡市陕州区王寨路桥工程可行性研究报告》组织评估。</w:t>
      </w:r>
    </w:p>
    <w:p w14:paraId="1D459516">
      <w:pPr>
        <w:pStyle w:val="9"/>
        <w:numPr>
          <w:ilvl w:val="0"/>
          <w:numId w:val="0"/>
        </w:numPr>
        <w:ind w:firstLine="560" w:firstLineChars="200"/>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2020年3月19日，中匠民大国际工程设计有限公司组织专家组，在三门峡市文博城会议室组织召开《三门峡市陕州区王寨路桥工程可行性研究报告》评估会，经认真评审讨论，专家组认为:该可研报告基本符合编制要求，原则同意该可研报告，并提出修改意见。</w:t>
      </w:r>
    </w:p>
    <w:p w14:paraId="1A51F6DD">
      <w:pPr>
        <w:pStyle w:val="9"/>
        <w:numPr>
          <w:ilvl w:val="0"/>
          <w:numId w:val="0"/>
        </w:numPr>
        <w:ind w:firstLine="560" w:firstLineChars="200"/>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2020年3月23日，中匠民大国际工程设计有限公司出具评估结论：《三门峡市陕州区王寨路桥工程可行性研究报告》经我公司内部专家初评以及建筑、经济、电气、结构、城镇建设等方面五位专业专家评审，修改后的《三门峡市陕州区王寨路桥工程可行性研究报告》内容符合有关法律法规、政策规定符合相关规范及技术标准的要求，可研报告中项目设计方案、项目组织及管理、投资分析、社会效益分析、经济效益评价等内容均合理可行，格式合理，深度满足国家及省市相关文件对可研报告编制深度的规定，可以作为项目下一阶段的依据。评估前后项目主要信息如下：</w:t>
      </w:r>
    </w:p>
    <w:p w14:paraId="6EEB73FC">
      <w:pPr>
        <w:numPr>
          <w:ilvl w:val="0"/>
          <w:numId w:val="0"/>
        </w:numPr>
        <w:spacing w:line="360" w:lineRule="auto"/>
        <w:jc w:val="left"/>
        <w:rPr>
          <w:rFonts w:hint="eastAsia" w:ascii="宋体" w:hAnsi="宋体" w:eastAsia="宋体" w:cs="宋体"/>
          <w:color w:val="000000" w:themeColor="text1"/>
          <w:kern w:val="44"/>
          <w:sz w:val="28"/>
          <w:szCs w:val="28"/>
          <w:lang w:eastAsia="zh-CN"/>
          <w14:textFill>
            <w14:solidFill>
              <w14:schemeClr w14:val="tx1"/>
            </w14:solidFill>
          </w14:textFill>
        </w:rPr>
      </w:pPr>
    </w:p>
    <w:p w14:paraId="7A8CB2C4">
      <w:pPr>
        <w:numPr>
          <w:ilvl w:val="0"/>
          <w:numId w:val="0"/>
        </w:numPr>
        <w:spacing w:line="360" w:lineRule="auto"/>
        <w:jc w:val="left"/>
        <w:rPr>
          <w:rFonts w:hint="eastAsia" w:ascii="宋体" w:hAnsi="宋体" w:eastAsia="宋体" w:cs="宋体"/>
          <w:color w:val="000000" w:themeColor="text1"/>
          <w:kern w:val="44"/>
          <w:sz w:val="28"/>
          <w:szCs w:val="28"/>
          <w:lang w:eastAsia="zh-CN"/>
          <w14:textFill>
            <w14:solidFill>
              <w14:schemeClr w14:val="tx1"/>
            </w14:solidFill>
          </w14:textFill>
        </w:rPr>
        <w:sectPr>
          <w:pgSz w:w="11906" w:h="16838"/>
          <w:pgMar w:top="1440" w:right="1800" w:bottom="1440" w:left="1800" w:header="851" w:footer="992" w:gutter="0"/>
          <w:pgNumType w:fmt="decimal"/>
          <w:cols w:space="425" w:num="1"/>
          <w:docGrid w:type="lines" w:linePitch="312" w:charSpace="0"/>
        </w:sectPr>
      </w:pPr>
    </w:p>
    <w:tbl>
      <w:tblPr>
        <w:tblStyle w:val="11"/>
        <w:tblW w:w="8940" w:type="dxa"/>
        <w:tblInd w:w="-1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440"/>
        <w:gridCol w:w="1486"/>
        <w:gridCol w:w="1536"/>
        <w:gridCol w:w="1373"/>
        <w:gridCol w:w="2145"/>
      </w:tblGrid>
      <w:tr w14:paraId="691EC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8940" w:type="dxa"/>
            <w:gridSpan w:val="6"/>
            <w:vAlign w:val="center"/>
          </w:tcPr>
          <w:p w14:paraId="5F26B2F8">
            <w:pPr>
              <w:pStyle w:val="9"/>
              <w:numPr>
                <w:ilvl w:val="0"/>
                <w:numId w:val="0"/>
              </w:numPr>
              <w:spacing w:line="240" w:lineRule="auto"/>
              <w:jc w:val="center"/>
              <w:rPr>
                <w:rFonts w:hint="eastAsia" w:ascii="宋体" w:hAnsi="宋体" w:eastAsia="宋体" w:cs="宋体"/>
                <w:color w:val="000000" w:themeColor="text1"/>
                <w:kern w:val="44"/>
                <w:sz w:val="28"/>
                <w:szCs w:val="28"/>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44"/>
                <w:sz w:val="30"/>
                <w:szCs w:val="30"/>
                <w:highlight w:val="none"/>
                <w:vertAlign w:val="baseline"/>
                <w:lang w:val="en-US" w:eastAsia="zh-CN" w:bidi="ar-SA"/>
                <w14:textFill>
                  <w14:solidFill>
                    <w14:schemeClr w14:val="tx1"/>
                  </w14:solidFill>
                </w14:textFill>
              </w:rPr>
              <w:t>项目投资评估前后对比表</w:t>
            </w:r>
          </w:p>
        </w:tc>
      </w:tr>
      <w:tr w14:paraId="05901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60" w:type="dxa"/>
            <w:vAlign w:val="center"/>
          </w:tcPr>
          <w:p w14:paraId="450A79D7">
            <w:pPr>
              <w:pStyle w:val="9"/>
              <w:numPr>
                <w:ilvl w:val="0"/>
                <w:numId w:val="0"/>
              </w:numPr>
              <w:spacing w:line="360" w:lineRule="auto"/>
              <w:jc w:val="center"/>
              <w:rPr>
                <w:rFonts w:hint="eastAsia" w:ascii="宋体" w:hAnsi="宋体" w:eastAsia="宋体" w:cs="宋体"/>
                <w:b/>
                <w:bCs/>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44"/>
                <w:sz w:val="21"/>
                <w:szCs w:val="21"/>
                <w:highlight w:val="none"/>
                <w:vertAlign w:val="baseline"/>
                <w:lang w:val="en-US" w:eastAsia="zh-CN" w:bidi="ar-SA"/>
                <w14:textFill>
                  <w14:solidFill>
                    <w14:schemeClr w14:val="tx1"/>
                  </w14:solidFill>
                </w14:textFill>
              </w:rPr>
              <w:t>序号</w:t>
            </w:r>
          </w:p>
        </w:tc>
        <w:tc>
          <w:tcPr>
            <w:tcW w:w="1440" w:type="dxa"/>
            <w:vAlign w:val="center"/>
          </w:tcPr>
          <w:p w14:paraId="13549A2E">
            <w:pPr>
              <w:pStyle w:val="9"/>
              <w:numPr>
                <w:ilvl w:val="0"/>
                <w:numId w:val="0"/>
              </w:numPr>
              <w:spacing w:line="360" w:lineRule="auto"/>
              <w:jc w:val="center"/>
              <w:rPr>
                <w:rFonts w:hint="eastAsia" w:ascii="宋体" w:hAnsi="宋体" w:eastAsia="宋体" w:cs="宋体"/>
                <w:b/>
                <w:bCs/>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44"/>
                <w:sz w:val="21"/>
                <w:szCs w:val="21"/>
                <w:highlight w:val="none"/>
                <w:vertAlign w:val="baseline"/>
                <w:lang w:val="en-US" w:eastAsia="zh-CN" w:bidi="ar-SA"/>
                <w14:textFill>
                  <w14:solidFill>
                    <w14:schemeClr w14:val="tx1"/>
                  </w14:solidFill>
                </w14:textFill>
              </w:rPr>
              <w:t>工程或费用名称</w:t>
            </w:r>
          </w:p>
        </w:tc>
        <w:tc>
          <w:tcPr>
            <w:tcW w:w="1486" w:type="dxa"/>
            <w:vAlign w:val="center"/>
          </w:tcPr>
          <w:p w14:paraId="7FDDBC6B">
            <w:pPr>
              <w:pStyle w:val="9"/>
              <w:numPr>
                <w:ilvl w:val="0"/>
                <w:numId w:val="0"/>
              </w:numPr>
              <w:spacing w:line="360" w:lineRule="auto"/>
              <w:jc w:val="center"/>
              <w:rPr>
                <w:rFonts w:hint="eastAsia" w:ascii="宋体" w:hAnsi="宋体" w:eastAsia="宋体" w:cs="宋体"/>
                <w:b/>
                <w:bCs/>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44"/>
                <w:sz w:val="21"/>
                <w:szCs w:val="21"/>
                <w:highlight w:val="none"/>
                <w:vertAlign w:val="baseline"/>
                <w:lang w:val="en-US" w:eastAsia="zh-CN" w:bidi="ar-SA"/>
                <w14:textFill>
                  <w14:solidFill>
                    <w14:schemeClr w14:val="tx1"/>
                  </w14:solidFill>
                </w14:textFill>
              </w:rPr>
              <w:t>评估前投资</w:t>
            </w:r>
          </w:p>
        </w:tc>
        <w:tc>
          <w:tcPr>
            <w:tcW w:w="1536" w:type="dxa"/>
            <w:vAlign w:val="center"/>
          </w:tcPr>
          <w:p w14:paraId="64E8E1C1">
            <w:pPr>
              <w:pStyle w:val="9"/>
              <w:numPr>
                <w:ilvl w:val="0"/>
                <w:numId w:val="0"/>
              </w:numPr>
              <w:spacing w:line="360" w:lineRule="auto"/>
              <w:jc w:val="center"/>
              <w:rPr>
                <w:rFonts w:hint="eastAsia" w:ascii="宋体" w:hAnsi="宋体" w:eastAsia="宋体" w:cs="宋体"/>
                <w:b/>
                <w:bCs/>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44"/>
                <w:sz w:val="21"/>
                <w:szCs w:val="21"/>
                <w:highlight w:val="none"/>
                <w:vertAlign w:val="baseline"/>
                <w:lang w:val="en-US" w:eastAsia="zh-CN" w:bidi="ar-SA"/>
                <w14:textFill>
                  <w14:solidFill>
                    <w14:schemeClr w14:val="tx1"/>
                  </w14:solidFill>
                </w14:textFill>
              </w:rPr>
              <w:t>评估后投资</w:t>
            </w:r>
          </w:p>
        </w:tc>
        <w:tc>
          <w:tcPr>
            <w:tcW w:w="1373" w:type="dxa"/>
            <w:vAlign w:val="center"/>
          </w:tcPr>
          <w:p w14:paraId="2A4E980D">
            <w:pPr>
              <w:pStyle w:val="9"/>
              <w:numPr>
                <w:ilvl w:val="0"/>
                <w:numId w:val="0"/>
              </w:numPr>
              <w:spacing w:line="360" w:lineRule="auto"/>
              <w:jc w:val="center"/>
              <w:rPr>
                <w:rFonts w:hint="eastAsia" w:ascii="宋体" w:hAnsi="宋体" w:eastAsia="宋体" w:cs="宋体"/>
                <w:b/>
                <w:bCs/>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44"/>
                <w:sz w:val="21"/>
                <w:szCs w:val="21"/>
                <w:highlight w:val="none"/>
                <w:vertAlign w:val="baseline"/>
                <w:lang w:val="en-US" w:eastAsia="zh-CN" w:bidi="ar-SA"/>
                <w14:textFill>
                  <w14:solidFill>
                    <w14:schemeClr w14:val="tx1"/>
                  </w14:solidFill>
                </w14:textFill>
              </w:rPr>
              <w:t>评估前后投资变动</w:t>
            </w:r>
          </w:p>
        </w:tc>
        <w:tc>
          <w:tcPr>
            <w:tcW w:w="2145" w:type="dxa"/>
            <w:vAlign w:val="center"/>
          </w:tcPr>
          <w:p w14:paraId="1A9A3F5D">
            <w:pPr>
              <w:pStyle w:val="9"/>
              <w:numPr>
                <w:ilvl w:val="0"/>
                <w:numId w:val="0"/>
              </w:numPr>
              <w:spacing w:line="360" w:lineRule="auto"/>
              <w:jc w:val="center"/>
              <w:rPr>
                <w:rFonts w:hint="eastAsia" w:ascii="宋体" w:hAnsi="宋体" w:eastAsia="宋体" w:cs="宋体"/>
                <w:b/>
                <w:bCs/>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44"/>
                <w:sz w:val="21"/>
                <w:szCs w:val="21"/>
                <w:highlight w:val="none"/>
                <w:vertAlign w:val="baseline"/>
                <w:lang w:val="en-US" w:eastAsia="zh-CN" w:bidi="ar-SA"/>
                <w14:textFill>
                  <w14:solidFill>
                    <w14:schemeClr w14:val="tx1"/>
                  </w14:solidFill>
                </w14:textFill>
              </w:rPr>
              <w:t>备注</w:t>
            </w:r>
          </w:p>
        </w:tc>
      </w:tr>
      <w:tr w14:paraId="5D8A0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60" w:type="dxa"/>
            <w:vAlign w:val="center"/>
          </w:tcPr>
          <w:p w14:paraId="05C24416">
            <w:pPr>
              <w:pStyle w:val="9"/>
              <w:numPr>
                <w:ilvl w:val="0"/>
                <w:numId w:val="0"/>
              </w:numPr>
              <w:spacing w:line="240" w:lineRule="auto"/>
              <w:jc w:val="cente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1</w:t>
            </w:r>
          </w:p>
        </w:tc>
        <w:tc>
          <w:tcPr>
            <w:tcW w:w="1440" w:type="dxa"/>
            <w:vAlign w:val="center"/>
          </w:tcPr>
          <w:p w14:paraId="72158C39">
            <w:pPr>
              <w:pStyle w:val="9"/>
              <w:numPr>
                <w:ilvl w:val="0"/>
                <w:numId w:val="0"/>
              </w:numPr>
              <w:spacing w:line="240" w:lineRule="auto"/>
              <w:jc w:val="left"/>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工程建设费用</w:t>
            </w:r>
          </w:p>
        </w:tc>
        <w:tc>
          <w:tcPr>
            <w:tcW w:w="1486" w:type="dxa"/>
            <w:vAlign w:val="center"/>
          </w:tcPr>
          <w:p w14:paraId="3F64BAC3">
            <w:pPr>
              <w:pStyle w:val="9"/>
              <w:numPr>
                <w:ilvl w:val="0"/>
                <w:numId w:val="0"/>
              </w:numPr>
              <w:spacing w:line="240" w:lineRule="auto"/>
              <w:jc w:val="right"/>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 xml:space="preserve"> 2,036.48 </w:t>
            </w:r>
          </w:p>
        </w:tc>
        <w:tc>
          <w:tcPr>
            <w:tcW w:w="1536" w:type="dxa"/>
            <w:vAlign w:val="center"/>
          </w:tcPr>
          <w:p w14:paraId="34053D6F">
            <w:pPr>
              <w:pStyle w:val="9"/>
              <w:numPr>
                <w:ilvl w:val="0"/>
                <w:numId w:val="0"/>
              </w:numPr>
              <w:spacing w:line="240" w:lineRule="auto"/>
              <w:jc w:val="right"/>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 xml:space="preserve"> 2,036.48 </w:t>
            </w:r>
          </w:p>
        </w:tc>
        <w:tc>
          <w:tcPr>
            <w:tcW w:w="1373" w:type="dxa"/>
            <w:vAlign w:val="center"/>
          </w:tcPr>
          <w:p w14:paraId="758B249F">
            <w:pPr>
              <w:pStyle w:val="9"/>
              <w:numPr>
                <w:ilvl w:val="0"/>
                <w:numId w:val="0"/>
              </w:numPr>
              <w:spacing w:line="240" w:lineRule="auto"/>
              <w:jc w:val="right"/>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p>
        </w:tc>
        <w:tc>
          <w:tcPr>
            <w:tcW w:w="2145" w:type="dxa"/>
            <w:vAlign w:val="center"/>
          </w:tcPr>
          <w:p w14:paraId="52A07101">
            <w:pPr>
              <w:pStyle w:val="9"/>
              <w:numPr>
                <w:ilvl w:val="0"/>
                <w:numId w:val="0"/>
              </w:numPr>
              <w:spacing w:line="240" w:lineRule="auto"/>
              <w:jc w:val="cente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p>
        </w:tc>
      </w:tr>
      <w:tr w14:paraId="111A8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exact"/>
        </w:trPr>
        <w:tc>
          <w:tcPr>
            <w:tcW w:w="960" w:type="dxa"/>
            <w:vAlign w:val="center"/>
          </w:tcPr>
          <w:p w14:paraId="421704EA">
            <w:pPr>
              <w:pStyle w:val="9"/>
              <w:numPr>
                <w:ilvl w:val="0"/>
                <w:numId w:val="0"/>
              </w:numPr>
              <w:spacing w:line="240" w:lineRule="auto"/>
              <w:jc w:val="cente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2</w:t>
            </w:r>
          </w:p>
        </w:tc>
        <w:tc>
          <w:tcPr>
            <w:tcW w:w="1440" w:type="dxa"/>
            <w:vAlign w:val="center"/>
          </w:tcPr>
          <w:p w14:paraId="20E877B8">
            <w:pPr>
              <w:pStyle w:val="9"/>
              <w:numPr>
                <w:ilvl w:val="0"/>
                <w:numId w:val="0"/>
              </w:numPr>
              <w:spacing w:line="240" w:lineRule="auto"/>
              <w:jc w:val="left"/>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工程建设其他费用</w:t>
            </w:r>
          </w:p>
        </w:tc>
        <w:tc>
          <w:tcPr>
            <w:tcW w:w="1486" w:type="dxa"/>
            <w:vAlign w:val="center"/>
          </w:tcPr>
          <w:p w14:paraId="47ABF6E6">
            <w:pPr>
              <w:pStyle w:val="9"/>
              <w:numPr>
                <w:ilvl w:val="0"/>
                <w:numId w:val="0"/>
              </w:numPr>
              <w:spacing w:line="240" w:lineRule="auto"/>
              <w:jc w:val="right"/>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 xml:space="preserve"> 219.96 </w:t>
            </w:r>
          </w:p>
        </w:tc>
        <w:tc>
          <w:tcPr>
            <w:tcW w:w="1536" w:type="dxa"/>
            <w:vAlign w:val="center"/>
          </w:tcPr>
          <w:p w14:paraId="458D1A96">
            <w:pPr>
              <w:pStyle w:val="9"/>
              <w:numPr>
                <w:ilvl w:val="0"/>
                <w:numId w:val="0"/>
              </w:numPr>
              <w:spacing w:line="240" w:lineRule="auto"/>
              <w:jc w:val="right"/>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 xml:space="preserve"> 209.61 </w:t>
            </w:r>
          </w:p>
        </w:tc>
        <w:tc>
          <w:tcPr>
            <w:tcW w:w="1373" w:type="dxa"/>
            <w:vAlign w:val="center"/>
          </w:tcPr>
          <w:p w14:paraId="0CE2323E">
            <w:pPr>
              <w:pStyle w:val="9"/>
              <w:numPr>
                <w:ilvl w:val="0"/>
                <w:numId w:val="0"/>
              </w:numPr>
              <w:spacing w:line="240" w:lineRule="auto"/>
              <w:jc w:val="right"/>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 xml:space="preserve"> -10.35 </w:t>
            </w:r>
          </w:p>
        </w:tc>
        <w:tc>
          <w:tcPr>
            <w:tcW w:w="2145" w:type="dxa"/>
            <w:vAlign w:val="center"/>
          </w:tcPr>
          <w:p w14:paraId="49983E18">
            <w:pPr>
              <w:pStyle w:val="9"/>
              <w:numPr>
                <w:ilvl w:val="0"/>
                <w:numId w:val="0"/>
              </w:numPr>
              <w:spacing w:line="240" w:lineRule="auto"/>
              <w:jc w:val="cente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根据专家意见建设单位管理费按分档当计费引起费用变动</w:t>
            </w:r>
          </w:p>
        </w:tc>
      </w:tr>
      <w:tr w14:paraId="094C1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exact"/>
        </w:trPr>
        <w:tc>
          <w:tcPr>
            <w:tcW w:w="960" w:type="dxa"/>
            <w:vAlign w:val="center"/>
          </w:tcPr>
          <w:p w14:paraId="2966FD1E">
            <w:pPr>
              <w:pStyle w:val="9"/>
              <w:numPr>
                <w:ilvl w:val="0"/>
                <w:numId w:val="0"/>
              </w:numPr>
              <w:spacing w:line="240" w:lineRule="auto"/>
              <w:jc w:val="cente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3</w:t>
            </w:r>
          </w:p>
        </w:tc>
        <w:tc>
          <w:tcPr>
            <w:tcW w:w="1440" w:type="dxa"/>
            <w:vAlign w:val="center"/>
          </w:tcPr>
          <w:p w14:paraId="5CBFBEC0">
            <w:pPr>
              <w:pStyle w:val="9"/>
              <w:numPr>
                <w:ilvl w:val="0"/>
                <w:numId w:val="0"/>
              </w:numPr>
              <w:spacing w:line="240" w:lineRule="auto"/>
              <w:jc w:val="left"/>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基本预备费</w:t>
            </w:r>
          </w:p>
        </w:tc>
        <w:tc>
          <w:tcPr>
            <w:tcW w:w="1486" w:type="dxa"/>
            <w:vAlign w:val="center"/>
          </w:tcPr>
          <w:p w14:paraId="288FC6A8">
            <w:pPr>
              <w:pStyle w:val="9"/>
              <w:numPr>
                <w:ilvl w:val="0"/>
                <w:numId w:val="0"/>
              </w:numPr>
              <w:spacing w:line="240" w:lineRule="auto"/>
              <w:jc w:val="right"/>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 xml:space="preserve"> 135.38 </w:t>
            </w:r>
          </w:p>
        </w:tc>
        <w:tc>
          <w:tcPr>
            <w:tcW w:w="1536" w:type="dxa"/>
            <w:vAlign w:val="center"/>
          </w:tcPr>
          <w:p w14:paraId="153972BA">
            <w:pPr>
              <w:pStyle w:val="9"/>
              <w:numPr>
                <w:ilvl w:val="0"/>
                <w:numId w:val="0"/>
              </w:numPr>
              <w:spacing w:line="240" w:lineRule="auto"/>
              <w:jc w:val="right"/>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 xml:space="preserve"> 134.76 </w:t>
            </w:r>
          </w:p>
        </w:tc>
        <w:tc>
          <w:tcPr>
            <w:tcW w:w="1373" w:type="dxa"/>
            <w:vAlign w:val="center"/>
          </w:tcPr>
          <w:p w14:paraId="177A8908">
            <w:pPr>
              <w:pStyle w:val="9"/>
              <w:numPr>
                <w:ilvl w:val="0"/>
                <w:numId w:val="0"/>
              </w:numPr>
              <w:spacing w:line="240" w:lineRule="auto"/>
              <w:jc w:val="right"/>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 xml:space="preserve"> -0.62 </w:t>
            </w:r>
          </w:p>
        </w:tc>
        <w:tc>
          <w:tcPr>
            <w:tcW w:w="2145" w:type="dxa"/>
            <w:vAlign w:val="center"/>
          </w:tcPr>
          <w:p w14:paraId="0FFF2F0A">
            <w:pPr>
              <w:pStyle w:val="9"/>
              <w:numPr>
                <w:ilvl w:val="0"/>
                <w:numId w:val="0"/>
              </w:numPr>
              <w:spacing w:line="240" w:lineRule="auto"/>
              <w:jc w:val="cente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t>因工程费用变化所导致相应调整</w:t>
            </w:r>
          </w:p>
        </w:tc>
      </w:tr>
      <w:tr w14:paraId="2D3B6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exact"/>
        </w:trPr>
        <w:tc>
          <w:tcPr>
            <w:tcW w:w="2400" w:type="dxa"/>
            <w:gridSpan w:val="2"/>
            <w:vAlign w:val="center"/>
          </w:tcPr>
          <w:p w14:paraId="4C37FDBF">
            <w:pPr>
              <w:pStyle w:val="9"/>
              <w:numPr>
                <w:ilvl w:val="0"/>
                <w:numId w:val="0"/>
              </w:numPr>
              <w:spacing w:line="240" w:lineRule="auto"/>
              <w:jc w:val="center"/>
              <w:rPr>
                <w:rFonts w:hint="eastAsia" w:ascii="宋体" w:hAnsi="宋体" w:eastAsia="宋体" w:cs="宋体"/>
                <w:b/>
                <w:bCs/>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44"/>
                <w:sz w:val="21"/>
                <w:szCs w:val="21"/>
                <w:highlight w:val="none"/>
                <w:vertAlign w:val="baseline"/>
                <w:lang w:val="en-US" w:eastAsia="zh-CN" w:bidi="ar-SA"/>
                <w14:textFill>
                  <w14:solidFill>
                    <w14:schemeClr w14:val="tx1"/>
                  </w14:solidFill>
                </w14:textFill>
              </w:rPr>
              <w:t>项目总投资</w:t>
            </w:r>
          </w:p>
        </w:tc>
        <w:tc>
          <w:tcPr>
            <w:tcW w:w="1486" w:type="dxa"/>
            <w:vAlign w:val="center"/>
          </w:tcPr>
          <w:p w14:paraId="01F4E670">
            <w:pPr>
              <w:pStyle w:val="9"/>
              <w:numPr>
                <w:ilvl w:val="0"/>
                <w:numId w:val="0"/>
              </w:numPr>
              <w:spacing w:line="240" w:lineRule="auto"/>
              <w:jc w:val="right"/>
              <w:rPr>
                <w:rFonts w:hint="eastAsia" w:ascii="宋体" w:hAnsi="宋体" w:eastAsia="宋体" w:cs="宋体"/>
                <w:b/>
                <w:bCs/>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44"/>
                <w:sz w:val="21"/>
                <w:szCs w:val="21"/>
                <w:highlight w:val="none"/>
                <w:vertAlign w:val="baseline"/>
                <w:lang w:val="en-US" w:eastAsia="zh-CN" w:bidi="ar-SA"/>
                <w14:textFill>
                  <w14:solidFill>
                    <w14:schemeClr w14:val="tx1"/>
                  </w14:solidFill>
                </w14:textFill>
              </w:rPr>
              <w:t xml:space="preserve"> 2,391.82 </w:t>
            </w:r>
          </w:p>
        </w:tc>
        <w:tc>
          <w:tcPr>
            <w:tcW w:w="1536" w:type="dxa"/>
            <w:vAlign w:val="center"/>
          </w:tcPr>
          <w:p w14:paraId="775D342E">
            <w:pPr>
              <w:pStyle w:val="9"/>
              <w:numPr>
                <w:ilvl w:val="0"/>
                <w:numId w:val="0"/>
              </w:numPr>
              <w:spacing w:line="240" w:lineRule="auto"/>
              <w:jc w:val="right"/>
              <w:rPr>
                <w:rFonts w:hint="eastAsia" w:ascii="宋体" w:hAnsi="宋体" w:eastAsia="宋体" w:cs="宋体"/>
                <w:b/>
                <w:bCs/>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44"/>
                <w:sz w:val="21"/>
                <w:szCs w:val="21"/>
                <w:highlight w:val="none"/>
                <w:vertAlign w:val="baseline"/>
                <w:lang w:val="en-US" w:eastAsia="zh-CN" w:bidi="ar-SA"/>
                <w14:textFill>
                  <w14:solidFill>
                    <w14:schemeClr w14:val="tx1"/>
                  </w14:solidFill>
                </w14:textFill>
              </w:rPr>
              <w:t xml:space="preserve"> 2,380.85 </w:t>
            </w:r>
          </w:p>
        </w:tc>
        <w:tc>
          <w:tcPr>
            <w:tcW w:w="1373" w:type="dxa"/>
            <w:vAlign w:val="center"/>
          </w:tcPr>
          <w:p w14:paraId="6E90786D">
            <w:pPr>
              <w:pStyle w:val="9"/>
              <w:numPr>
                <w:ilvl w:val="0"/>
                <w:numId w:val="0"/>
              </w:numPr>
              <w:spacing w:line="240" w:lineRule="auto"/>
              <w:jc w:val="right"/>
              <w:rPr>
                <w:rFonts w:hint="eastAsia" w:ascii="宋体" w:hAnsi="宋体" w:eastAsia="宋体" w:cs="宋体"/>
                <w:b/>
                <w:bCs/>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44"/>
                <w:sz w:val="21"/>
                <w:szCs w:val="21"/>
                <w:highlight w:val="none"/>
                <w:vertAlign w:val="baseline"/>
                <w:lang w:val="en-US" w:eastAsia="zh-CN" w:bidi="ar-SA"/>
                <w14:textFill>
                  <w14:solidFill>
                    <w14:schemeClr w14:val="tx1"/>
                  </w14:solidFill>
                </w14:textFill>
              </w:rPr>
              <w:t xml:space="preserve"> -10.97 </w:t>
            </w:r>
          </w:p>
        </w:tc>
        <w:tc>
          <w:tcPr>
            <w:tcW w:w="2145" w:type="dxa"/>
            <w:vAlign w:val="center"/>
          </w:tcPr>
          <w:p w14:paraId="14587A6C">
            <w:pPr>
              <w:pStyle w:val="9"/>
              <w:numPr>
                <w:ilvl w:val="0"/>
                <w:numId w:val="0"/>
              </w:numPr>
              <w:spacing w:line="240" w:lineRule="auto"/>
              <w:jc w:val="center"/>
              <w:rPr>
                <w:rFonts w:hint="eastAsia" w:ascii="宋体" w:hAnsi="宋体" w:eastAsia="宋体" w:cs="宋体"/>
                <w:color w:val="000000" w:themeColor="text1"/>
                <w:kern w:val="44"/>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44"/>
                <w:sz w:val="21"/>
                <w:szCs w:val="21"/>
                <w:highlight w:val="none"/>
                <w:vertAlign w:val="baseline"/>
                <w:lang w:val="en-US" w:eastAsia="zh-CN" w:bidi="ar-SA"/>
                <w14:textFill>
                  <w14:solidFill>
                    <w14:schemeClr w14:val="tx1"/>
                  </w14:solidFill>
                </w14:textFill>
              </w:rPr>
              <w:t>因上述费用导致总投资变动</w:t>
            </w:r>
          </w:p>
        </w:tc>
      </w:tr>
    </w:tbl>
    <w:p w14:paraId="0D285FB4">
      <w:pPr>
        <w:pStyle w:val="9"/>
        <w:ind w:left="0" w:leftChars="0" w:firstLine="560" w:firstLineChars="200"/>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三门峡市陕州区住房和城乡建设局委托河南圣基工程咨询有限公司三门峡分公司对王寨路桥梁工程项目编制工程量清单及招标控制价，最终王寨路桥梁工程项目招标控制价17,191,533.58元。</w:t>
      </w:r>
    </w:p>
    <w:p w14:paraId="729F4B08">
      <w:pPr>
        <w:pStyle w:val="9"/>
        <w:ind w:left="0" w:leftChars="0" w:firstLine="560" w:firstLineChars="200"/>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2022年6月10日，受三门峡市陕州区财政局委托，北京福陆工程管理有限公司出具《三门峡市陕州区王寨路跨金水河桥梁工程招标控制价评审报告》（京福陆评审字(2022)S007），显示三门峡市陕州区王寨路跨金水河桥梁工程申报造价17,191,533.58元，审定造价17,060,034.23元，综合审减金额131,499.35元。</w:t>
      </w:r>
    </w:p>
    <w:p w14:paraId="03748DB7">
      <w:pPr>
        <w:pStyle w:val="9"/>
        <w:ind w:left="0" w:leftChars="0" w:firstLine="560" w:firstLineChars="200"/>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2022年6月22日，三门峡市陕州区财政投资评审中心印发《建设项目投资评审结论》（陕财评审字【2022】38号），显示三门峡市陕州区王寨路跨金水河桥梁工程施工及监理项目评审结果如下：原报控制价17,191,533.58元，审定控制价17,060,034.23元，综合审减金额131,499.35元。</w:t>
      </w:r>
    </w:p>
    <w:p w14:paraId="7EC8585E">
      <w:pPr>
        <w:pStyle w:val="9"/>
        <w:ind w:left="0" w:leftChars="0" w:firstLine="560" w:firstLineChars="200"/>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2022年7月1日，河南天一工程管理有限公司在《中国招标投标公共服务平台》、《河南省政府采购网》、《三门峡市公共资源交易中心网》上同时发布三门峡市陕州区王寨路跨金水河桥梁工程施工及监理项目招标公告。招标文件获取时间2022年7月2日至2022年7月22日08时 30分。开标时间2022年07月22日08时30分00秒。开标地点三门峡市陕州区公共资源交易中心第二开标室。项目一标段为施工标，限价17,060,034.23元，二标段为监理标，限价项目施工中标金额的1.45%。</w:t>
      </w:r>
    </w:p>
    <w:p w14:paraId="05F18288">
      <w:pPr>
        <w:pStyle w:val="9"/>
        <w:ind w:left="0" w:leftChars="0" w:firstLine="560" w:firstLineChars="200"/>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2022年7月26日，河南天一工程管理有限公司在《中国招标投标公共服务平台》、《河南省政府采购网》、《三门峡市公共资源交易中心网》同时发布了结果公告：在公示期间没有任何单位或个人对本次招标提出异议，招标人确定:一标段中标候选人河南省康达公路建设有限公司，中标金额16,809,673.63元；二标段中标候选人河南省亿达工程管理咨询有限公司，中标金额施工中标金额的1.35%。</w:t>
      </w:r>
    </w:p>
    <w:p w14:paraId="2E5971C7">
      <w:pPr>
        <w:pStyle w:val="9"/>
        <w:ind w:left="0" w:leftChars="0" w:firstLine="560" w:firstLineChars="200"/>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2025年4月8日，三门峡市正则工程造价咨询事务所(普通合伙)出具《三门峡市陕州区王寨路跨金水河桥梁工程结算审核报告》（正则审字【2025】第24号），显示项目项目送审造价17,730,024.52元，审减1,292,299.19元，审定造价16,437,725.33元。</w:t>
      </w:r>
    </w:p>
    <w:p w14:paraId="377764CE">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陕州区王寨路桥工程建设费用前期预计</w:t>
      </w:r>
      <w:r>
        <w:rPr>
          <w:rFonts w:hint="eastAsia" w:ascii="宋体" w:hAnsi="宋体" w:eastAsia="宋体" w:cs="宋体"/>
          <w:color w:val="000000" w:themeColor="text1"/>
          <w:kern w:val="44"/>
          <w:sz w:val="28"/>
          <w:szCs w:val="28"/>
          <w:highlight w:val="none"/>
          <w:vertAlign w:val="baseline"/>
          <w:lang w:val="en-US" w:eastAsia="zh-CN" w:bidi="ar-SA"/>
          <w14:textFill>
            <w14:solidFill>
              <w14:schemeClr w14:val="tx1"/>
            </w14:solidFill>
          </w14:textFill>
        </w:rPr>
        <w:t>2,036.48万元，最终实际发生1,643.77万元，</w:t>
      </w:r>
      <w:r>
        <w:rPr>
          <w:rFonts w:hint="eastAsia" w:ascii="宋体" w:hAnsi="宋体" w:eastAsia="宋体" w:cs="宋体"/>
          <w:color w:val="000000" w:themeColor="text1"/>
          <w:kern w:val="44"/>
          <w:sz w:val="28"/>
          <w:szCs w:val="28"/>
          <w:lang w:val="en-US" w:eastAsia="zh-CN"/>
          <w14:textFill>
            <w14:solidFill>
              <w14:schemeClr w14:val="tx1"/>
            </w14:solidFill>
          </w14:textFill>
        </w:rPr>
        <w:t>工程建设费用节约392.71万元，节约率19.28%。</w:t>
      </w:r>
    </w:p>
    <w:p w14:paraId="54112549">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陕州区王寨路桥工程监理费前期预计30.55万元，实际发生22.69万元，监理费节约7.86万元，节约率25.73%。</w:t>
      </w:r>
    </w:p>
    <w:p w14:paraId="00FC5942">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项目工程建设费用及监理费经济性分析详见下表：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9"/>
        <w:gridCol w:w="1890"/>
        <w:gridCol w:w="1905"/>
        <w:gridCol w:w="1680"/>
        <w:gridCol w:w="1358"/>
      </w:tblGrid>
      <w:tr w14:paraId="220D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14:paraId="5E69F15C">
            <w:pPr>
              <w:numPr>
                <w:ilvl w:val="0"/>
                <w:numId w:val="0"/>
              </w:numPr>
              <w:spacing w:line="360" w:lineRule="auto"/>
              <w:jc w:val="center"/>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8"/>
                <w:szCs w:val="28"/>
                <w:lang w:val="en-US" w:eastAsia="zh-CN"/>
                <w14:textFill>
                  <w14:solidFill>
                    <w14:schemeClr w14:val="tx1"/>
                  </w14:solidFill>
                </w14:textFill>
              </w:rPr>
              <w:t>陕州区王寨路桥工程经济性分析表（万元）</w:t>
            </w:r>
          </w:p>
        </w:tc>
      </w:tr>
      <w:tr w14:paraId="0063D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9" w:type="dxa"/>
          </w:tcPr>
          <w:p w14:paraId="74F8ECA0">
            <w:pPr>
              <w:numPr>
                <w:ilvl w:val="0"/>
                <w:numId w:val="0"/>
              </w:numPr>
              <w:spacing w:line="360" w:lineRule="auto"/>
              <w:jc w:val="cente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t>项目</w:t>
            </w:r>
          </w:p>
        </w:tc>
        <w:tc>
          <w:tcPr>
            <w:tcW w:w="1890" w:type="dxa"/>
          </w:tcPr>
          <w:p w14:paraId="483C8679">
            <w:pPr>
              <w:numPr>
                <w:ilvl w:val="0"/>
                <w:numId w:val="0"/>
              </w:numPr>
              <w:spacing w:line="360" w:lineRule="auto"/>
              <w:jc w:val="cente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t>可研预计金额</w:t>
            </w:r>
          </w:p>
        </w:tc>
        <w:tc>
          <w:tcPr>
            <w:tcW w:w="1905" w:type="dxa"/>
          </w:tcPr>
          <w:p w14:paraId="443B97DD">
            <w:pPr>
              <w:numPr>
                <w:ilvl w:val="0"/>
                <w:numId w:val="0"/>
              </w:numPr>
              <w:spacing w:line="360" w:lineRule="auto"/>
              <w:jc w:val="cente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t>实际发生金额</w:t>
            </w:r>
          </w:p>
        </w:tc>
        <w:tc>
          <w:tcPr>
            <w:tcW w:w="1680" w:type="dxa"/>
          </w:tcPr>
          <w:p w14:paraId="6CF7487A">
            <w:pPr>
              <w:numPr>
                <w:ilvl w:val="0"/>
                <w:numId w:val="0"/>
              </w:numPr>
              <w:spacing w:line="360" w:lineRule="auto"/>
              <w:jc w:val="cente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t>节约金额</w:t>
            </w:r>
          </w:p>
        </w:tc>
        <w:tc>
          <w:tcPr>
            <w:tcW w:w="1358" w:type="dxa"/>
          </w:tcPr>
          <w:p w14:paraId="71BF952D">
            <w:pPr>
              <w:numPr>
                <w:ilvl w:val="0"/>
                <w:numId w:val="0"/>
              </w:numPr>
              <w:spacing w:line="360" w:lineRule="auto"/>
              <w:jc w:val="cente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t>节约率</w:t>
            </w:r>
          </w:p>
        </w:tc>
      </w:tr>
      <w:tr w14:paraId="749EE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9" w:type="dxa"/>
          </w:tcPr>
          <w:p w14:paraId="1EF92815">
            <w:pPr>
              <w:numPr>
                <w:ilvl w:val="0"/>
                <w:numId w:val="0"/>
              </w:numPr>
              <w:spacing w:line="360" w:lineRule="auto"/>
              <w:jc w:val="left"/>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t>工程建设费用</w:t>
            </w:r>
          </w:p>
        </w:tc>
        <w:tc>
          <w:tcPr>
            <w:tcW w:w="1890" w:type="dxa"/>
          </w:tcPr>
          <w:p w14:paraId="56B3A330">
            <w:pPr>
              <w:numPr>
                <w:ilvl w:val="0"/>
                <w:numId w:val="0"/>
              </w:numPr>
              <w:spacing w:line="360" w:lineRule="auto"/>
              <w:jc w:val="right"/>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t xml:space="preserve"> 2,036.48 </w:t>
            </w:r>
          </w:p>
        </w:tc>
        <w:tc>
          <w:tcPr>
            <w:tcW w:w="1905" w:type="dxa"/>
          </w:tcPr>
          <w:p w14:paraId="18F85C80">
            <w:pPr>
              <w:numPr>
                <w:ilvl w:val="0"/>
                <w:numId w:val="0"/>
              </w:numPr>
              <w:spacing w:line="360" w:lineRule="auto"/>
              <w:jc w:val="right"/>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t xml:space="preserve">1,643.77 </w:t>
            </w:r>
          </w:p>
        </w:tc>
        <w:tc>
          <w:tcPr>
            <w:tcW w:w="1680" w:type="dxa"/>
          </w:tcPr>
          <w:p w14:paraId="0DCFD284">
            <w:pPr>
              <w:numPr>
                <w:ilvl w:val="0"/>
                <w:numId w:val="0"/>
              </w:numPr>
              <w:spacing w:line="360" w:lineRule="auto"/>
              <w:jc w:val="right"/>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t xml:space="preserve">392.71  </w:t>
            </w:r>
          </w:p>
        </w:tc>
        <w:tc>
          <w:tcPr>
            <w:tcW w:w="1358" w:type="dxa"/>
          </w:tcPr>
          <w:p w14:paraId="23425F91">
            <w:pPr>
              <w:numPr>
                <w:ilvl w:val="0"/>
                <w:numId w:val="0"/>
              </w:numPr>
              <w:spacing w:line="360" w:lineRule="auto"/>
              <w:jc w:val="right"/>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t>19.28%</w:t>
            </w:r>
          </w:p>
        </w:tc>
      </w:tr>
      <w:tr w14:paraId="1F21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9" w:type="dxa"/>
          </w:tcPr>
          <w:p w14:paraId="1F337E4D">
            <w:pPr>
              <w:numPr>
                <w:ilvl w:val="0"/>
                <w:numId w:val="0"/>
              </w:numPr>
              <w:spacing w:line="360" w:lineRule="auto"/>
              <w:jc w:val="left"/>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t>监理费</w:t>
            </w:r>
          </w:p>
        </w:tc>
        <w:tc>
          <w:tcPr>
            <w:tcW w:w="1890" w:type="dxa"/>
          </w:tcPr>
          <w:p w14:paraId="368CC5D3">
            <w:pPr>
              <w:numPr>
                <w:ilvl w:val="0"/>
                <w:numId w:val="0"/>
              </w:numPr>
              <w:spacing w:line="360" w:lineRule="auto"/>
              <w:jc w:val="right"/>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t xml:space="preserve"> 30.55 </w:t>
            </w:r>
          </w:p>
        </w:tc>
        <w:tc>
          <w:tcPr>
            <w:tcW w:w="1905" w:type="dxa"/>
          </w:tcPr>
          <w:p w14:paraId="2A9412AD">
            <w:pPr>
              <w:numPr>
                <w:ilvl w:val="0"/>
                <w:numId w:val="0"/>
              </w:numPr>
              <w:spacing w:line="360" w:lineRule="auto"/>
              <w:jc w:val="right"/>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t>22.69</w:t>
            </w:r>
          </w:p>
        </w:tc>
        <w:tc>
          <w:tcPr>
            <w:tcW w:w="1680" w:type="dxa"/>
          </w:tcPr>
          <w:p w14:paraId="69CC7C3C">
            <w:pPr>
              <w:numPr>
                <w:ilvl w:val="0"/>
                <w:numId w:val="0"/>
              </w:numPr>
              <w:spacing w:line="360" w:lineRule="auto"/>
              <w:jc w:val="right"/>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t>7.86</w:t>
            </w:r>
          </w:p>
        </w:tc>
        <w:tc>
          <w:tcPr>
            <w:tcW w:w="1358" w:type="dxa"/>
          </w:tcPr>
          <w:p w14:paraId="53CFF87A">
            <w:pPr>
              <w:numPr>
                <w:ilvl w:val="0"/>
                <w:numId w:val="0"/>
              </w:numPr>
              <w:spacing w:line="360" w:lineRule="auto"/>
              <w:jc w:val="right"/>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t>25.73%</w:t>
            </w:r>
          </w:p>
        </w:tc>
      </w:tr>
      <w:tr w14:paraId="7561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9" w:type="dxa"/>
          </w:tcPr>
          <w:p w14:paraId="62C08776">
            <w:pPr>
              <w:numPr>
                <w:ilvl w:val="0"/>
                <w:numId w:val="0"/>
              </w:numPr>
              <w:spacing w:line="360" w:lineRule="auto"/>
              <w:jc w:val="center"/>
              <w:rPr>
                <w:rFonts w:hint="eastAsia" w:ascii="宋体" w:hAnsi="宋体" w:eastAsia="宋体" w:cs="宋体"/>
                <w:b/>
                <w:bCs/>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kern w:val="44"/>
                <w:sz w:val="24"/>
                <w:szCs w:val="24"/>
                <w:vertAlign w:val="baseline"/>
                <w:lang w:val="en-US" w:eastAsia="zh-CN"/>
                <w14:textFill>
                  <w14:solidFill>
                    <w14:schemeClr w14:val="tx1"/>
                  </w14:solidFill>
                </w14:textFill>
              </w:rPr>
              <w:t>合计</w:t>
            </w:r>
          </w:p>
        </w:tc>
        <w:tc>
          <w:tcPr>
            <w:tcW w:w="1890" w:type="dxa"/>
          </w:tcPr>
          <w:p w14:paraId="3B1817AE">
            <w:pPr>
              <w:numPr>
                <w:ilvl w:val="0"/>
                <w:numId w:val="0"/>
              </w:numPr>
              <w:spacing w:line="360" w:lineRule="auto"/>
              <w:jc w:val="right"/>
              <w:rPr>
                <w:rFonts w:hint="eastAsia" w:ascii="宋体" w:hAnsi="宋体" w:eastAsia="宋体" w:cs="宋体"/>
                <w:b/>
                <w:bCs/>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kern w:val="44"/>
                <w:sz w:val="24"/>
                <w:szCs w:val="24"/>
                <w:vertAlign w:val="baseline"/>
                <w:lang w:val="en-US" w:eastAsia="zh-CN"/>
                <w14:textFill>
                  <w14:solidFill>
                    <w14:schemeClr w14:val="tx1"/>
                  </w14:solidFill>
                </w14:textFill>
              </w:rPr>
              <w:t xml:space="preserve"> 2,067.03 </w:t>
            </w:r>
          </w:p>
        </w:tc>
        <w:tc>
          <w:tcPr>
            <w:tcW w:w="1905" w:type="dxa"/>
          </w:tcPr>
          <w:p w14:paraId="2E91AD35">
            <w:pPr>
              <w:numPr>
                <w:ilvl w:val="0"/>
                <w:numId w:val="0"/>
              </w:numPr>
              <w:spacing w:line="360" w:lineRule="auto"/>
              <w:jc w:val="right"/>
              <w:rPr>
                <w:rFonts w:hint="eastAsia" w:ascii="宋体" w:hAnsi="宋体" w:eastAsia="宋体" w:cs="宋体"/>
                <w:b/>
                <w:bCs/>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kern w:val="44"/>
                <w:sz w:val="24"/>
                <w:szCs w:val="24"/>
                <w:vertAlign w:val="baseline"/>
                <w:lang w:val="en-US" w:eastAsia="zh-CN"/>
                <w14:textFill>
                  <w14:solidFill>
                    <w14:schemeClr w14:val="tx1"/>
                  </w14:solidFill>
                </w14:textFill>
              </w:rPr>
              <w:t>1,666.46</w:t>
            </w:r>
          </w:p>
        </w:tc>
        <w:tc>
          <w:tcPr>
            <w:tcW w:w="1680" w:type="dxa"/>
          </w:tcPr>
          <w:p w14:paraId="7172F583">
            <w:pPr>
              <w:numPr>
                <w:ilvl w:val="0"/>
                <w:numId w:val="0"/>
              </w:numPr>
              <w:spacing w:line="360" w:lineRule="auto"/>
              <w:jc w:val="right"/>
              <w:rPr>
                <w:rFonts w:hint="eastAsia" w:ascii="宋体" w:hAnsi="宋体" w:eastAsia="宋体" w:cs="宋体"/>
                <w:b/>
                <w:bCs/>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kern w:val="44"/>
                <w:sz w:val="24"/>
                <w:szCs w:val="24"/>
                <w:vertAlign w:val="baseline"/>
                <w:lang w:val="en-US" w:eastAsia="zh-CN"/>
                <w14:textFill>
                  <w14:solidFill>
                    <w14:schemeClr w14:val="tx1"/>
                  </w14:solidFill>
                </w14:textFill>
              </w:rPr>
              <w:t>400.57</w:t>
            </w:r>
          </w:p>
        </w:tc>
        <w:tc>
          <w:tcPr>
            <w:tcW w:w="1358" w:type="dxa"/>
          </w:tcPr>
          <w:p w14:paraId="7E3DD930">
            <w:pPr>
              <w:numPr>
                <w:ilvl w:val="0"/>
                <w:numId w:val="0"/>
              </w:numPr>
              <w:spacing w:line="360" w:lineRule="auto"/>
              <w:jc w:val="right"/>
              <w:rPr>
                <w:rFonts w:hint="eastAsia" w:ascii="宋体" w:hAnsi="宋体" w:eastAsia="宋体" w:cs="宋体"/>
                <w:b/>
                <w:bCs/>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kern w:val="44"/>
                <w:sz w:val="24"/>
                <w:szCs w:val="24"/>
                <w:vertAlign w:val="baseline"/>
                <w:lang w:val="en-US" w:eastAsia="zh-CN"/>
                <w14:textFill>
                  <w14:solidFill>
                    <w14:schemeClr w14:val="tx1"/>
                  </w14:solidFill>
                </w14:textFill>
              </w:rPr>
              <w:t>19.38%</w:t>
            </w:r>
          </w:p>
        </w:tc>
      </w:tr>
    </w:tbl>
    <w:p w14:paraId="5123684B">
      <w:pPr>
        <w:pStyle w:val="9"/>
        <w:ind w:left="0" w:leftChars="0" w:firstLine="560" w:firstLineChars="200"/>
        <w:jc w:val="center"/>
        <w:rPr>
          <w:rFonts w:hint="eastAsia" w:ascii="宋体" w:hAnsi="宋体" w:eastAsia="宋体" w:cs="宋体"/>
          <w:b w:val="0"/>
          <w:bCs w:val="0"/>
          <w:color w:val="000000" w:themeColor="text1"/>
          <w:sz w:val="28"/>
          <w:szCs w:val="28"/>
          <w:highlight w:val="none"/>
          <w:lang w:val="en-US" w:eastAsia="zh-CN"/>
          <w14:textFill>
            <w14:solidFill>
              <w14:schemeClr w14:val="tx1"/>
            </w14:solidFill>
          </w14:textFill>
        </w:rPr>
      </w:pPr>
      <w:r>
        <w:rPr>
          <w:rFonts w:hint="eastAsia" w:ascii="宋体" w:hAnsi="宋体" w:eastAsia="宋体" w:cs="宋体"/>
          <w:b w:val="0"/>
          <w:bCs w:val="0"/>
          <w:color w:val="000000" w:themeColor="text1"/>
          <w:sz w:val="28"/>
          <w:szCs w:val="28"/>
          <w:highlight w:val="none"/>
          <w:lang w:val="en-US" w:eastAsia="zh-CN"/>
          <w14:textFill>
            <w14:solidFill>
              <w14:schemeClr w14:val="tx1"/>
            </w14:solidFill>
          </w14:textFill>
        </w:rPr>
        <w:t>陕州区金华路道路工程</w:t>
      </w:r>
    </w:p>
    <w:p w14:paraId="539A6AB4">
      <w:pPr>
        <w:pStyle w:val="9"/>
        <w:ind w:left="0" w:leftChars="0" w:firstLine="560" w:firstLineChars="200"/>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三门峡市陕州区住房和城乡建设局委托河南圣基工程咨询有限公司三门峡分公司对金华路桥梁工程项目编制工程量清单及招标控制价，最终金华路桥梁工程项目招标控制价</w:t>
      </w: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18,315,009.02</w:t>
      </w:r>
      <w:r>
        <w:rPr>
          <w:rFonts w:hint="eastAsia" w:ascii="宋体" w:hAnsi="宋体" w:eastAsia="宋体" w:cs="宋体"/>
          <w:color w:val="000000" w:themeColor="text1"/>
          <w:kern w:val="44"/>
          <w:sz w:val="28"/>
          <w:szCs w:val="28"/>
          <w:lang w:val="en-US" w:eastAsia="zh-CN"/>
          <w14:textFill>
            <w14:solidFill>
              <w14:schemeClr w14:val="tx1"/>
            </w14:solidFill>
          </w14:textFill>
        </w:rPr>
        <w:t>元。</w:t>
      </w:r>
    </w:p>
    <w:p w14:paraId="45074775">
      <w:pPr>
        <w:pStyle w:val="9"/>
        <w:ind w:left="0" w:leftChars="0" w:firstLine="560" w:firstLineChars="200"/>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2022年6月21日，受三门峡市陕州区财政局委托，河南常燊工程管理有限责任公司出具《三门峡市陕州区金华路跨金水河桥梁工程招标控制价评审报告》（常燊建审字(2022)23号），显示三门峡市陕州区金华路跨金水河桥梁工程申报造价18,315,009.02元，审定造价17,789,541.72元，综合审减金额525,467.30元。</w:t>
      </w:r>
    </w:p>
    <w:p w14:paraId="33AAE0BD">
      <w:pPr>
        <w:pStyle w:val="9"/>
        <w:ind w:left="0" w:leftChars="0" w:firstLine="560" w:firstLineChars="200"/>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2022年6月22日，三门峡市陕州区财政投资评审中心印发《建设项目投资评审结论》（陕财评审字【2022】39号），显示三门峡市陕州区金华路跨金水河桥梁工程施工及监理项目评审结果如下：原报控制价18,315,009.02元，审定控制价17,789,541.72元，综合审减金额525,467.30元。</w:t>
      </w:r>
    </w:p>
    <w:p w14:paraId="4CD1AE75">
      <w:pPr>
        <w:pStyle w:val="9"/>
        <w:ind w:left="0" w:leftChars="0" w:firstLine="560" w:firstLineChars="200"/>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2022年6月30日，中恒晟(北京)工程管理有限公司在《河南省政府采购网》、《河南省电子招标投标公共服务平台》、《三门峡市公共资源交易中心网》上同时发布三门峡市陕州区金华路跨金水河桥梁工程施工及监理项目招标公告。招标文件获取时间2022年7月4日至2022年7月26日08时 30分。开标时间2022年07月26日08时30分00秒。开标地点三门峡市陕州区公共资源交易中心第一开标室。项目一标段为施工标，限价17,789,541.72元，二标段为监理标，限价项目施工中标金额的1.45%。</w:t>
      </w:r>
    </w:p>
    <w:p w14:paraId="38C19BE0">
      <w:pPr>
        <w:pStyle w:val="9"/>
        <w:ind w:left="0" w:leftChars="0" w:firstLine="560" w:firstLineChars="200"/>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2022年7月26日，中恒晟(北京)工程管理有限公司在</w:t>
      </w:r>
      <w:r>
        <w:rPr>
          <w:rFonts w:hint="eastAsia" w:ascii="宋体" w:hAnsi="宋体" w:eastAsia="宋体" w:cs="宋体"/>
          <w:i w:val="0"/>
          <w:iCs w:val="0"/>
          <w:caps w:val="0"/>
          <w:color w:val="000000" w:themeColor="text1"/>
          <w:spacing w:val="0"/>
          <w:sz w:val="28"/>
          <w:szCs w:val="28"/>
          <w14:textFill>
            <w14:solidFill>
              <w14:schemeClr w14:val="tx1"/>
            </w14:solidFill>
          </w14:textFill>
        </w:rPr>
        <w:t>《河南省政府采购网》、《河南省电子招投标公共服务平台》、《三门峡市公共资源交易中心网》</w:t>
      </w: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同时发布了结果公告：一标段中标人河南省康达公路建设有限公司，中标金额17,522,291.56元；二标段中标人新正源项目咨询有限公司，中标金额施工中标金额的1.44%。</w:t>
      </w:r>
    </w:p>
    <w:p w14:paraId="372BA815">
      <w:pPr>
        <w:pStyle w:val="9"/>
        <w:ind w:left="0" w:leftChars="0" w:firstLine="560" w:firstLineChars="200"/>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2025年4月8日，三门峡市正则工程造价咨询事务所(普通合伙)出具《三门峡市陕州区金华路跨金水河桥梁工程结算审核报告》（正则审字【2025】第25号），显示项目项目送审造价19,123,102.22元，审减1,647,043.80元，审定造价17,476,058.42元。</w:t>
      </w:r>
    </w:p>
    <w:p w14:paraId="69F51C42">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因陕州区金华路道路工程包含桥梁及桥梁两侧道路，实际桥梁两侧道路未实施，根据可研报告项目投资估算表无法拆分道路、桥梁具体金额，其经济性分析工程建设款及监理费按2022年4月8日，三门峡市陕州区住房和城乡建设局印发《关于申请对金华路桥梁工程进行施工及监理招标的请示》（三陕住建文【2022】86号），工程概算投资约为2,200.00万元计算，监理费费率按可研中2.63%计取。经分摊工程建设款2,143.62万元，监理费56.38万元。</w:t>
      </w:r>
    </w:p>
    <w:p w14:paraId="2E8CB813">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陕州区金华路道路工程建设费用前期预计2,143.62</w:t>
      </w:r>
      <w:r>
        <w:rPr>
          <w:rFonts w:hint="eastAsia" w:ascii="宋体" w:hAnsi="宋体" w:eastAsia="宋体" w:cs="宋体"/>
          <w:color w:val="000000" w:themeColor="text1"/>
          <w:kern w:val="44"/>
          <w:sz w:val="28"/>
          <w:szCs w:val="28"/>
          <w:highlight w:val="none"/>
          <w:vertAlign w:val="baseline"/>
          <w:lang w:val="en-US" w:eastAsia="zh-CN" w:bidi="ar-SA"/>
          <w14:textFill>
            <w14:solidFill>
              <w14:schemeClr w14:val="tx1"/>
            </w14:solidFill>
          </w14:textFill>
        </w:rPr>
        <w:t>万元，最终实际发生1,747.61万元，</w:t>
      </w: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工程建设费用节约</w:t>
      </w:r>
      <w:r>
        <w:rPr>
          <w:rFonts w:hint="eastAsia" w:ascii="宋体" w:hAnsi="宋体" w:eastAsia="宋体" w:cs="宋体"/>
          <w:color w:val="000000" w:themeColor="text1"/>
          <w:kern w:val="44"/>
          <w:sz w:val="28"/>
          <w:szCs w:val="28"/>
          <w:highlight w:val="none"/>
          <w:vertAlign w:val="baseline"/>
          <w:lang w:val="en-US" w:eastAsia="zh-CN"/>
          <w14:textFill>
            <w14:solidFill>
              <w14:schemeClr w14:val="tx1"/>
            </w14:solidFill>
          </w14:textFill>
        </w:rPr>
        <w:t>396.01</w:t>
      </w: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万元，节约率</w:t>
      </w:r>
      <w:r>
        <w:rPr>
          <w:rFonts w:hint="eastAsia" w:ascii="宋体" w:hAnsi="宋体" w:eastAsia="宋体" w:cs="宋体"/>
          <w:color w:val="000000" w:themeColor="text1"/>
          <w:kern w:val="44"/>
          <w:sz w:val="28"/>
          <w:szCs w:val="28"/>
          <w:highlight w:val="none"/>
          <w:vertAlign w:val="baseline"/>
          <w:lang w:val="en-US" w:eastAsia="zh-CN"/>
          <w14:textFill>
            <w14:solidFill>
              <w14:schemeClr w14:val="tx1"/>
            </w14:solidFill>
          </w14:textFill>
        </w:rPr>
        <w:t>18.47%</w:t>
      </w: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w:t>
      </w:r>
    </w:p>
    <w:p w14:paraId="249ADE80">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陕州区金华路道路工程监理费前期预计56.38万元，实际发生</w:t>
      </w:r>
      <w:r>
        <w:rPr>
          <w:rFonts w:hint="eastAsia" w:ascii="宋体" w:hAnsi="宋体" w:eastAsia="宋体" w:cs="宋体"/>
          <w:color w:val="000000" w:themeColor="text1"/>
          <w:kern w:val="44"/>
          <w:sz w:val="28"/>
          <w:szCs w:val="28"/>
          <w:highlight w:val="none"/>
          <w:vertAlign w:val="baseline"/>
          <w:lang w:val="en-US" w:eastAsia="zh-CN"/>
          <w14:textFill>
            <w14:solidFill>
              <w14:schemeClr w14:val="tx1"/>
            </w14:solidFill>
          </w14:textFill>
        </w:rPr>
        <w:t>25.23</w:t>
      </w: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万元，监理费节约</w:t>
      </w:r>
      <w:r>
        <w:rPr>
          <w:rFonts w:hint="eastAsia" w:ascii="宋体" w:hAnsi="宋体" w:eastAsia="宋体" w:cs="宋体"/>
          <w:color w:val="000000" w:themeColor="text1"/>
          <w:kern w:val="44"/>
          <w:sz w:val="28"/>
          <w:szCs w:val="28"/>
          <w:highlight w:val="none"/>
          <w:vertAlign w:val="baseline"/>
          <w:lang w:val="en-US" w:eastAsia="zh-CN"/>
          <w14:textFill>
            <w14:solidFill>
              <w14:schemeClr w14:val="tx1"/>
            </w14:solidFill>
          </w14:textFill>
        </w:rPr>
        <w:t>31.15</w:t>
      </w: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万元，节约率</w:t>
      </w:r>
      <w:r>
        <w:rPr>
          <w:rFonts w:hint="eastAsia" w:ascii="宋体" w:hAnsi="宋体" w:eastAsia="宋体" w:cs="宋体"/>
          <w:color w:val="000000" w:themeColor="text1"/>
          <w:kern w:val="44"/>
          <w:sz w:val="28"/>
          <w:szCs w:val="28"/>
          <w:highlight w:val="none"/>
          <w:vertAlign w:val="baseline"/>
          <w:lang w:val="en-US" w:eastAsia="zh-CN"/>
          <w14:textFill>
            <w14:solidFill>
              <w14:schemeClr w14:val="tx1"/>
            </w14:solidFill>
          </w14:textFill>
        </w:rPr>
        <w:t>55.25%</w:t>
      </w: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w:t>
      </w:r>
    </w:p>
    <w:p w14:paraId="1CE9C251">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陕州区金华路道路工程工程建设费用及监理费经济性分析详见下表：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9"/>
        <w:gridCol w:w="1890"/>
        <w:gridCol w:w="1905"/>
        <w:gridCol w:w="1680"/>
        <w:gridCol w:w="1358"/>
      </w:tblGrid>
      <w:tr w14:paraId="18025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14:paraId="49DA007B">
            <w:pPr>
              <w:numPr>
                <w:ilvl w:val="0"/>
                <w:numId w:val="0"/>
              </w:numPr>
              <w:spacing w:line="360" w:lineRule="auto"/>
              <w:jc w:val="center"/>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8"/>
                <w:szCs w:val="28"/>
                <w:lang w:val="en-US" w:eastAsia="zh-CN"/>
                <w14:textFill>
                  <w14:solidFill>
                    <w14:schemeClr w14:val="tx1"/>
                  </w14:solidFill>
                </w14:textFill>
              </w:rPr>
              <w:t>陕州区金华路道路工程经济性分析表（万元）</w:t>
            </w:r>
          </w:p>
        </w:tc>
      </w:tr>
      <w:tr w14:paraId="00883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9" w:type="dxa"/>
          </w:tcPr>
          <w:p w14:paraId="517FC3AD">
            <w:pPr>
              <w:numPr>
                <w:ilvl w:val="0"/>
                <w:numId w:val="0"/>
              </w:numPr>
              <w:spacing w:line="360" w:lineRule="auto"/>
              <w:jc w:val="cente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t>项目</w:t>
            </w:r>
          </w:p>
        </w:tc>
        <w:tc>
          <w:tcPr>
            <w:tcW w:w="1890" w:type="dxa"/>
          </w:tcPr>
          <w:p w14:paraId="5F02307A">
            <w:pPr>
              <w:numPr>
                <w:ilvl w:val="0"/>
                <w:numId w:val="0"/>
              </w:numPr>
              <w:spacing w:line="360" w:lineRule="auto"/>
              <w:jc w:val="cente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t>预计金额</w:t>
            </w:r>
          </w:p>
        </w:tc>
        <w:tc>
          <w:tcPr>
            <w:tcW w:w="1905" w:type="dxa"/>
          </w:tcPr>
          <w:p w14:paraId="0B244D02">
            <w:pPr>
              <w:numPr>
                <w:ilvl w:val="0"/>
                <w:numId w:val="0"/>
              </w:numPr>
              <w:spacing w:line="360" w:lineRule="auto"/>
              <w:jc w:val="cente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t>实际发生金额</w:t>
            </w:r>
          </w:p>
        </w:tc>
        <w:tc>
          <w:tcPr>
            <w:tcW w:w="1680" w:type="dxa"/>
          </w:tcPr>
          <w:p w14:paraId="0F735C8D">
            <w:pPr>
              <w:numPr>
                <w:ilvl w:val="0"/>
                <w:numId w:val="0"/>
              </w:numPr>
              <w:spacing w:line="360" w:lineRule="auto"/>
              <w:jc w:val="cente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t>节约金额</w:t>
            </w:r>
          </w:p>
        </w:tc>
        <w:tc>
          <w:tcPr>
            <w:tcW w:w="1358" w:type="dxa"/>
          </w:tcPr>
          <w:p w14:paraId="36C2A164">
            <w:pPr>
              <w:numPr>
                <w:ilvl w:val="0"/>
                <w:numId w:val="0"/>
              </w:numPr>
              <w:spacing w:line="360" w:lineRule="auto"/>
              <w:jc w:val="cente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t>节约率</w:t>
            </w:r>
          </w:p>
        </w:tc>
      </w:tr>
      <w:tr w14:paraId="24922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9" w:type="dxa"/>
          </w:tcPr>
          <w:p w14:paraId="1C675D3B">
            <w:pPr>
              <w:numPr>
                <w:ilvl w:val="0"/>
                <w:numId w:val="0"/>
              </w:numPr>
              <w:spacing w:line="360" w:lineRule="auto"/>
              <w:jc w:val="left"/>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t>工程建设费用</w:t>
            </w:r>
          </w:p>
        </w:tc>
        <w:tc>
          <w:tcPr>
            <w:tcW w:w="1890" w:type="dxa"/>
          </w:tcPr>
          <w:p w14:paraId="782B87BE">
            <w:pPr>
              <w:numPr>
                <w:ilvl w:val="0"/>
                <w:numId w:val="0"/>
              </w:numPr>
              <w:spacing w:line="360" w:lineRule="auto"/>
              <w:jc w:val="right"/>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color w:val="000000" w:themeColor="text1"/>
                <w:kern w:val="44"/>
                <w:sz w:val="24"/>
                <w:szCs w:val="24"/>
                <w:lang w:val="en-US" w:eastAsia="zh-CN"/>
                <w14:textFill>
                  <w14:solidFill>
                    <w14:schemeClr w14:val="tx1"/>
                  </w14:solidFill>
                </w14:textFill>
              </w:rPr>
              <w:t>2,143.62</w:t>
            </w:r>
          </w:p>
        </w:tc>
        <w:tc>
          <w:tcPr>
            <w:tcW w:w="1905" w:type="dxa"/>
          </w:tcPr>
          <w:p w14:paraId="5FAB8D29">
            <w:pPr>
              <w:numPr>
                <w:ilvl w:val="0"/>
                <w:numId w:val="0"/>
              </w:numPr>
              <w:spacing w:line="360" w:lineRule="auto"/>
              <w:jc w:val="right"/>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t xml:space="preserve"> 1,747.61 </w:t>
            </w:r>
          </w:p>
        </w:tc>
        <w:tc>
          <w:tcPr>
            <w:tcW w:w="1680" w:type="dxa"/>
          </w:tcPr>
          <w:p w14:paraId="6AA0A560">
            <w:pPr>
              <w:numPr>
                <w:ilvl w:val="0"/>
                <w:numId w:val="0"/>
              </w:numPr>
              <w:spacing w:line="360" w:lineRule="auto"/>
              <w:jc w:val="right"/>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t xml:space="preserve"> 396.01 </w:t>
            </w:r>
          </w:p>
        </w:tc>
        <w:tc>
          <w:tcPr>
            <w:tcW w:w="1358" w:type="dxa"/>
          </w:tcPr>
          <w:p w14:paraId="540B0FDA">
            <w:pPr>
              <w:numPr>
                <w:ilvl w:val="0"/>
                <w:numId w:val="0"/>
              </w:numPr>
              <w:spacing w:line="360" w:lineRule="auto"/>
              <w:jc w:val="right"/>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t>18.47%</w:t>
            </w:r>
          </w:p>
        </w:tc>
      </w:tr>
      <w:tr w14:paraId="40A9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9" w:type="dxa"/>
          </w:tcPr>
          <w:p w14:paraId="7EE39BBA">
            <w:pPr>
              <w:numPr>
                <w:ilvl w:val="0"/>
                <w:numId w:val="0"/>
              </w:numPr>
              <w:spacing w:line="360" w:lineRule="auto"/>
              <w:jc w:val="left"/>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t>监理费</w:t>
            </w:r>
          </w:p>
        </w:tc>
        <w:tc>
          <w:tcPr>
            <w:tcW w:w="1890" w:type="dxa"/>
          </w:tcPr>
          <w:p w14:paraId="5B637F44">
            <w:pPr>
              <w:numPr>
                <w:ilvl w:val="0"/>
                <w:numId w:val="0"/>
              </w:numPr>
              <w:spacing w:line="360" w:lineRule="auto"/>
              <w:jc w:val="right"/>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color w:val="000000" w:themeColor="text1"/>
                <w:kern w:val="44"/>
                <w:sz w:val="24"/>
                <w:szCs w:val="24"/>
                <w:lang w:val="en-US" w:eastAsia="zh-CN"/>
                <w14:textFill>
                  <w14:solidFill>
                    <w14:schemeClr w14:val="tx1"/>
                  </w14:solidFill>
                </w14:textFill>
              </w:rPr>
              <w:t>56.38</w:t>
            </w:r>
          </w:p>
        </w:tc>
        <w:tc>
          <w:tcPr>
            <w:tcW w:w="1905" w:type="dxa"/>
          </w:tcPr>
          <w:p w14:paraId="1AAC02E8">
            <w:pPr>
              <w:numPr>
                <w:ilvl w:val="0"/>
                <w:numId w:val="0"/>
              </w:numPr>
              <w:spacing w:line="360" w:lineRule="auto"/>
              <w:jc w:val="right"/>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t>25.23</w:t>
            </w:r>
          </w:p>
        </w:tc>
        <w:tc>
          <w:tcPr>
            <w:tcW w:w="1680" w:type="dxa"/>
          </w:tcPr>
          <w:p w14:paraId="3E2ACCBA">
            <w:pPr>
              <w:numPr>
                <w:ilvl w:val="0"/>
                <w:numId w:val="0"/>
              </w:numPr>
              <w:spacing w:line="360" w:lineRule="auto"/>
              <w:jc w:val="right"/>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t xml:space="preserve"> 31.15 </w:t>
            </w:r>
          </w:p>
        </w:tc>
        <w:tc>
          <w:tcPr>
            <w:tcW w:w="1358" w:type="dxa"/>
          </w:tcPr>
          <w:p w14:paraId="392DBD50">
            <w:pPr>
              <w:numPr>
                <w:ilvl w:val="0"/>
                <w:numId w:val="0"/>
              </w:numPr>
              <w:spacing w:line="360" w:lineRule="auto"/>
              <w:jc w:val="right"/>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color w:val="000000" w:themeColor="text1"/>
                <w:kern w:val="44"/>
                <w:sz w:val="24"/>
                <w:szCs w:val="24"/>
                <w:vertAlign w:val="baseline"/>
                <w:lang w:val="en-US" w:eastAsia="zh-CN"/>
                <w14:textFill>
                  <w14:solidFill>
                    <w14:schemeClr w14:val="tx1"/>
                  </w14:solidFill>
                </w14:textFill>
              </w:rPr>
              <w:t>55.25%</w:t>
            </w:r>
          </w:p>
        </w:tc>
      </w:tr>
      <w:tr w14:paraId="7A54D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9" w:type="dxa"/>
          </w:tcPr>
          <w:p w14:paraId="5ED97A94">
            <w:pPr>
              <w:numPr>
                <w:ilvl w:val="0"/>
                <w:numId w:val="0"/>
              </w:numPr>
              <w:spacing w:line="360" w:lineRule="auto"/>
              <w:jc w:val="center"/>
              <w:rPr>
                <w:rFonts w:hint="eastAsia" w:ascii="宋体" w:hAnsi="宋体" w:eastAsia="宋体" w:cs="宋体"/>
                <w:b/>
                <w:bCs/>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kern w:val="44"/>
                <w:sz w:val="24"/>
                <w:szCs w:val="24"/>
                <w:vertAlign w:val="baseline"/>
                <w:lang w:val="en-US" w:eastAsia="zh-CN"/>
                <w14:textFill>
                  <w14:solidFill>
                    <w14:schemeClr w14:val="tx1"/>
                  </w14:solidFill>
                </w14:textFill>
              </w:rPr>
              <w:t>合计</w:t>
            </w:r>
          </w:p>
        </w:tc>
        <w:tc>
          <w:tcPr>
            <w:tcW w:w="1890" w:type="dxa"/>
          </w:tcPr>
          <w:p w14:paraId="331F993D">
            <w:pPr>
              <w:numPr>
                <w:ilvl w:val="0"/>
                <w:numId w:val="0"/>
              </w:numPr>
              <w:spacing w:line="360" w:lineRule="auto"/>
              <w:jc w:val="right"/>
              <w:rPr>
                <w:rFonts w:hint="eastAsia" w:ascii="宋体" w:hAnsi="宋体" w:eastAsia="宋体" w:cs="宋体"/>
                <w:b/>
                <w:bCs/>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kern w:val="44"/>
                <w:sz w:val="24"/>
                <w:szCs w:val="24"/>
                <w:vertAlign w:val="baseline"/>
                <w:lang w:val="en-US" w:eastAsia="zh-CN"/>
                <w14:textFill>
                  <w14:solidFill>
                    <w14:schemeClr w14:val="tx1"/>
                  </w14:solidFill>
                </w14:textFill>
              </w:rPr>
              <w:t xml:space="preserve"> 2,200.00 </w:t>
            </w:r>
          </w:p>
        </w:tc>
        <w:tc>
          <w:tcPr>
            <w:tcW w:w="1905" w:type="dxa"/>
          </w:tcPr>
          <w:p w14:paraId="266B6F8E">
            <w:pPr>
              <w:numPr>
                <w:ilvl w:val="0"/>
                <w:numId w:val="0"/>
              </w:numPr>
              <w:spacing w:line="360" w:lineRule="auto"/>
              <w:jc w:val="right"/>
              <w:rPr>
                <w:rFonts w:hint="eastAsia" w:ascii="宋体" w:hAnsi="宋体" w:eastAsia="宋体" w:cs="宋体"/>
                <w:b/>
                <w:bCs/>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kern w:val="44"/>
                <w:sz w:val="24"/>
                <w:szCs w:val="24"/>
                <w:vertAlign w:val="baseline"/>
                <w:lang w:val="en-US" w:eastAsia="zh-CN"/>
                <w14:textFill>
                  <w14:solidFill>
                    <w14:schemeClr w14:val="tx1"/>
                  </w14:solidFill>
                </w14:textFill>
              </w:rPr>
              <w:t xml:space="preserve"> 1,772.84 </w:t>
            </w:r>
          </w:p>
        </w:tc>
        <w:tc>
          <w:tcPr>
            <w:tcW w:w="1680" w:type="dxa"/>
          </w:tcPr>
          <w:p w14:paraId="5A22B433">
            <w:pPr>
              <w:numPr>
                <w:ilvl w:val="0"/>
                <w:numId w:val="0"/>
              </w:numPr>
              <w:spacing w:line="360" w:lineRule="auto"/>
              <w:jc w:val="right"/>
              <w:rPr>
                <w:rFonts w:hint="eastAsia" w:ascii="宋体" w:hAnsi="宋体" w:eastAsia="宋体" w:cs="宋体"/>
                <w:b/>
                <w:bCs/>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kern w:val="44"/>
                <w:sz w:val="24"/>
                <w:szCs w:val="24"/>
                <w:vertAlign w:val="baseline"/>
                <w:lang w:val="en-US" w:eastAsia="zh-CN"/>
                <w14:textFill>
                  <w14:solidFill>
                    <w14:schemeClr w14:val="tx1"/>
                  </w14:solidFill>
                </w14:textFill>
              </w:rPr>
              <w:t xml:space="preserve"> 427.16 </w:t>
            </w:r>
          </w:p>
        </w:tc>
        <w:tc>
          <w:tcPr>
            <w:tcW w:w="1358" w:type="dxa"/>
          </w:tcPr>
          <w:p w14:paraId="09426126">
            <w:pPr>
              <w:numPr>
                <w:ilvl w:val="0"/>
                <w:numId w:val="0"/>
              </w:numPr>
              <w:spacing w:line="360" w:lineRule="auto"/>
              <w:jc w:val="right"/>
              <w:rPr>
                <w:rFonts w:hint="eastAsia" w:ascii="宋体" w:hAnsi="宋体" w:eastAsia="宋体" w:cs="宋体"/>
                <w:b/>
                <w:bCs/>
                <w:color w:val="000000" w:themeColor="text1"/>
                <w:kern w:val="44"/>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kern w:val="44"/>
                <w:sz w:val="24"/>
                <w:szCs w:val="24"/>
                <w:vertAlign w:val="baseline"/>
                <w:lang w:val="en-US" w:eastAsia="zh-CN"/>
                <w14:textFill>
                  <w14:solidFill>
                    <w14:schemeClr w14:val="tx1"/>
                  </w14:solidFill>
                </w14:textFill>
              </w:rPr>
              <w:t>19.42%</w:t>
            </w:r>
          </w:p>
        </w:tc>
      </w:tr>
    </w:tbl>
    <w:p w14:paraId="015DAD6F">
      <w:pPr>
        <w:pStyle w:val="9"/>
        <w:numPr>
          <w:ilvl w:val="0"/>
          <w:numId w:val="18"/>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项目的效率性分析</w:t>
      </w:r>
    </w:p>
    <w:p w14:paraId="73474604">
      <w:pPr>
        <w:numPr>
          <w:ilvl w:val="0"/>
          <w:numId w:val="0"/>
        </w:numPr>
        <w:spacing w:line="360" w:lineRule="auto"/>
        <w:ind w:firstLine="560" w:firstLineChars="200"/>
        <w:jc w:val="center"/>
        <w:rPr>
          <w:rFonts w:hint="eastAsia"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eastAsia="宋体" w:cs="宋体"/>
          <w:b w:val="0"/>
          <w:bCs w:val="0"/>
          <w:color w:val="000000" w:themeColor="text1"/>
          <w:sz w:val="28"/>
          <w:szCs w:val="28"/>
          <w:lang w:val="en-US" w:eastAsia="zh-CN"/>
          <w14:textFill>
            <w14:solidFill>
              <w14:schemeClr w14:val="tx1"/>
            </w14:solidFill>
          </w14:textFill>
        </w:rPr>
        <w:t>陕州区王寨路桥工程</w:t>
      </w:r>
    </w:p>
    <w:p w14:paraId="07661CCD">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2020年3月24日，三门峡市陕州区住房和城乡建设局印发关于呈报《陕州区王寨路桥工程可行性研究报告》的请示（三陕住建文【2020】166号）。</w:t>
      </w:r>
    </w:p>
    <w:p w14:paraId="1CA70719">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2020年3月25日，三门峡市陕州区发展和改革委员会印发关于对《陕州区王寨路桥工程可行性研究报告》的批复（三陕发改【2020】36号），批复项目建设周期：项目2020年7月开始，计划2021年12月竣工验收，建设周期18个月。</w:t>
      </w:r>
    </w:p>
    <w:p w14:paraId="1446717E">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2022年7月26日，三门峡市陕州区住房和城乡建设局与河南省康达公路建设有限公司签订施工合同，合同工期90日历天，2022年8月10日—2022年11月10日。</w:t>
      </w:r>
    </w:p>
    <w:p w14:paraId="008AABB6">
      <w:pPr>
        <w:pStyle w:val="9"/>
        <w:ind w:left="0" w:leftChars="0" w:firstLine="560" w:firstLineChars="200"/>
        <w:rPr>
          <w:rFonts w:hint="default"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2022年11月25日，陕州区王寨路桥工程竣工，后期项目验收，验收结论合格。</w:t>
      </w:r>
    </w:p>
    <w:p w14:paraId="5B2DA246">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陕州区王寨路桥工程实际竣工日期比发改委批复竣工日期延误11个月25天，比合同工期竣工日期延误15日历天。</w:t>
      </w:r>
    </w:p>
    <w:p w14:paraId="5A5C4200">
      <w:pPr>
        <w:numPr>
          <w:ilvl w:val="0"/>
          <w:numId w:val="0"/>
        </w:numPr>
        <w:spacing w:line="360" w:lineRule="auto"/>
        <w:ind w:firstLine="560" w:firstLineChars="200"/>
        <w:jc w:val="left"/>
        <w:rPr>
          <w:rFonts w:hint="default"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陕州区王寨路桥工程</w:t>
      </w:r>
      <w:r>
        <w:rPr>
          <w:rFonts w:hint="eastAsia" w:ascii="宋体" w:hAnsi="宋体" w:cs="宋体"/>
          <w:color w:val="000000" w:themeColor="text1"/>
          <w:kern w:val="44"/>
          <w:sz w:val="28"/>
          <w:szCs w:val="28"/>
          <w:lang w:val="en-US" w:eastAsia="zh-CN"/>
          <w14:textFill>
            <w14:solidFill>
              <w14:schemeClr w14:val="tx1"/>
            </w14:solidFill>
          </w14:textFill>
        </w:rPr>
        <w:t>验收合格，未发现质量缺陷。</w:t>
      </w:r>
    </w:p>
    <w:p w14:paraId="019A81AA">
      <w:pPr>
        <w:jc w:val="center"/>
        <w:rPr>
          <w:rFonts w:hint="eastAsia" w:ascii="宋体" w:hAnsi="宋体" w:eastAsia="宋体" w:cs="宋体"/>
          <w:b w:val="0"/>
          <w:bCs w:val="0"/>
          <w:color w:val="000000" w:themeColor="text1"/>
          <w:sz w:val="28"/>
          <w:szCs w:val="28"/>
          <w:highlight w:val="none"/>
          <w14:textFill>
            <w14:solidFill>
              <w14:schemeClr w14:val="tx1"/>
            </w14:solidFill>
          </w14:textFill>
        </w:rPr>
      </w:pPr>
      <w:r>
        <w:rPr>
          <w:rFonts w:hint="eastAsia" w:ascii="宋体" w:hAnsi="宋体" w:eastAsia="宋体" w:cs="宋体"/>
          <w:b w:val="0"/>
          <w:bCs w:val="0"/>
          <w:color w:val="000000" w:themeColor="text1"/>
          <w:sz w:val="28"/>
          <w:szCs w:val="28"/>
          <w:highlight w:val="none"/>
          <w:lang w:val="en-US" w:eastAsia="zh-CN"/>
          <w14:textFill>
            <w14:solidFill>
              <w14:schemeClr w14:val="tx1"/>
            </w14:solidFill>
          </w14:textFill>
        </w:rPr>
        <w:t>陕州区金华路道路工程</w:t>
      </w:r>
    </w:p>
    <w:p w14:paraId="4C6E1E35">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2018年9月28日，三门峡市陕州区住房和城乡建设局印发关于呈报《金华路桥工程可行性研究报告》的请示（三陕住建文【2018】200号）。</w:t>
      </w:r>
    </w:p>
    <w:p w14:paraId="31E3A393">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2018年11月19日，三门峡市陕州区发展和改革委员会印发关于对《金华路工程可行性研究报告》的批复（三陕发改【2018】97号），</w:t>
      </w:r>
      <w:r>
        <w:rPr>
          <w:rFonts w:hint="eastAsia" w:ascii="宋体" w:hAnsi="宋体" w:eastAsia="宋体" w:cs="宋体"/>
          <w:color w:val="000000" w:themeColor="text1"/>
          <w:kern w:val="44"/>
          <w:sz w:val="28"/>
          <w:szCs w:val="28"/>
          <w:lang w:val="en-US" w:eastAsia="zh-CN"/>
          <w14:textFill>
            <w14:solidFill>
              <w14:schemeClr w14:val="tx1"/>
            </w14:solidFill>
          </w14:textFill>
        </w:rPr>
        <w:t>批复建设年限:2019年3月至2019年12月。</w:t>
      </w:r>
    </w:p>
    <w:p w14:paraId="63A1BB9A">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2022年8月15日，三门峡市陕州区住房和城乡建设局与河南省康达公路建设有限公司签订施工合同，合同工期60日历天，2022年8月16日—2022年10月15日</w:t>
      </w:r>
      <w:r>
        <w:rPr>
          <w:rFonts w:hint="eastAsia" w:ascii="宋体" w:hAnsi="宋体" w:cs="宋体"/>
          <w:color w:val="000000" w:themeColor="text1"/>
          <w:kern w:val="44"/>
          <w:sz w:val="28"/>
          <w:szCs w:val="28"/>
          <w:highlight w:val="none"/>
          <w:lang w:val="en-US" w:eastAsia="zh-CN"/>
          <w14:textFill>
            <w14:solidFill>
              <w14:schemeClr w14:val="tx1"/>
            </w14:solidFill>
          </w14:textFill>
        </w:rPr>
        <w:t>，申请延期30日，完工日期</w:t>
      </w: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2022年</w:t>
      </w:r>
      <w:r>
        <w:rPr>
          <w:rFonts w:hint="eastAsia" w:ascii="宋体" w:hAnsi="宋体" w:cs="宋体"/>
          <w:color w:val="000000" w:themeColor="text1"/>
          <w:kern w:val="44"/>
          <w:sz w:val="28"/>
          <w:szCs w:val="28"/>
          <w:highlight w:val="none"/>
          <w:lang w:val="en-US" w:eastAsia="zh-CN"/>
          <w14:textFill>
            <w14:solidFill>
              <w14:schemeClr w14:val="tx1"/>
            </w14:solidFill>
          </w14:textFill>
        </w:rPr>
        <w:t>11</w:t>
      </w: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月15日。</w:t>
      </w:r>
    </w:p>
    <w:p w14:paraId="524D0320">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2022年11月28日</w:t>
      </w:r>
      <w:r>
        <w:rPr>
          <w:rFonts w:hint="eastAsia" w:ascii="宋体" w:hAnsi="宋体" w:cs="宋体"/>
          <w:color w:val="000000" w:themeColor="text1"/>
          <w:kern w:val="44"/>
          <w:sz w:val="28"/>
          <w:szCs w:val="28"/>
          <w:lang w:val="en-US" w:eastAsia="zh-CN"/>
          <w14:textFill>
            <w14:solidFill>
              <w14:schemeClr w14:val="tx1"/>
            </w14:solidFill>
          </w14:textFill>
        </w:rPr>
        <w:t>，</w:t>
      </w:r>
      <w:r>
        <w:rPr>
          <w:rFonts w:hint="eastAsia" w:ascii="宋体" w:hAnsi="宋体" w:eastAsia="宋体" w:cs="宋体"/>
          <w:color w:val="000000" w:themeColor="text1"/>
          <w:kern w:val="44"/>
          <w:sz w:val="28"/>
          <w:szCs w:val="28"/>
          <w:lang w:val="en-US" w:eastAsia="zh-CN"/>
          <w14:textFill>
            <w14:solidFill>
              <w14:schemeClr w14:val="tx1"/>
            </w14:solidFill>
          </w14:textFill>
        </w:rPr>
        <w:t>陕州区金华路道路工程竣工</w:t>
      </w:r>
      <w:r>
        <w:rPr>
          <w:rFonts w:hint="eastAsia" w:ascii="宋体" w:hAnsi="宋体" w:cs="宋体"/>
          <w:color w:val="000000" w:themeColor="text1"/>
          <w:kern w:val="44"/>
          <w:sz w:val="28"/>
          <w:szCs w:val="28"/>
          <w:lang w:val="en-US" w:eastAsia="zh-CN"/>
          <w14:textFill>
            <w14:solidFill>
              <w14:schemeClr w14:val="tx1"/>
            </w14:solidFill>
          </w14:textFill>
        </w:rPr>
        <w:t>，</w:t>
      </w:r>
      <w:r>
        <w:rPr>
          <w:rFonts w:hint="eastAsia" w:ascii="宋体" w:hAnsi="宋体" w:eastAsia="宋体" w:cs="宋体"/>
          <w:color w:val="000000" w:themeColor="text1"/>
          <w:kern w:val="44"/>
          <w:sz w:val="28"/>
          <w:szCs w:val="28"/>
          <w:lang w:val="en-US" w:eastAsia="zh-CN"/>
          <w14:textFill>
            <w14:solidFill>
              <w14:schemeClr w14:val="tx1"/>
            </w14:solidFill>
          </w14:textFill>
        </w:rPr>
        <w:t>2024年10月24日验收，验收结论合格。</w:t>
      </w:r>
    </w:p>
    <w:p w14:paraId="41652DD2">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陕州区金华路道路工程实际竣工日期比发改委批复竣工日期延误</w:t>
      </w:r>
      <w:r>
        <w:rPr>
          <w:rFonts w:hint="eastAsia" w:ascii="宋体" w:hAnsi="宋体" w:cs="宋体"/>
          <w:color w:val="000000" w:themeColor="text1"/>
          <w:kern w:val="44"/>
          <w:sz w:val="28"/>
          <w:szCs w:val="28"/>
          <w:lang w:val="en-US" w:eastAsia="zh-CN"/>
          <w14:textFill>
            <w14:solidFill>
              <w14:schemeClr w14:val="tx1"/>
            </w14:solidFill>
          </w14:textFill>
        </w:rPr>
        <w:t>2年11个月</w:t>
      </w:r>
      <w:r>
        <w:rPr>
          <w:rFonts w:hint="eastAsia" w:ascii="宋体" w:hAnsi="宋体" w:eastAsia="宋体" w:cs="宋体"/>
          <w:color w:val="000000" w:themeColor="text1"/>
          <w:kern w:val="44"/>
          <w:sz w:val="28"/>
          <w:szCs w:val="28"/>
          <w:lang w:val="en-US" w:eastAsia="zh-CN"/>
          <w14:textFill>
            <w14:solidFill>
              <w14:schemeClr w14:val="tx1"/>
            </w14:solidFill>
          </w14:textFill>
        </w:rPr>
        <w:t>，比合同工期竣工日期延误</w:t>
      </w:r>
      <w:r>
        <w:rPr>
          <w:rFonts w:hint="eastAsia" w:ascii="宋体" w:hAnsi="宋体" w:cs="宋体"/>
          <w:color w:val="000000" w:themeColor="text1"/>
          <w:kern w:val="44"/>
          <w:sz w:val="28"/>
          <w:szCs w:val="28"/>
          <w:lang w:val="en-US" w:eastAsia="zh-CN"/>
          <w14:textFill>
            <w14:solidFill>
              <w14:schemeClr w14:val="tx1"/>
            </w14:solidFill>
          </w14:textFill>
        </w:rPr>
        <w:t>13</w:t>
      </w:r>
      <w:r>
        <w:rPr>
          <w:rFonts w:hint="eastAsia" w:ascii="宋体" w:hAnsi="宋体" w:eastAsia="宋体" w:cs="宋体"/>
          <w:color w:val="000000" w:themeColor="text1"/>
          <w:kern w:val="44"/>
          <w:sz w:val="28"/>
          <w:szCs w:val="28"/>
          <w:lang w:val="en-US" w:eastAsia="zh-CN"/>
          <w14:textFill>
            <w14:solidFill>
              <w14:schemeClr w14:val="tx1"/>
            </w14:solidFill>
          </w14:textFill>
        </w:rPr>
        <w:t>日历天。</w:t>
      </w:r>
    </w:p>
    <w:p w14:paraId="7A2776C7">
      <w:pPr>
        <w:numPr>
          <w:ilvl w:val="0"/>
          <w:numId w:val="0"/>
        </w:numPr>
        <w:spacing w:line="360" w:lineRule="auto"/>
        <w:ind w:firstLine="560" w:firstLineChars="200"/>
        <w:jc w:val="left"/>
        <w:rPr>
          <w:rFonts w:hint="eastAsia" w:ascii="宋体" w:hAnsi="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陕州区金华路道路工程</w:t>
      </w:r>
      <w:r>
        <w:rPr>
          <w:rFonts w:hint="eastAsia" w:ascii="宋体" w:hAnsi="宋体" w:cs="宋体"/>
          <w:color w:val="000000" w:themeColor="text1"/>
          <w:kern w:val="44"/>
          <w:sz w:val="28"/>
          <w:szCs w:val="28"/>
          <w:lang w:val="en-US" w:eastAsia="zh-CN"/>
          <w14:textFill>
            <w14:solidFill>
              <w14:schemeClr w14:val="tx1"/>
            </w14:solidFill>
          </w14:textFill>
        </w:rPr>
        <w:t>验收合格，未发现质量缺陷。</w:t>
      </w:r>
    </w:p>
    <w:p w14:paraId="4B466563">
      <w:pPr>
        <w:pStyle w:val="9"/>
        <w:numPr>
          <w:ilvl w:val="0"/>
          <w:numId w:val="18"/>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项目的可持续性分析</w:t>
      </w:r>
    </w:p>
    <w:p w14:paraId="05A8049C">
      <w:pPr>
        <w:pStyle w:val="9"/>
        <w:numPr>
          <w:ilvl w:val="0"/>
          <w:numId w:val="0"/>
        </w:numPr>
        <w:ind w:firstLine="560" w:firstLineChars="200"/>
        <w:rPr>
          <w:rFonts w:hint="default" w:ascii="宋体" w:hAnsi="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王寨路、金华路跨金水河桥梁工程项目</w:t>
      </w:r>
      <w:r>
        <w:rPr>
          <w:rFonts w:hint="eastAsia" w:ascii="宋体" w:hAnsi="宋体" w:cs="宋体"/>
          <w:color w:val="000000" w:themeColor="text1"/>
          <w:kern w:val="44"/>
          <w:sz w:val="28"/>
          <w:szCs w:val="28"/>
          <w:lang w:val="en-US" w:eastAsia="zh-CN" w:bidi="ar-SA"/>
          <w14:textFill>
            <w14:solidFill>
              <w14:schemeClr w14:val="tx1"/>
            </w14:solidFill>
          </w14:textFill>
        </w:rPr>
        <w:t>，将依据城市管理规定移交给三门峡市陕州区城市管理局，城市管理局将依据管理制度及单位职责展开维护工作。</w:t>
      </w:r>
    </w:p>
    <w:p w14:paraId="6CDCD107">
      <w:pPr>
        <w:pStyle w:val="9"/>
        <w:numPr>
          <w:ilvl w:val="0"/>
          <w:numId w:val="0"/>
        </w:numPr>
        <w:ind w:firstLine="560" w:firstLineChars="200"/>
        <w:rPr>
          <w:rFonts w:hint="eastAsia" w:ascii="宋体" w:hAnsi="宋体" w:cs="宋体"/>
          <w:color w:val="000000" w:themeColor="text1"/>
          <w:kern w:val="44"/>
          <w:sz w:val="28"/>
          <w:szCs w:val="28"/>
          <w:lang w:val="en-US" w:eastAsia="zh-CN" w:bidi="ar-SA"/>
          <w14:textFill>
            <w14:solidFill>
              <w14:schemeClr w14:val="tx1"/>
            </w14:solidFill>
          </w14:textFill>
        </w:rPr>
      </w:pPr>
      <w:r>
        <w:rPr>
          <w:rFonts w:hint="eastAsia" w:ascii="微软雅黑" w:hAnsi="微软雅黑" w:eastAsia="微软雅黑" w:cs="微软雅黑"/>
          <w:color w:val="000000" w:themeColor="text1"/>
          <w:kern w:val="44"/>
          <w:sz w:val="28"/>
          <w:szCs w:val="28"/>
          <w:lang w:val="en-US" w:eastAsia="zh-CN" w:bidi="ar-SA"/>
          <w14:textFill>
            <w14:solidFill>
              <w14:schemeClr w14:val="tx1"/>
            </w14:solidFill>
          </w14:textFill>
        </w:rPr>
        <w:t>①</w:t>
      </w:r>
      <w:r>
        <w:rPr>
          <w:rFonts w:hint="default" w:ascii="宋体" w:hAnsi="宋体" w:cs="宋体"/>
          <w:color w:val="000000" w:themeColor="text1"/>
          <w:kern w:val="44"/>
          <w:sz w:val="28"/>
          <w:szCs w:val="28"/>
          <w:lang w:val="en-US" w:eastAsia="zh-CN" w:bidi="ar-SA"/>
          <w14:textFill>
            <w14:solidFill>
              <w14:schemeClr w14:val="tx1"/>
            </w14:solidFill>
          </w14:textFill>
        </w:rPr>
        <w:t>核心管理原则</w:t>
      </w:r>
    </w:p>
    <w:p w14:paraId="584EEAE3">
      <w:pPr>
        <w:pStyle w:val="9"/>
        <w:numPr>
          <w:ilvl w:val="0"/>
          <w:numId w:val="0"/>
        </w:numPr>
        <w:ind w:firstLine="560" w:firstLineChars="200"/>
        <w:rPr>
          <w:rFonts w:hint="default" w:ascii="宋体" w:hAnsi="宋体" w:cs="宋体"/>
          <w:color w:val="000000" w:themeColor="text1"/>
          <w:kern w:val="44"/>
          <w:sz w:val="28"/>
          <w:szCs w:val="28"/>
          <w:lang w:val="en-US" w:eastAsia="zh-CN" w:bidi="ar-SA"/>
          <w14:textFill>
            <w14:solidFill>
              <w14:schemeClr w14:val="tx1"/>
            </w14:solidFill>
          </w14:textFill>
        </w:rPr>
      </w:pPr>
      <w:r>
        <w:rPr>
          <w:rFonts w:hint="default" w:ascii="宋体" w:hAnsi="宋体" w:cs="宋体"/>
          <w:color w:val="000000" w:themeColor="text1"/>
          <w:kern w:val="44"/>
          <w:sz w:val="28"/>
          <w:szCs w:val="28"/>
          <w:lang w:val="en-US" w:eastAsia="zh-CN" w:bidi="ar-SA"/>
          <w14:textFill>
            <w14:solidFill>
              <w14:schemeClr w14:val="tx1"/>
            </w14:solidFill>
          </w14:textFill>
        </w:rPr>
        <w:t>遵循“统一领导、分级管理、事权一致、责任清晰”原则，明确监管单位、管养单位及产权人的职责边界，确保养护工作闭环落地。</w:t>
      </w:r>
    </w:p>
    <w:p w14:paraId="73814E45">
      <w:pPr>
        <w:pStyle w:val="9"/>
        <w:numPr>
          <w:ilvl w:val="0"/>
          <w:numId w:val="0"/>
        </w:numPr>
        <w:ind w:firstLine="560" w:firstLineChars="200"/>
        <w:rPr>
          <w:rFonts w:hint="eastAsia" w:ascii="宋体" w:hAnsi="宋体" w:cs="宋体"/>
          <w:color w:val="000000" w:themeColor="text1"/>
          <w:kern w:val="44"/>
          <w:sz w:val="28"/>
          <w:szCs w:val="28"/>
          <w:lang w:val="en-US" w:eastAsia="zh-CN" w:bidi="ar-SA"/>
          <w14:textFill>
            <w14:solidFill>
              <w14:schemeClr w14:val="tx1"/>
            </w14:solidFill>
          </w14:textFill>
        </w:rPr>
      </w:pPr>
      <w:r>
        <w:rPr>
          <w:rFonts w:hint="eastAsia" w:ascii="微软雅黑" w:hAnsi="微软雅黑" w:eastAsia="微软雅黑" w:cs="微软雅黑"/>
          <w:color w:val="000000" w:themeColor="text1"/>
          <w:kern w:val="44"/>
          <w:sz w:val="28"/>
          <w:szCs w:val="28"/>
          <w:lang w:val="en-US" w:eastAsia="zh-CN" w:bidi="ar-SA"/>
          <w14:textFill>
            <w14:solidFill>
              <w14:schemeClr w14:val="tx1"/>
            </w14:solidFill>
          </w14:textFill>
        </w:rPr>
        <w:t>②</w:t>
      </w:r>
      <w:r>
        <w:rPr>
          <w:rFonts w:hint="default" w:ascii="宋体" w:hAnsi="宋体" w:cs="宋体"/>
          <w:color w:val="000000" w:themeColor="text1"/>
          <w:kern w:val="44"/>
          <w:sz w:val="28"/>
          <w:szCs w:val="28"/>
          <w:lang w:val="en-US" w:eastAsia="zh-CN" w:bidi="ar-SA"/>
          <w14:textFill>
            <w14:solidFill>
              <w14:schemeClr w14:val="tx1"/>
            </w14:solidFill>
          </w14:textFill>
        </w:rPr>
        <w:t>责任主体划分</w:t>
      </w:r>
    </w:p>
    <w:p w14:paraId="2E2961D1">
      <w:pPr>
        <w:pStyle w:val="9"/>
        <w:numPr>
          <w:ilvl w:val="0"/>
          <w:numId w:val="0"/>
        </w:numPr>
        <w:ind w:firstLine="560" w:firstLineChars="200"/>
        <w:rPr>
          <w:rFonts w:hint="eastAsia" w:ascii="宋体" w:hAnsi="宋体" w:cs="宋体"/>
          <w:color w:val="000000" w:themeColor="text1"/>
          <w:kern w:val="44"/>
          <w:sz w:val="28"/>
          <w:szCs w:val="28"/>
          <w:lang w:val="en-US" w:eastAsia="zh-CN" w:bidi="ar-SA"/>
          <w14:textFill>
            <w14:solidFill>
              <w14:schemeClr w14:val="tx1"/>
            </w14:solidFill>
          </w14:textFill>
        </w:rPr>
      </w:pPr>
      <w:r>
        <w:rPr>
          <w:rFonts w:hint="default" w:ascii="宋体" w:hAnsi="宋体" w:cs="宋体"/>
          <w:color w:val="000000" w:themeColor="text1"/>
          <w:kern w:val="44"/>
          <w:sz w:val="28"/>
          <w:szCs w:val="28"/>
          <w:lang w:val="en-US" w:eastAsia="zh-CN" w:bidi="ar-SA"/>
          <w14:textFill>
            <w14:solidFill>
              <w14:schemeClr w14:val="tx1"/>
            </w14:solidFill>
          </w14:textFill>
        </w:rPr>
        <w:t>监管单位：县级以上交通、市政主管部门（或委托机构）</w:t>
      </w:r>
      <w:r>
        <w:rPr>
          <w:rFonts w:hint="eastAsia" w:ascii="宋体" w:hAnsi="宋体" w:cs="宋体"/>
          <w:color w:val="000000" w:themeColor="text1"/>
          <w:kern w:val="44"/>
          <w:sz w:val="28"/>
          <w:szCs w:val="28"/>
          <w:lang w:val="en-US" w:eastAsia="zh-CN" w:bidi="ar-SA"/>
          <w14:textFill>
            <w14:solidFill>
              <w14:schemeClr w14:val="tx1"/>
            </w14:solidFill>
          </w14:textFill>
        </w:rPr>
        <w:t>，</w:t>
      </w:r>
      <w:r>
        <w:rPr>
          <w:rFonts w:hint="default" w:ascii="宋体" w:hAnsi="宋体" w:cs="宋体"/>
          <w:color w:val="000000" w:themeColor="text1"/>
          <w:kern w:val="44"/>
          <w:sz w:val="28"/>
          <w:szCs w:val="28"/>
          <w:lang w:val="en-US" w:eastAsia="zh-CN" w:bidi="ar-SA"/>
          <w14:textFill>
            <w14:solidFill>
              <w14:schemeClr w14:val="tx1"/>
            </w14:solidFill>
          </w14:textFill>
        </w:rPr>
        <w:t>负责编制规划、监督检查、复核危桥评定、培训考核等</w:t>
      </w:r>
      <w:r>
        <w:rPr>
          <w:rFonts w:hint="eastAsia" w:ascii="宋体" w:hAnsi="宋体" w:cs="宋体"/>
          <w:color w:val="000000" w:themeColor="text1"/>
          <w:kern w:val="44"/>
          <w:sz w:val="28"/>
          <w:szCs w:val="28"/>
          <w:lang w:val="en-US" w:eastAsia="zh-CN" w:bidi="ar-SA"/>
          <w14:textFill>
            <w14:solidFill>
              <w14:schemeClr w14:val="tx1"/>
            </w14:solidFill>
          </w14:textFill>
        </w:rPr>
        <w:t>。</w:t>
      </w:r>
    </w:p>
    <w:p w14:paraId="18863577">
      <w:pPr>
        <w:pStyle w:val="9"/>
        <w:numPr>
          <w:ilvl w:val="0"/>
          <w:numId w:val="0"/>
        </w:numPr>
        <w:ind w:firstLine="560" w:firstLineChars="200"/>
        <w:rPr>
          <w:rFonts w:hint="default" w:ascii="宋体" w:hAnsi="宋体" w:cs="宋体"/>
          <w:color w:val="000000" w:themeColor="text1"/>
          <w:kern w:val="44"/>
          <w:sz w:val="28"/>
          <w:szCs w:val="28"/>
          <w:lang w:val="en-US" w:eastAsia="zh-CN" w:bidi="ar-SA"/>
          <w14:textFill>
            <w14:solidFill>
              <w14:schemeClr w14:val="tx1"/>
            </w14:solidFill>
          </w14:textFill>
        </w:rPr>
      </w:pPr>
      <w:r>
        <w:rPr>
          <w:rFonts w:hint="default" w:ascii="宋体" w:hAnsi="宋体" w:cs="宋体"/>
          <w:color w:val="000000" w:themeColor="text1"/>
          <w:kern w:val="44"/>
          <w:sz w:val="28"/>
          <w:szCs w:val="28"/>
          <w:lang w:val="en-US" w:eastAsia="zh-CN" w:bidi="ar-SA"/>
          <w14:textFill>
            <w14:solidFill>
              <w14:schemeClr w14:val="tx1"/>
            </w14:solidFill>
          </w14:textFill>
        </w:rPr>
        <w:t>管养单位：公路管理机构、收费公路经营单位、产权人或委托管理人，承担日常养护、检查检测、维修施工、应急处置等具体工作 。</w:t>
      </w:r>
    </w:p>
    <w:p w14:paraId="613B58BC">
      <w:pPr>
        <w:pStyle w:val="9"/>
        <w:numPr>
          <w:ilvl w:val="0"/>
          <w:numId w:val="0"/>
        </w:numPr>
        <w:ind w:firstLine="560" w:firstLineChars="200"/>
        <w:rPr>
          <w:rFonts w:hint="default" w:ascii="宋体" w:hAnsi="宋体" w:cs="宋体"/>
          <w:color w:val="000000" w:themeColor="text1"/>
          <w:kern w:val="44"/>
          <w:sz w:val="28"/>
          <w:szCs w:val="28"/>
          <w:lang w:val="en-US" w:eastAsia="zh-CN" w:bidi="ar-SA"/>
          <w14:textFill>
            <w14:solidFill>
              <w14:schemeClr w14:val="tx1"/>
            </w14:solidFill>
          </w14:textFill>
        </w:rPr>
      </w:pPr>
      <w:r>
        <w:rPr>
          <w:rFonts w:hint="eastAsia" w:ascii="微软雅黑" w:hAnsi="微软雅黑" w:eastAsia="微软雅黑" w:cs="微软雅黑"/>
          <w:color w:val="000000" w:themeColor="text1"/>
          <w:kern w:val="44"/>
          <w:sz w:val="28"/>
          <w:szCs w:val="28"/>
          <w:lang w:val="en-US" w:eastAsia="zh-CN" w:bidi="ar-SA"/>
          <w14:textFill>
            <w14:solidFill>
              <w14:schemeClr w14:val="tx1"/>
            </w14:solidFill>
          </w14:textFill>
        </w:rPr>
        <w:t>③</w:t>
      </w:r>
      <w:r>
        <w:rPr>
          <w:rFonts w:hint="default" w:ascii="宋体" w:hAnsi="宋体" w:cs="宋体"/>
          <w:color w:val="000000" w:themeColor="text1"/>
          <w:kern w:val="44"/>
          <w:sz w:val="28"/>
          <w:szCs w:val="28"/>
          <w:lang w:val="en-US" w:eastAsia="zh-CN" w:bidi="ar-SA"/>
          <w14:textFill>
            <w14:solidFill>
              <w14:schemeClr w14:val="tx1"/>
            </w14:solidFill>
          </w14:textFill>
        </w:rPr>
        <w:t>专业保障</w:t>
      </w:r>
    </w:p>
    <w:p w14:paraId="25CBC689">
      <w:pPr>
        <w:pStyle w:val="9"/>
        <w:numPr>
          <w:ilvl w:val="0"/>
          <w:numId w:val="0"/>
        </w:numPr>
        <w:ind w:firstLine="560" w:firstLineChars="200"/>
        <w:rPr>
          <w:rFonts w:hint="default" w:ascii="宋体" w:hAnsi="宋体" w:cs="宋体"/>
          <w:color w:val="000000" w:themeColor="text1"/>
          <w:kern w:val="44"/>
          <w:sz w:val="28"/>
          <w:szCs w:val="28"/>
          <w:lang w:val="en-US" w:eastAsia="zh-CN" w:bidi="ar-SA"/>
          <w14:textFill>
            <w14:solidFill>
              <w14:schemeClr w14:val="tx1"/>
            </w14:solidFill>
          </w14:textFill>
        </w:rPr>
      </w:pPr>
      <w:r>
        <w:rPr>
          <w:rFonts w:hint="default" w:ascii="宋体" w:hAnsi="宋体" w:cs="宋体"/>
          <w:color w:val="000000" w:themeColor="text1"/>
          <w:kern w:val="44"/>
          <w:sz w:val="28"/>
          <w:szCs w:val="28"/>
          <w:lang w:val="en-US" w:eastAsia="zh-CN" w:bidi="ar-SA"/>
          <w14:textFill>
            <w14:solidFill>
              <w14:schemeClr w14:val="tx1"/>
            </w14:solidFill>
          </w14:textFill>
        </w:rPr>
        <w:t>设立专职桥梁养护工程师，管养单位工程师需具备3年以上工作经历及工程师职称，监管单位工程师需5年以上经历及高级工程师职称，实行持证上岗与定期培训考核制度 。</w:t>
      </w:r>
    </w:p>
    <w:p w14:paraId="5CD96E52">
      <w:pPr>
        <w:pStyle w:val="9"/>
        <w:numPr>
          <w:ilvl w:val="0"/>
          <w:numId w:val="0"/>
        </w:numPr>
        <w:ind w:firstLine="560" w:firstLineChars="200"/>
        <w:rPr>
          <w:rFonts w:hint="default" w:ascii="宋体" w:hAnsi="宋体" w:cs="宋体"/>
          <w:color w:val="000000" w:themeColor="text1"/>
          <w:kern w:val="44"/>
          <w:sz w:val="28"/>
          <w:szCs w:val="28"/>
          <w:lang w:val="en-US" w:eastAsia="zh-CN" w:bidi="ar-SA"/>
          <w14:textFill>
            <w14:solidFill>
              <w14:schemeClr w14:val="tx1"/>
            </w14:solidFill>
          </w14:textFill>
        </w:rPr>
      </w:pPr>
      <w:r>
        <w:rPr>
          <w:rFonts w:hint="eastAsia" w:ascii="微软雅黑" w:hAnsi="微软雅黑" w:eastAsia="微软雅黑" w:cs="微软雅黑"/>
          <w:color w:val="000000" w:themeColor="text1"/>
          <w:kern w:val="44"/>
          <w:sz w:val="28"/>
          <w:szCs w:val="28"/>
          <w:lang w:val="en-US" w:eastAsia="zh-CN" w:bidi="ar-SA"/>
          <w14:textFill>
            <w14:solidFill>
              <w14:schemeClr w14:val="tx1"/>
            </w14:solidFill>
          </w14:textFill>
        </w:rPr>
        <w:t>④</w:t>
      </w:r>
      <w:r>
        <w:rPr>
          <w:rFonts w:hint="default" w:ascii="宋体" w:hAnsi="宋体" w:cs="宋体"/>
          <w:color w:val="000000" w:themeColor="text1"/>
          <w:kern w:val="44"/>
          <w:sz w:val="28"/>
          <w:szCs w:val="28"/>
          <w:lang w:val="en-US" w:eastAsia="zh-CN" w:bidi="ar-SA"/>
          <w14:textFill>
            <w14:solidFill>
              <w14:schemeClr w14:val="tx1"/>
            </w14:solidFill>
          </w14:textFill>
        </w:rPr>
        <w:t>规划与计划管理</w:t>
      </w:r>
    </w:p>
    <w:p w14:paraId="10D81322">
      <w:pPr>
        <w:pStyle w:val="9"/>
        <w:numPr>
          <w:ilvl w:val="0"/>
          <w:numId w:val="0"/>
        </w:numPr>
        <w:ind w:firstLine="560" w:firstLineChars="200"/>
        <w:rPr>
          <w:rFonts w:hint="default" w:ascii="宋体" w:hAnsi="宋体" w:cs="宋体"/>
          <w:color w:val="000000" w:themeColor="text1"/>
          <w:kern w:val="44"/>
          <w:sz w:val="28"/>
          <w:szCs w:val="28"/>
          <w:lang w:val="en-US" w:eastAsia="zh-CN" w:bidi="ar-SA"/>
          <w14:textFill>
            <w14:solidFill>
              <w14:schemeClr w14:val="tx1"/>
            </w14:solidFill>
          </w14:textFill>
        </w:rPr>
      </w:pPr>
      <w:r>
        <w:rPr>
          <w:rFonts w:hint="default" w:ascii="宋体" w:hAnsi="宋体" w:cs="宋体"/>
          <w:color w:val="000000" w:themeColor="text1"/>
          <w:kern w:val="44"/>
          <w:sz w:val="28"/>
          <w:szCs w:val="28"/>
          <w:lang w:val="en-US" w:eastAsia="zh-CN" w:bidi="ar-SA"/>
          <w14:textFill>
            <w14:solidFill>
              <w14:schemeClr w14:val="tx1"/>
            </w14:solidFill>
          </w14:textFill>
        </w:rPr>
        <w:t>监管单位编制区域内桥梁养护中长期规划，管养单位制定年度养护计划，报监管部门批准后实施 。</w:t>
      </w:r>
    </w:p>
    <w:p w14:paraId="2ED3CB63">
      <w:pPr>
        <w:pStyle w:val="9"/>
        <w:numPr>
          <w:ilvl w:val="0"/>
          <w:numId w:val="0"/>
        </w:numPr>
        <w:ind w:firstLine="560" w:firstLineChars="200"/>
        <w:rPr>
          <w:rFonts w:hint="default" w:ascii="宋体" w:hAnsi="宋体" w:cs="宋体"/>
          <w:color w:val="000000" w:themeColor="text1"/>
          <w:kern w:val="44"/>
          <w:sz w:val="28"/>
          <w:szCs w:val="28"/>
          <w:lang w:val="en-US" w:eastAsia="zh-CN" w:bidi="ar-SA"/>
          <w14:textFill>
            <w14:solidFill>
              <w14:schemeClr w14:val="tx1"/>
            </w14:solidFill>
          </w14:textFill>
        </w:rPr>
      </w:pPr>
      <w:r>
        <w:rPr>
          <w:rFonts w:hint="default" w:ascii="宋体" w:hAnsi="宋体" w:cs="宋体"/>
          <w:color w:val="000000" w:themeColor="text1"/>
          <w:kern w:val="44"/>
          <w:sz w:val="28"/>
          <w:szCs w:val="28"/>
          <w:lang w:val="en-US" w:eastAsia="zh-CN" w:bidi="ar-SA"/>
          <w14:textFill>
            <w14:solidFill>
              <w14:schemeClr w14:val="tx1"/>
            </w14:solidFill>
          </w14:textFill>
        </w:rPr>
        <w:t>养护费用由管养单位按计划核算，依据相关定额标准保障资金落实 。</w:t>
      </w:r>
    </w:p>
    <w:p w14:paraId="7459A6AC">
      <w:pPr>
        <w:pStyle w:val="9"/>
        <w:numPr>
          <w:ilvl w:val="0"/>
          <w:numId w:val="0"/>
        </w:numPr>
        <w:ind w:firstLine="560" w:firstLineChars="200"/>
        <w:rPr>
          <w:rFonts w:hint="default" w:ascii="宋体" w:hAnsi="宋体" w:cs="宋体"/>
          <w:color w:val="000000" w:themeColor="text1"/>
          <w:kern w:val="44"/>
          <w:sz w:val="28"/>
          <w:szCs w:val="28"/>
          <w:lang w:val="en-US" w:eastAsia="zh-CN" w:bidi="ar-SA"/>
          <w14:textFill>
            <w14:solidFill>
              <w14:schemeClr w14:val="tx1"/>
            </w14:solidFill>
          </w14:textFill>
        </w:rPr>
      </w:pPr>
      <w:r>
        <w:rPr>
          <w:rFonts w:hint="eastAsia" w:ascii="微软雅黑" w:hAnsi="微软雅黑" w:eastAsia="微软雅黑" w:cs="微软雅黑"/>
          <w:color w:val="000000" w:themeColor="text1"/>
          <w:kern w:val="44"/>
          <w:sz w:val="28"/>
          <w:szCs w:val="28"/>
          <w:lang w:val="en-US" w:eastAsia="zh-CN" w:bidi="ar-SA"/>
          <w14:textFill>
            <w14:solidFill>
              <w14:schemeClr w14:val="tx1"/>
            </w14:solidFill>
          </w14:textFill>
        </w:rPr>
        <w:t>⑤</w:t>
      </w:r>
      <w:r>
        <w:rPr>
          <w:rFonts w:hint="default" w:ascii="宋体" w:hAnsi="宋体" w:cs="宋体"/>
          <w:color w:val="000000" w:themeColor="text1"/>
          <w:kern w:val="44"/>
          <w:sz w:val="28"/>
          <w:szCs w:val="28"/>
          <w:lang w:val="en-US" w:eastAsia="zh-CN" w:bidi="ar-SA"/>
          <w14:textFill>
            <w14:solidFill>
              <w14:schemeClr w14:val="tx1"/>
            </w14:solidFill>
          </w14:textFill>
        </w:rPr>
        <w:t xml:space="preserve">检查与评估制度 </w:t>
      </w:r>
    </w:p>
    <w:p w14:paraId="578F8CAE">
      <w:pPr>
        <w:pStyle w:val="9"/>
        <w:numPr>
          <w:ilvl w:val="0"/>
          <w:numId w:val="0"/>
        </w:numPr>
        <w:ind w:firstLine="560" w:firstLineChars="200"/>
        <w:rPr>
          <w:rFonts w:hint="default" w:ascii="宋体" w:hAnsi="宋体" w:cs="宋体"/>
          <w:color w:val="000000" w:themeColor="text1"/>
          <w:kern w:val="44"/>
          <w:sz w:val="28"/>
          <w:szCs w:val="28"/>
          <w:lang w:val="en-US" w:eastAsia="zh-CN" w:bidi="ar-SA"/>
          <w14:textFill>
            <w14:solidFill>
              <w14:schemeClr w14:val="tx1"/>
            </w14:solidFill>
          </w14:textFill>
        </w:rPr>
      </w:pPr>
      <w:r>
        <w:rPr>
          <w:rFonts w:hint="default" w:ascii="宋体" w:hAnsi="宋体" w:cs="宋体"/>
          <w:color w:val="000000" w:themeColor="text1"/>
          <w:kern w:val="44"/>
          <w:sz w:val="28"/>
          <w:szCs w:val="28"/>
          <w:lang w:val="en-US" w:eastAsia="zh-CN" w:bidi="ar-SA"/>
          <w14:textFill>
            <w14:solidFill>
              <w14:schemeClr w14:val="tx1"/>
            </w14:solidFill>
          </w14:textFill>
        </w:rPr>
        <w:t>经常检查：日常巡视桥面、支座、伸缩缝等关键部位，及时发现外观损伤或异常。</w:t>
      </w:r>
    </w:p>
    <w:p w14:paraId="613C39A6">
      <w:pPr>
        <w:pStyle w:val="9"/>
        <w:numPr>
          <w:ilvl w:val="0"/>
          <w:numId w:val="0"/>
        </w:numPr>
        <w:ind w:firstLine="560" w:firstLineChars="200"/>
        <w:rPr>
          <w:rFonts w:hint="default" w:ascii="宋体" w:hAnsi="宋体" w:cs="宋体"/>
          <w:color w:val="000000" w:themeColor="text1"/>
          <w:kern w:val="44"/>
          <w:sz w:val="28"/>
          <w:szCs w:val="28"/>
          <w:lang w:val="en-US" w:eastAsia="zh-CN" w:bidi="ar-SA"/>
          <w14:textFill>
            <w14:solidFill>
              <w14:schemeClr w14:val="tx1"/>
            </w14:solidFill>
          </w14:textFill>
        </w:rPr>
      </w:pPr>
      <w:r>
        <w:rPr>
          <w:rFonts w:hint="default" w:ascii="宋体" w:hAnsi="宋体" w:cs="宋体"/>
          <w:color w:val="000000" w:themeColor="text1"/>
          <w:kern w:val="44"/>
          <w:sz w:val="28"/>
          <w:szCs w:val="28"/>
          <w:lang w:val="en-US" w:eastAsia="zh-CN" w:bidi="ar-SA"/>
          <w14:textFill>
            <w14:solidFill>
              <w14:schemeClr w14:val="tx1"/>
            </w14:solidFill>
          </w14:textFill>
        </w:rPr>
        <w:t>定期检查：按规范开展季度/半年一次的详细结构检查，每5年进行一次全面结构评估。</w:t>
      </w:r>
    </w:p>
    <w:p w14:paraId="4609F40F">
      <w:pPr>
        <w:pStyle w:val="9"/>
        <w:numPr>
          <w:ilvl w:val="0"/>
          <w:numId w:val="0"/>
        </w:numPr>
        <w:ind w:firstLine="560" w:firstLineChars="200"/>
        <w:rPr>
          <w:rFonts w:hint="default" w:ascii="宋体" w:hAnsi="宋体" w:cs="宋体"/>
          <w:color w:val="000000" w:themeColor="text1"/>
          <w:kern w:val="44"/>
          <w:sz w:val="28"/>
          <w:szCs w:val="28"/>
          <w:lang w:val="en-US" w:eastAsia="zh-CN" w:bidi="ar-SA"/>
          <w14:textFill>
            <w14:solidFill>
              <w14:schemeClr w14:val="tx1"/>
            </w14:solidFill>
          </w14:textFill>
        </w:rPr>
      </w:pPr>
      <w:r>
        <w:rPr>
          <w:rFonts w:hint="default" w:ascii="宋体" w:hAnsi="宋体" w:cs="宋体"/>
          <w:color w:val="000000" w:themeColor="text1"/>
          <w:kern w:val="44"/>
          <w:sz w:val="28"/>
          <w:szCs w:val="28"/>
          <w:lang w:val="en-US" w:eastAsia="zh-CN" w:bidi="ar-SA"/>
          <w14:textFill>
            <w14:solidFill>
              <w14:schemeClr w14:val="tx1"/>
            </w14:solidFill>
          </w14:textFill>
        </w:rPr>
        <w:t>特殊检查：极端天气、重大荷载作用后或疑似隐患时，委托具备资质的机构开展专项检测（如荷载测试、材料性能分析） 。</w:t>
      </w:r>
    </w:p>
    <w:p w14:paraId="20CA36A2">
      <w:pPr>
        <w:pStyle w:val="9"/>
        <w:numPr>
          <w:ilvl w:val="0"/>
          <w:numId w:val="0"/>
        </w:numPr>
        <w:ind w:firstLine="560" w:firstLineChars="200"/>
        <w:rPr>
          <w:rFonts w:hint="default" w:ascii="宋体" w:hAnsi="宋体" w:cs="宋体"/>
          <w:color w:val="000000" w:themeColor="text1"/>
          <w:kern w:val="44"/>
          <w:sz w:val="28"/>
          <w:szCs w:val="28"/>
          <w:lang w:val="en-US" w:eastAsia="zh-CN" w:bidi="ar-SA"/>
          <w14:textFill>
            <w14:solidFill>
              <w14:schemeClr w14:val="tx1"/>
            </w14:solidFill>
          </w14:textFill>
        </w:rPr>
      </w:pPr>
      <w:r>
        <w:rPr>
          <w:rFonts w:hint="default" w:ascii="宋体" w:hAnsi="宋体" w:cs="宋体"/>
          <w:color w:val="000000" w:themeColor="text1"/>
          <w:kern w:val="44"/>
          <w:sz w:val="28"/>
          <w:szCs w:val="28"/>
          <w:lang w:val="en-US" w:eastAsia="zh-CN" w:bidi="ar-SA"/>
          <w14:textFill>
            <w14:solidFill>
              <w14:schemeClr w14:val="tx1"/>
            </w14:solidFill>
          </w14:textFill>
        </w:rPr>
        <w:t>评定分级：按技术状况划分为一至五类，对四、五类桥（危桥）重点复核，24小时内上报监管部门并设置警示标志 。</w:t>
      </w:r>
    </w:p>
    <w:p w14:paraId="33B424E6">
      <w:pPr>
        <w:pStyle w:val="9"/>
        <w:numPr>
          <w:ilvl w:val="0"/>
          <w:numId w:val="0"/>
        </w:numPr>
        <w:ind w:firstLine="560" w:firstLineChars="200"/>
        <w:rPr>
          <w:rFonts w:hint="default" w:ascii="宋体" w:hAnsi="宋体" w:cs="宋体"/>
          <w:color w:val="000000" w:themeColor="text1"/>
          <w:kern w:val="44"/>
          <w:sz w:val="28"/>
          <w:szCs w:val="28"/>
          <w:lang w:val="en-US" w:eastAsia="zh-CN" w:bidi="ar-SA"/>
          <w14:textFill>
            <w14:solidFill>
              <w14:schemeClr w14:val="tx1"/>
            </w14:solidFill>
          </w14:textFill>
        </w:rPr>
      </w:pPr>
      <w:r>
        <w:rPr>
          <w:rFonts w:hint="eastAsia" w:ascii="微软雅黑" w:hAnsi="微软雅黑" w:eastAsia="微软雅黑" w:cs="微软雅黑"/>
          <w:color w:val="000000" w:themeColor="text1"/>
          <w:kern w:val="44"/>
          <w:sz w:val="28"/>
          <w:szCs w:val="28"/>
          <w:lang w:val="en-US" w:eastAsia="zh-CN" w:bidi="ar-SA"/>
          <w14:textFill>
            <w14:solidFill>
              <w14:schemeClr w14:val="tx1"/>
            </w14:solidFill>
          </w14:textFill>
        </w:rPr>
        <w:t>⑥</w:t>
      </w:r>
      <w:r>
        <w:rPr>
          <w:rFonts w:hint="default" w:ascii="宋体" w:hAnsi="宋体" w:cs="宋体"/>
          <w:color w:val="000000" w:themeColor="text1"/>
          <w:kern w:val="44"/>
          <w:sz w:val="28"/>
          <w:szCs w:val="28"/>
          <w:lang w:val="en-US" w:eastAsia="zh-CN" w:bidi="ar-SA"/>
          <w14:textFill>
            <w14:solidFill>
              <w14:schemeClr w14:val="tx1"/>
            </w14:solidFill>
          </w14:textFill>
        </w:rPr>
        <w:t>养护实施制度</w:t>
      </w:r>
    </w:p>
    <w:p w14:paraId="77C059C7">
      <w:pPr>
        <w:pStyle w:val="9"/>
        <w:numPr>
          <w:ilvl w:val="0"/>
          <w:numId w:val="0"/>
        </w:numPr>
        <w:ind w:firstLine="560" w:firstLineChars="200"/>
        <w:rPr>
          <w:rFonts w:hint="default" w:ascii="宋体" w:hAnsi="宋体" w:cs="宋体"/>
          <w:color w:val="000000" w:themeColor="text1"/>
          <w:kern w:val="44"/>
          <w:sz w:val="28"/>
          <w:szCs w:val="28"/>
          <w:lang w:val="en-US" w:eastAsia="zh-CN" w:bidi="ar-SA"/>
          <w14:textFill>
            <w14:solidFill>
              <w14:schemeClr w14:val="tx1"/>
            </w14:solidFill>
          </w14:textFill>
        </w:rPr>
      </w:pPr>
      <w:r>
        <w:rPr>
          <w:rFonts w:hint="default" w:ascii="宋体" w:hAnsi="宋体" w:cs="宋体"/>
          <w:color w:val="000000" w:themeColor="text1"/>
          <w:kern w:val="44"/>
          <w:sz w:val="28"/>
          <w:szCs w:val="28"/>
          <w:lang w:val="en-US" w:eastAsia="zh-CN" w:bidi="ar-SA"/>
          <w14:textFill>
            <w14:solidFill>
              <w14:schemeClr w14:val="tx1"/>
            </w14:solidFill>
          </w14:textFill>
        </w:rPr>
        <w:t>日常养护：包括桥面清洁、除锈涂漆、伸缩缝疏通、标志维护等常规工作，保障桥梁基础功能。</w:t>
      </w:r>
    </w:p>
    <w:p w14:paraId="3BBF9EDB">
      <w:pPr>
        <w:pStyle w:val="9"/>
        <w:numPr>
          <w:ilvl w:val="0"/>
          <w:numId w:val="0"/>
        </w:numPr>
        <w:ind w:firstLine="560" w:firstLineChars="200"/>
        <w:rPr>
          <w:rFonts w:hint="default" w:ascii="宋体" w:hAnsi="宋体" w:cs="宋体"/>
          <w:color w:val="000000" w:themeColor="text1"/>
          <w:kern w:val="44"/>
          <w:sz w:val="28"/>
          <w:szCs w:val="28"/>
          <w:lang w:val="en-US" w:eastAsia="zh-CN" w:bidi="ar-SA"/>
          <w14:textFill>
            <w14:solidFill>
              <w14:schemeClr w14:val="tx1"/>
            </w14:solidFill>
          </w14:textFill>
        </w:rPr>
      </w:pPr>
      <w:r>
        <w:rPr>
          <w:rFonts w:hint="default" w:ascii="宋体" w:hAnsi="宋体" w:cs="宋体"/>
          <w:color w:val="000000" w:themeColor="text1"/>
          <w:kern w:val="44"/>
          <w:sz w:val="28"/>
          <w:szCs w:val="28"/>
          <w:lang w:val="en-US" w:eastAsia="zh-CN" w:bidi="ar-SA"/>
          <w14:textFill>
            <w14:solidFill>
              <w14:schemeClr w14:val="tx1"/>
            </w14:solidFill>
          </w14:textFill>
        </w:rPr>
        <w:t>维修改造：对承载能力下降的桥梁及时加固，对受损部件开展小修保养或大、中修工程，维修方案需经技术论证，工程完工后组织验收 。</w:t>
      </w:r>
    </w:p>
    <w:p w14:paraId="4EFF413E">
      <w:pPr>
        <w:pStyle w:val="9"/>
        <w:numPr>
          <w:ilvl w:val="0"/>
          <w:numId w:val="0"/>
        </w:numPr>
        <w:ind w:firstLine="560" w:firstLineChars="200"/>
        <w:rPr>
          <w:rFonts w:hint="default" w:ascii="宋体" w:hAnsi="宋体" w:cs="宋体"/>
          <w:color w:val="000000" w:themeColor="text1"/>
          <w:kern w:val="44"/>
          <w:sz w:val="28"/>
          <w:szCs w:val="28"/>
          <w:lang w:val="en-US" w:eastAsia="zh-CN" w:bidi="ar-SA"/>
          <w14:textFill>
            <w14:solidFill>
              <w14:schemeClr w14:val="tx1"/>
            </w14:solidFill>
          </w14:textFill>
        </w:rPr>
      </w:pPr>
      <w:r>
        <w:rPr>
          <w:rFonts w:hint="default" w:ascii="宋体" w:hAnsi="宋体" w:cs="宋体"/>
          <w:color w:val="000000" w:themeColor="text1"/>
          <w:kern w:val="44"/>
          <w:sz w:val="28"/>
          <w:szCs w:val="28"/>
          <w:lang w:val="en-US" w:eastAsia="zh-CN" w:bidi="ar-SA"/>
          <w14:textFill>
            <w14:solidFill>
              <w14:schemeClr w14:val="tx1"/>
            </w14:solidFill>
          </w14:textFill>
        </w:rPr>
        <w:t>特殊保护：桥梁施工控制范围内的作业需经主管部门同意并签订保护协议；超限车辆、管线架设、广告设置等需经技术安全论证及审批 。</w:t>
      </w:r>
    </w:p>
    <w:p w14:paraId="7735F344">
      <w:pPr>
        <w:pStyle w:val="9"/>
        <w:numPr>
          <w:ilvl w:val="0"/>
          <w:numId w:val="0"/>
        </w:numPr>
        <w:ind w:firstLine="560" w:firstLineChars="200"/>
        <w:rPr>
          <w:rFonts w:hint="default" w:ascii="宋体" w:hAnsi="宋体" w:cs="宋体"/>
          <w:color w:val="000000" w:themeColor="text1"/>
          <w:kern w:val="44"/>
          <w:sz w:val="28"/>
          <w:szCs w:val="28"/>
          <w:lang w:val="en-US" w:eastAsia="zh-CN" w:bidi="ar-SA"/>
          <w14:textFill>
            <w14:solidFill>
              <w14:schemeClr w14:val="tx1"/>
            </w14:solidFill>
          </w14:textFill>
        </w:rPr>
      </w:pPr>
      <w:r>
        <w:rPr>
          <w:rFonts w:hint="eastAsia" w:ascii="微软雅黑" w:hAnsi="微软雅黑" w:eastAsia="微软雅黑" w:cs="微软雅黑"/>
          <w:color w:val="000000" w:themeColor="text1"/>
          <w:kern w:val="44"/>
          <w:sz w:val="28"/>
          <w:szCs w:val="28"/>
          <w:lang w:val="en-US" w:eastAsia="zh-CN" w:bidi="ar-SA"/>
          <w14:textFill>
            <w14:solidFill>
              <w14:schemeClr w14:val="tx1"/>
            </w14:solidFill>
          </w14:textFill>
        </w:rPr>
        <w:t>⑦</w:t>
      </w:r>
      <w:r>
        <w:rPr>
          <w:rFonts w:hint="default" w:ascii="宋体" w:hAnsi="宋体" w:cs="宋体"/>
          <w:color w:val="000000" w:themeColor="text1"/>
          <w:kern w:val="44"/>
          <w:sz w:val="28"/>
          <w:szCs w:val="28"/>
          <w:lang w:val="en-US" w:eastAsia="zh-CN" w:bidi="ar-SA"/>
          <w14:textFill>
            <w14:solidFill>
              <w14:schemeClr w14:val="tx1"/>
            </w14:solidFill>
          </w14:textFill>
        </w:rPr>
        <w:t>应急处置制度</w:t>
      </w:r>
    </w:p>
    <w:p w14:paraId="1CCB30D8">
      <w:pPr>
        <w:pStyle w:val="9"/>
        <w:numPr>
          <w:ilvl w:val="0"/>
          <w:numId w:val="0"/>
        </w:numPr>
        <w:ind w:firstLine="560" w:firstLineChars="200"/>
        <w:rPr>
          <w:rFonts w:hint="default" w:ascii="宋体" w:hAnsi="宋体" w:cs="宋体"/>
          <w:color w:val="000000" w:themeColor="text1"/>
          <w:kern w:val="44"/>
          <w:sz w:val="28"/>
          <w:szCs w:val="28"/>
          <w:lang w:val="en-US" w:eastAsia="zh-CN" w:bidi="ar-SA"/>
          <w14:textFill>
            <w14:solidFill>
              <w14:schemeClr w14:val="tx1"/>
            </w14:solidFill>
          </w14:textFill>
        </w:rPr>
      </w:pPr>
      <w:r>
        <w:rPr>
          <w:rFonts w:hint="default" w:ascii="宋体" w:hAnsi="宋体" w:cs="宋体"/>
          <w:color w:val="000000" w:themeColor="text1"/>
          <w:kern w:val="44"/>
          <w:sz w:val="28"/>
          <w:szCs w:val="28"/>
          <w:lang w:val="en-US" w:eastAsia="zh-CN" w:bidi="ar-SA"/>
          <w14:textFill>
            <w14:solidFill>
              <w14:schemeClr w14:val="tx1"/>
            </w14:solidFill>
          </w14:textFill>
        </w:rPr>
        <w:t>管养单位制定安全抢险预案，明确抢险队伍与责任人，每年至少开展一次应急演练。</w:t>
      </w:r>
    </w:p>
    <w:p w14:paraId="07B137CD">
      <w:pPr>
        <w:pStyle w:val="9"/>
        <w:numPr>
          <w:ilvl w:val="0"/>
          <w:numId w:val="0"/>
        </w:numPr>
        <w:ind w:firstLine="560" w:firstLineChars="200"/>
        <w:rPr>
          <w:rFonts w:hint="default" w:ascii="宋体" w:hAnsi="宋体" w:cs="宋体"/>
          <w:color w:val="000000" w:themeColor="text1"/>
          <w:kern w:val="44"/>
          <w:sz w:val="28"/>
          <w:szCs w:val="28"/>
          <w:lang w:val="en-US" w:eastAsia="zh-CN" w:bidi="ar-SA"/>
          <w14:textFill>
            <w14:solidFill>
              <w14:schemeClr w14:val="tx1"/>
            </w14:solidFill>
          </w14:textFill>
        </w:rPr>
      </w:pPr>
      <w:r>
        <w:rPr>
          <w:rFonts w:hint="default" w:ascii="宋体" w:hAnsi="宋体" w:cs="宋体"/>
          <w:color w:val="000000" w:themeColor="text1"/>
          <w:kern w:val="44"/>
          <w:sz w:val="28"/>
          <w:szCs w:val="28"/>
          <w:lang w:val="en-US" w:eastAsia="zh-CN" w:bidi="ar-SA"/>
          <w14:textFill>
            <w14:solidFill>
              <w14:schemeClr w14:val="tx1"/>
            </w14:solidFill>
          </w14:textFill>
        </w:rPr>
        <w:t>危桥需立即采取封闭、限行等措施，限期排除危险，未消除隐患前不得使用或转让 。</w:t>
      </w:r>
    </w:p>
    <w:p w14:paraId="2A2CB40D">
      <w:pPr>
        <w:pStyle w:val="9"/>
        <w:numPr>
          <w:ilvl w:val="0"/>
          <w:numId w:val="0"/>
        </w:numPr>
        <w:ind w:firstLine="560" w:firstLineChars="200"/>
        <w:rPr>
          <w:rFonts w:hint="default" w:ascii="宋体" w:hAnsi="宋体" w:cs="宋体"/>
          <w:color w:val="000000" w:themeColor="text1"/>
          <w:kern w:val="44"/>
          <w:sz w:val="28"/>
          <w:szCs w:val="28"/>
          <w:lang w:val="en-US" w:eastAsia="zh-CN" w:bidi="ar-SA"/>
          <w14:textFill>
            <w14:solidFill>
              <w14:schemeClr w14:val="tx1"/>
            </w14:solidFill>
          </w14:textFill>
        </w:rPr>
      </w:pPr>
      <w:r>
        <w:rPr>
          <w:rFonts w:hint="default" w:ascii="宋体" w:hAnsi="宋体" w:cs="宋体"/>
          <w:color w:val="000000" w:themeColor="text1"/>
          <w:kern w:val="44"/>
          <w:sz w:val="28"/>
          <w:szCs w:val="28"/>
          <w:lang w:val="en-US" w:eastAsia="zh-CN" w:bidi="ar-SA"/>
          <w14:textFill>
            <w14:solidFill>
              <w14:schemeClr w14:val="tx1"/>
            </w14:solidFill>
          </w14:textFill>
        </w:rPr>
        <w:t>桥梁受损或发生事故后，立即上报并启动预案，开展紧急处置、事故调查及后续改进工作。</w:t>
      </w:r>
    </w:p>
    <w:p w14:paraId="07A5BA57">
      <w:pPr>
        <w:pStyle w:val="9"/>
        <w:numPr>
          <w:ilvl w:val="0"/>
          <w:numId w:val="0"/>
        </w:numPr>
        <w:ind w:firstLine="560" w:firstLineChars="200"/>
        <w:rPr>
          <w:rFonts w:hint="default" w:ascii="宋体" w:hAnsi="宋体" w:cs="宋体"/>
          <w:color w:val="000000" w:themeColor="text1"/>
          <w:kern w:val="44"/>
          <w:sz w:val="28"/>
          <w:szCs w:val="28"/>
          <w:lang w:val="en-US" w:eastAsia="zh-CN" w:bidi="ar-SA"/>
          <w14:textFill>
            <w14:solidFill>
              <w14:schemeClr w14:val="tx1"/>
            </w14:solidFill>
          </w14:textFill>
        </w:rPr>
      </w:pPr>
      <w:r>
        <w:rPr>
          <w:rFonts w:hint="eastAsia" w:ascii="微软雅黑" w:hAnsi="微软雅黑" w:eastAsia="微软雅黑" w:cs="微软雅黑"/>
          <w:color w:val="000000" w:themeColor="text1"/>
          <w:kern w:val="44"/>
          <w:sz w:val="28"/>
          <w:szCs w:val="28"/>
          <w:lang w:val="en-US" w:eastAsia="zh-CN" w:bidi="ar-SA"/>
          <w14:textFill>
            <w14:solidFill>
              <w14:schemeClr w14:val="tx1"/>
            </w14:solidFill>
          </w14:textFill>
        </w:rPr>
        <w:t>⑧</w:t>
      </w:r>
      <w:r>
        <w:rPr>
          <w:rFonts w:hint="default" w:ascii="宋体" w:hAnsi="宋体" w:cs="宋体"/>
          <w:color w:val="000000" w:themeColor="text1"/>
          <w:kern w:val="44"/>
          <w:sz w:val="28"/>
          <w:szCs w:val="28"/>
          <w:lang w:val="en-US" w:eastAsia="zh-CN" w:bidi="ar-SA"/>
          <w14:textFill>
            <w14:solidFill>
              <w14:schemeClr w14:val="tx1"/>
            </w14:solidFill>
          </w14:textFill>
        </w:rPr>
        <w:t>档案与监督制度</w:t>
      </w:r>
    </w:p>
    <w:p w14:paraId="067DF44D">
      <w:pPr>
        <w:pStyle w:val="9"/>
        <w:numPr>
          <w:ilvl w:val="0"/>
          <w:numId w:val="0"/>
        </w:numPr>
        <w:ind w:firstLine="560" w:firstLineChars="200"/>
        <w:rPr>
          <w:rFonts w:hint="default" w:ascii="宋体" w:hAnsi="宋体" w:cs="宋体"/>
          <w:color w:val="000000" w:themeColor="text1"/>
          <w:kern w:val="44"/>
          <w:sz w:val="28"/>
          <w:szCs w:val="28"/>
          <w:lang w:val="en-US" w:eastAsia="zh-CN" w:bidi="ar-SA"/>
          <w14:textFill>
            <w14:solidFill>
              <w14:schemeClr w14:val="tx1"/>
            </w14:solidFill>
          </w14:textFill>
        </w:rPr>
      </w:pPr>
      <w:r>
        <w:rPr>
          <w:rFonts w:hint="default" w:ascii="宋体" w:hAnsi="宋体" w:cs="宋体"/>
          <w:color w:val="000000" w:themeColor="text1"/>
          <w:kern w:val="44"/>
          <w:sz w:val="28"/>
          <w:szCs w:val="28"/>
          <w:lang w:val="en-US" w:eastAsia="zh-CN" w:bidi="ar-SA"/>
          <w14:textFill>
            <w14:solidFill>
              <w14:schemeClr w14:val="tx1"/>
            </w14:solidFill>
          </w14:textFill>
        </w:rPr>
        <w:t>建立桥梁技术档案，及时更新检测数据、养护记录、维修方案等信息，实行保密管理</w:t>
      </w:r>
      <w:r>
        <w:rPr>
          <w:rFonts w:hint="eastAsia" w:ascii="宋体" w:hAnsi="宋体" w:cs="宋体"/>
          <w:color w:val="000000" w:themeColor="text1"/>
          <w:kern w:val="44"/>
          <w:sz w:val="28"/>
          <w:szCs w:val="28"/>
          <w:lang w:val="en-US" w:eastAsia="zh-CN" w:bidi="ar-SA"/>
          <w14:textFill>
            <w14:solidFill>
              <w14:schemeClr w14:val="tx1"/>
            </w14:solidFill>
          </w14:textFill>
        </w:rPr>
        <w:t>。</w:t>
      </w:r>
    </w:p>
    <w:p w14:paraId="157C07FE">
      <w:pPr>
        <w:numPr>
          <w:ilvl w:val="0"/>
          <w:numId w:val="15"/>
        </w:numPr>
        <w:spacing w:line="360" w:lineRule="auto"/>
        <w:ind w:left="0" w:leftChars="0" w:firstLine="283" w:firstLineChars="0"/>
        <w:jc w:val="left"/>
        <w:outlineLvl w:val="1"/>
        <w:rPr>
          <w:rFonts w:hint="eastAsia" w:ascii="宋体" w:hAnsi="宋体" w:eastAsia="宋体" w:cs="宋体"/>
          <w:b w:val="0"/>
          <w:bCs w:val="0"/>
          <w:snapToGrid w:val="0"/>
          <w:color w:val="000000" w:themeColor="text1"/>
          <w:kern w:val="0"/>
          <w:sz w:val="28"/>
          <w:szCs w:val="28"/>
          <w14:textFill>
            <w14:solidFill>
              <w14:schemeClr w14:val="tx1"/>
            </w14:solidFill>
          </w14:textFill>
        </w:rPr>
      </w:pPr>
      <w:bookmarkStart w:id="28" w:name="_Toc1727"/>
      <w:r>
        <w:rPr>
          <w:rFonts w:hint="eastAsia" w:ascii="宋体" w:hAnsi="宋体" w:eastAsia="宋体" w:cs="宋体"/>
          <w:b w:val="0"/>
          <w:bCs w:val="0"/>
          <w:snapToGrid w:val="0"/>
          <w:color w:val="000000" w:themeColor="text1"/>
          <w:kern w:val="0"/>
          <w:sz w:val="28"/>
          <w:szCs w:val="28"/>
          <w14:textFill>
            <w14:solidFill>
              <w14:schemeClr w14:val="tx1"/>
            </w14:solidFill>
          </w14:textFill>
        </w:rPr>
        <w:t>项目绩效目标未完成原因分析</w:t>
      </w:r>
      <w:bookmarkEnd w:id="28"/>
    </w:p>
    <w:p w14:paraId="30164256">
      <w:pPr>
        <w:numPr>
          <w:ilvl w:val="0"/>
          <w:numId w:val="0"/>
        </w:numPr>
        <w:spacing w:line="360" w:lineRule="auto"/>
        <w:ind w:firstLine="560" w:firstLineChars="200"/>
        <w:jc w:val="left"/>
        <w:outlineLvl w:val="9"/>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2022年11月25日，王寨路跨金水河桥梁项目竣工，后期验收合格后已经投入使用，项目绩效目标已经完成。</w:t>
      </w:r>
    </w:p>
    <w:p w14:paraId="4C4FBFCC">
      <w:pPr>
        <w:numPr>
          <w:ilvl w:val="0"/>
          <w:numId w:val="0"/>
        </w:numPr>
        <w:spacing w:line="360" w:lineRule="auto"/>
        <w:ind w:firstLine="560" w:firstLineChars="200"/>
        <w:jc w:val="left"/>
        <w:outlineLvl w:val="9"/>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2022年11月28日，</w:t>
      </w:r>
      <w:r>
        <w:rPr>
          <w:rFonts w:hint="eastAsia" w:ascii="宋体" w:hAnsi="宋体" w:eastAsia="宋体" w:cs="宋体"/>
          <w:b w:val="0"/>
          <w:bCs w:val="0"/>
          <w:color w:val="000000" w:themeColor="text1"/>
          <w:sz w:val="28"/>
          <w:szCs w:val="28"/>
          <w:highlight w:val="none"/>
          <w:lang w:val="en-US" w:eastAsia="zh-CN"/>
          <w14:textFill>
            <w14:solidFill>
              <w14:schemeClr w14:val="tx1"/>
            </w14:solidFill>
          </w14:textFill>
        </w:rPr>
        <w:t>金华</w:t>
      </w:r>
      <w:r>
        <w:rPr>
          <w:rFonts w:hint="eastAsia" w:ascii="宋体" w:hAnsi="宋体" w:eastAsia="宋体" w:cs="宋体"/>
          <w:b w:val="0"/>
          <w:bCs w:val="0"/>
          <w:color w:val="000000" w:themeColor="text1"/>
          <w:sz w:val="28"/>
          <w:szCs w:val="28"/>
          <w:highlight w:val="none"/>
          <w:lang w:eastAsia="zh-CN"/>
          <w14:textFill>
            <w14:solidFill>
              <w14:schemeClr w14:val="tx1"/>
            </w14:solidFill>
          </w14:textFill>
        </w:rPr>
        <w:t>路工程</w:t>
      </w: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项目竣工，2024年10月24日，项目验收，验收结论合格。金华路桥梁两端的配套道路因征地问题未施工，导致金华路桥梁无法运营，项目产出目标部分完成，效益目标未完成。</w:t>
      </w:r>
    </w:p>
    <w:p w14:paraId="66835F7B">
      <w:pPr>
        <w:numPr>
          <w:ilvl w:val="0"/>
          <w:numId w:val="1"/>
        </w:numPr>
        <w:spacing w:line="360" w:lineRule="auto"/>
        <w:ind w:left="0" w:leftChars="0" w:firstLine="283" w:firstLineChars="0"/>
        <w:jc w:val="left"/>
        <w:outlineLvl w:val="0"/>
        <w:rPr>
          <w:rFonts w:hint="eastAsia" w:ascii="宋体" w:hAnsi="宋体" w:eastAsia="宋体" w:cs="宋体"/>
          <w:b/>
          <w:bCs/>
          <w:snapToGrid w:val="0"/>
          <w:color w:val="000000" w:themeColor="text1"/>
          <w:kern w:val="0"/>
          <w:sz w:val="28"/>
          <w:szCs w:val="28"/>
          <w14:textFill>
            <w14:solidFill>
              <w14:schemeClr w14:val="tx1"/>
            </w14:solidFill>
          </w14:textFill>
        </w:rPr>
      </w:pPr>
      <w:bookmarkStart w:id="29" w:name="_Toc23496"/>
      <w:r>
        <w:rPr>
          <w:rFonts w:hint="eastAsia" w:ascii="宋体" w:hAnsi="宋体" w:eastAsia="宋体" w:cs="宋体"/>
          <w:b/>
          <w:bCs/>
          <w:snapToGrid w:val="0"/>
          <w:color w:val="000000" w:themeColor="text1"/>
          <w:kern w:val="0"/>
          <w:sz w:val="28"/>
          <w:szCs w:val="28"/>
          <w14:textFill>
            <w14:solidFill>
              <w14:schemeClr w14:val="tx1"/>
            </w14:solidFill>
          </w14:textFill>
        </w:rPr>
        <w:t>评价结论</w:t>
      </w:r>
      <w:bookmarkEnd w:id="29"/>
    </w:p>
    <w:p w14:paraId="36981F1A">
      <w:pPr>
        <w:numPr>
          <w:ilvl w:val="0"/>
          <w:numId w:val="0"/>
        </w:numPr>
        <w:spacing w:line="360" w:lineRule="auto"/>
        <w:ind w:firstLine="560" w:firstLineChars="200"/>
        <w:jc w:val="left"/>
        <w:outlineLvl w:val="9"/>
        <w:rPr>
          <w:rFonts w:hint="eastAsia" w:eastAsia="宋体"/>
          <w:highlight w:val="yellow"/>
          <w:lang w:eastAsia="zh-CN"/>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根据</w:t>
      </w:r>
      <w:r>
        <w:rPr>
          <w:rFonts w:hint="eastAsia" w:ascii="宋体" w:hAnsi="宋体" w:eastAsia="宋体" w:cs="宋体"/>
          <w:color w:val="000000" w:themeColor="text1"/>
          <w:kern w:val="44"/>
          <w:sz w:val="28"/>
          <w:szCs w:val="28"/>
          <w:lang w:val="en-US" w:eastAsia="zh-CN"/>
          <w14:textFill>
            <w14:solidFill>
              <w14:schemeClr w14:val="tx1"/>
            </w14:solidFill>
          </w14:textFill>
        </w:rPr>
        <w:t>2025年12月8日，三门峡市陕州区财政局印发《关于开展 2024年度区级财政支出重点项目绩效评价工作的通知》（三陕财效(2025]5号），</w:t>
      </w: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绩效评价的内容包括对项目绩效目标的设定情况、资金投入和使用情况，为实现绩效目标制定的制度、采取的措施、绩效目标实现程度及效果等。按评价指标体系和评分标准对每个指标分别评分，根据权重汇总后评出最终分数。</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839"/>
        <w:gridCol w:w="2422"/>
        <w:gridCol w:w="2131"/>
      </w:tblGrid>
      <w:tr w14:paraId="46B60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14:paraId="687DCA15">
            <w:pPr>
              <w:numPr>
                <w:ilvl w:val="0"/>
                <w:numId w:val="0"/>
              </w:numPr>
              <w:spacing w:line="360" w:lineRule="auto"/>
              <w:jc w:val="center"/>
              <w:outlineLvl w:val="9"/>
              <w:rPr>
                <w:rFonts w:hint="eastAsia" w:ascii="宋体" w:hAnsi="宋体" w:eastAsia="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eastAsia="宋体" w:cs="宋体"/>
                <w:b/>
                <w:bCs/>
                <w:color w:val="000000" w:themeColor="text1"/>
                <w:kern w:val="44"/>
                <w:sz w:val="28"/>
                <w:szCs w:val="28"/>
                <w:highlight w:val="none"/>
                <w:vertAlign w:val="baseline"/>
                <w:lang w:val="en-US" w:eastAsia="zh-CN"/>
                <w14:textFill>
                  <w14:solidFill>
                    <w14:schemeClr w14:val="tx1"/>
                  </w14:solidFill>
                </w14:textFill>
              </w:rPr>
              <w:t>王寨路、金华路跨金水河桥梁工程项目</w:t>
            </w:r>
            <w:r>
              <w:rPr>
                <w:rFonts w:hint="eastAsia" w:ascii="宋体" w:hAnsi="宋体" w:cs="宋体"/>
                <w:b/>
                <w:bCs/>
                <w:color w:val="000000" w:themeColor="text1"/>
                <w:kern w:val="44"/>
                <w:sz w:val="28"/>
                <w:szCs w:val="28"/>
                <w:highlight w:val="none"/>
                <w:vertAlign w:val="baseline"/>
                <w:lang w:val="en-US" w:eastAsia="zh-CN"/>
                <w14:textFill>
                  <w14:solidFill>
                    <w14:schemeClr w14:val="tx1"/>
                  </w14:solidFill>
                </w14:textFill>
              </w:rPr>
              <w:t>一级指标得分情况</w:t>
            </w:r>
          </w:p>
        </w:tc>
      </w:tr>
      <w:tr w14:paraId="2AD3B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0AD2BEE">
            <w:pPr>
              <w:numPr>
                <w:ilvl w:val="0"/>
                <w:numId w:val="0"/>
              </w:numPr>
              <w:spacing w:line="360" w:lineRule="auto"/>
              <w:jc w:val="center"/>
              <w:outlineLvl w:val="9"/>
              <w:rPr>
                <w:rFonts w:hint="default" w:ascii="宋体" w:hAnsi="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color w:val="000000" w:themeColor="text1"/>
                <w:kern w:val="44"/>
                <w:sz w:val="28"/>
                <w:szCs w:val="28"/>
                <w:highlight w:val="none"/>
                <w:vertAlign w:val="baseline"/>
                <w:lang w:val="en-US" w:eastAsia="zh-CN"/>
                <w14:textFill>
                  <w14:solidFill>
                    <w14:schemeClr w14:val="tx1"/>
                  </w14:solidFill>
                </w14:textFill>
              </w:rPr>
              <w:t>一级指标</w:t>
            </w:r>
          </w:p>
        </w:tc>
        <w:tc>
          <w:tcPr>
            <w:tcW w:w="1839" w:type="dxa"/>
            <w:shd w:val="clear" w:color="auto" w:fill="auto"/>
            <w:vAlign w:val="top"/>
          </w:tcPr>
          <w:p w14:paraId="1972CE50">
            <w:pPr>
              <w:numPr>
                <w:ilvl w:val="0"/>
                <w:numId w:val="0"/>
              </w:numPr>
              <w:spacing w:line="360" w:lineRule="auto"/>
              <w:ind w:left="0" w:leftChars="0" w:firstLine="0" w:firstLineChars="0"/>
              <w:jc w:val="center"/>
              <w:outlineLvl w:val="9"/>
              <w:rPr>
                <w:rFonts w:hint="default" w:ascii="宋体" w:hAnsi="宋体" w:eastAsia="宋体" w:cs="宋体"/>
                <w:color w:val="000000" w:themeColor="text1"/>
                <w:kern w:val="44"/>
                <w:sz w:val="28"/>
                <w:szCs w:val="28"/>
                <w:highlight w:val="none"/>
                <w:vertAlign w:val="baseline"/>
                <w:lang w:val="en-US" w:eastAsia="zh-CN" w:bidi="ar-SA"/>
                <w14:textFill>
                  <w14:solidFill>
                    <w14:schemeClr w14:val="tx1"/>
                  </w14:solidFill>
                </w14:textFill>
              </w:rPr>
            </w:pPr>
            <w:r>
              <w:rPr>
                <w:rFonts w:hint="eastAsia" w:ascii="宋体" w:hAnsi="宋体" w:cs="宋体"/>
                <w:color w:val="000000" w:themeColor="text1"/>
                <w:kern w:val="44"/>
                <w:sz w:val="28"/>
                <w:szCs w:val="28"/>
                <w:highlight w:val="none"/>
                <w:vertAlign w:val="baseline"/>
                <w:lang w:val="en-US" w:eastAsia="zh-CN" w:bidi="ar-SA"/>
                <w14:textFill>
                  <w14:solidFill>
                    <w14:schemeClr w14:val="tx1"/>
                  </w14:solidFill>
                </w14:textFill>
              </w:rPr>
              <w:t>权重</w:t>
            </w:r>
          </w:p>
        </w:tc>
        <w:tc>
          <w:tcPr>
            <w:tcW w:w="2422" w:type="dxa"/>
            <w:shd w:val="clear" w:color="auto" w:fill="auto"/>
            <w:vAlign w:val="top"/>
          </w:tcPr>
          <w:p w14:paraId="755EF309">
            <w:pPr>
              <w:numPr>
                <w:ilvl w:val="0"/>
                <w:numId w:val="0"/>
              </w:numPr>
              <w:spacing w:line="360" w:lineRule="auto"/>
              <w:ind w:left="0" w:leftChars="0" w:firstLine="0" w:firstLineChars="0"/>
              <w:jc w:val="center"/>
              <w:outlineLvl w:val="9"/>
              <w:rPr>
                <w:rFonts w:hint="eastAsia" w:ascii="宋体" w:hAnsi="宋体" w:eastAsia="宋体" w:cs="宋体"/>
                <w:color w:val="000000" w:themeColor="text1"/>
                <w:kern w:val="44"/>
                <w:sz w:val="28"/>
                <w:szCs w:val="28"/>
                <w:highlight w:val="none"/>
                <w:vertAlign w:val="baseline"/>
                <w:lang w:val="en-US" w:eastAsia="zh-CN" w:bidi="ar-SA"/>
                <w14:textFill>
                  <w14:solidFill>
                    <w14:schemeClr w14:val="tx1"/>
                  </w14:solidFill>
                </w14:textFill>
              </w:rPr>
            </w:pPr>
            <w:r>
              <w:rPr>
                <w:rFonts w:hint="eastAsia" w:ascii="宋体" w:hAnsi="宋体" w:cs="宋体"/>
                <w:color w:val="000000" w:themeColor="text1"/>
                <w:kern w:val="44"/>
                <w:sz w:val="28"/>
                <w:szCs w:val="28"/>
                <w:highlight w:val="none"/>
                <w:vertAlign w:val="baseline"/>
                <w:lang w:val="en-US" w:eastAsia="zh-CN"/>
                <w14:textFill>
                  <w14:solidFill>
                    <w14:schemeClr w14:val="tx1"/>
                  </w14:solidFill>
                </w14:textFill>
              </w:rPr>
              <w:t>王寨桥得分</w:t>
            </w:r>
          </w:p>
        </w:tc>
        <w:tc>
          <w:tcPr>
            <w:tcW w:w="2131" w:type="dxa"/>
            <w:shd w:val="clear" w:color="auto" w:fill="auto"/>
            <w:vAlign w:val="top"/>
          </w:tcPr>
          <w:p w14:paraId="6CF88E90">
            <w:pPr>
              <w:numPr>
                <w:ilvl w:val="0"/>
                <w:numId w:val="0"/>
              </w:numPr>
              <w:spacing w:line="360" w:lineRule="auto"/>
              <w:ind w:left="0" w:leftChars="0" w:firstLine="0" w:firstLineChars="0"/>
              <w:jc w:val="center"/>
              <w:outlineLvl w:val="9"/>
              <w:rPr>
                <w:rFonts w:hint="default" w:ascii="宋体" w:hAnsi="宋体" w:eastAsia="宋体" w:cs="宋体"/>
                <w:color w:val="000000" w:themeColor="text1"/>
                <w:kern w:val="44"/>
                <w:sz w:val="28"/>
                <w:szCs w:val="28"/>
                <w:highlight w:val="none"/>
                <w:vertAlign w:val="baseline"/>
                <w:lang w:val="en-US" w:eastAsia="zh-CN" w:bidi="ar-SA"/>
                <w14:textFill>
                  <w14:solidFill>
                    <w14:schemeClr w14:val="tx1"/>
                  </w14:solidFill>
                </w14:textFill>
              </w:rPr>
            </w:pPr>
            <w:r>
              <w:rPr>
                <w:rFonts w:hint="default" w:ascii="宋体" w:hAnsi="宋体" w:eastAsia="宋体" w:cs="宋体"/>
                <w:color w:val="000000" w:themeColor="text1"/>
                <w:kern w:val="44"/>
                <w:sz w:val="28"/>
                <w:szCs w:val="28"/>
                <w:highlight w:val="none"/>
                <w:vertAlign w:val="baseline"/>
                <w:lang w:val="en-US" w:eastAsia="zh-CN"/>
                <w14:textFill>
                  <w14:solidFill>
                    <w14:schemeClr w14:val="tx1"/>
                  </w14:solidFill>
                </w14:textFill>
              </w:rPr>
              <w:t>金华路</w:t>
            </w:r>
            <w:r>
              <w:rPr>
                <w:rFonts w:hint="eastAsia" w:ascii="宋体" w:hAnsi="宋体" w:cs="宋体"/>
                <w:color w:val="000000" w:themeColor="text1"/>
                <w:kern w:val="44"/>
                <w:sz w:val="28"/>
                <w:szCs w:val="28"/>
                <w:highlight w:val="none"/>
                <w:vertAlign w:val="baseline"/>
                <w:lang w:val="en-US" w:eastAsia="zh-CN"/>
                <w14:textFill>
                  <w14:solidFill>
                    <w14:schemeClr w14:val="tx1"/>
                  </w14:solidFill>
                </w14:textFill>
              </w:rPr>
              <w:t>得分</w:t>
            </w:r>
          </w:p>
        </w:tc>
      </w:tr>
      <w:tr w14:paraId="6A235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45351380">
            <w:pPr>
              <w:numPr>
                <w:ilvl w:val="0"/>
                <w:numId w:val="0"/>
              </w:numPr>
              <w:spacing w:line="360" w:lineRule="auto"/>
              <w:jc w:val="left"/>
              <w:outlineLvl w:val="9"/>
              <w:rPr>
                <w:rFonts w:hint="default" w:ascii="宋体" w:hAnsi="宋体" w:eastAsia="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color w:val="000000" w:themeColor="text1"/>
                <w:kern w:val="44"/>
                <w:sz w:val="28"/>
                <w:szCs w:val="28"/>
                <w:highlight w:val="none"/>
                <w:vertAlign w:val="baseline"/>
                <w:lang w:val="en-US" w:eastAsia="zh-CN"/>
                <w14:textFill>
                  <w14:solidFill>
                    <w14:schemeClr w14:val="tx1"/>
                  </w14:solidFill>
                </w14:textFill>
              </w:rPr>
              <w:t>决策</w:t>
            </w:r>
          </w:p>
        </w:tc>
        <w:tc>
          <w:tcPr>
            <w:tcW w:w="1839" w:type="dxa"/>
          </w:tcPr>
          <w:p w14:paraId="55D16B11">
            <w:pPr>
              <w:numPr>
                <w:ilvl w:val="0"/>
                <w:numId w:val="0"/>
              </w:numPr>
              <w:spacing w:line="360" w:lineRule="auto"/>
              <w:jc w:val="center"/>
              <w:outlineLvl w:val="9"/>
              <w:rPr>
                <w:rFonts w:hint="default" w:ascii="宋体" w:hAnsi="宋体" w:eastAsia="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color w:val="000000" w:themeColor="text1"/>
                <w:kern w:val="44"/>
                <w:sz w:val="28"/>
                <w:szCs w:val="28"/>
                <w:highlight w:val="none"/>
                <w:vertAlign w:val="baseline"/>
                <w:lang w:val="en-US" w:eastAsia="zh-CN"/>
                <w14:textFill>
                  <w14:solidFill>
                    <w14:schemeClr w14:val="tx1"/>
                  </w14:solidFill>
                </w14:textFill>
              </w:rPr>
              <w:t>15</w:t>
            </w:r>
          </w:p>
        </w:tc>
        <w:tc>
          <w:tcPr>
            <w:tcW w:w="2422" w:type="dxa"/>
          </w:tcPr>
          <w:p w14:paraId="0FDE3400">
            <w:pPr>
              <w:numPr>
                <w:ilvl w:val="0"/>
                <w:numId w:val="0"/>
              </w:numPr>
              <w:spacing w:line="360" w:lineRule="auto"/>
              <w:jc w:val="center"/>
              <w:outlineLvl w:val="9"/>
              <w:rPr>
                <w:rFonts w:hint="default" w:ascii="宋体" w:hAnsi="宋体" w:eastAsia="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color w:val="000000" w:themeColor="text1"/>
                <w:kern w:val="44"/>
                <w:sz w:val="28"/>
                <w:szCs w:val="28"/>
                <w:highlight w:val="none"/>
                <w:vertAlign w:val="baseline"/>
                <w:lang w:val="en-US" w:eastAsia="zh-CN"/>
                <w14:textFill>
                  <w14:solidFill>
                    <w14:schemeClr w14:val="tx1"/>
                  </w14:solidFill>
                </w14:textFill>
              </w:rPr>
              <w:t>13.34</w:t>
            </w:r>
          </w:p>
        </w:tc>
        <w:tc>
          <w:tcPr>
            <w:tcW w:w="2131" w:type="dxa"/>
          </w:tcPr>
          <w:p w14:paraId="074FE9CF">
            <w:pPr>
              <w:numPr>
                <w:ilvl w:val="0"/>
                <w:numId w:val="0"/>
              </w:numPr>
              <w:spacing w:line="360" w:lineRule="auto"/>
              <w:jc w:val="center"/>
              <w:outlineLvl w:val="9"/>
              <w:rPr>
                <w:rFonts w:hint="default" w:ascii="宋体" w:hAnsi="宋体" w:eastAsia="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color w:val="000000" w:themeColor="text1"/>
                <w:kern w:val="44"/>
                <w:sz w:val="28"/>
                <w:szCs w:val="28"/>
                <w:highlight w:val="none"/>
                <w:vertAlign w:val="baseline"/>
                <w:lang w:val="en-US" w:eastAsia="zh-CN"/>
                <w14:textFill>
                  <w14:solidFill>
                    <w14:schemeClr w14:val="tx1"/>
                  </w14:solidFill>
                </w14:textFill>
              </w:rPr>
              <w:t>13.34</w:t>
            </w:r>
          </w:p>
        </w:tc>
      </w:tr>
      <w:tr w14:paraId="539F1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3E1A03B8">
            <w:pPr>
              <w:numPr>
                <w:ilvl w:val="0"/>
                <w:numId w:val="0"/>
              </w:numPr>
              <w:spacing w:line="360" w:lineRule="auto"/>
              <w:jc w:val="left"/>
              <w:outlineLvl w:val="9"/>
              <w:rPr>
                <w:rFonts w:hint="default" w:ascii="宋体" w:hAnsi="宋体" w:eastAsia="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color w:val="000000" w:themeColor="text1"/>
                <w:kern w:val="44"/>
                <w:sz w:val="28"/>
                <w:szCs w:val="28"/>
                <w:highlight w:val="none"/>
                <w:vertAlign w:val="baseline"/>
                <w:lang w:val="en-US" w:eastAsia="zh-CN"/>
                <w14:textFill>
                  <w14:solidFill>
                    <w14:schemeClr w14:val="tx1"/>
                  </w14:solidFill>
                </w14:textFill>
              </w:rPr>
              <w:t>管理</w:t>
            </w:r>
          </w:p>
        </w:tc>
        <w:tc>
          <w:tcPr>
            <w:tcW w:w="1839" w:type="dxa"/>
          </w:tcPr>
          <w:p w14:paraId="65E65A2C">
            <w:pPr>
              <w:numPr>
                <w:ilvl w:val="0"/>
                <w:numId w:val="0"/>
              </w:numPr>
              <w:spacing w:line="360" w:lineRule="auto"/>
              <w:jc w:val="center"/>
              <w:outlineLvl w:val="9"/>
              <w:rPr>
                <w:rFonts w:hint="default" w:ascii="宋体" w:hAnsi="宋体" w:eastAsia="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color w:val="000000" w:themeColor="text1"/>
                <w:kern w:val="44"/>
                <w:sz w:val="28"/>
                <w:szCs w:val="28"/>
                <w:highlight w:val="none"/>
                <w:vertAlign w:val="baseline"/>
                <w:lang w:val="en-US" w:eastAsia="zh-CN"/>
                <w14:textFill>
                  <w14:solidFill>
                    <w14:schemeClr w14:val="tx1"/>
                  </w14:solidFill>
                </w14:textFill>
              </w:rPr>
              <w:t>25</w:t>
            </w:r>
          </w:p>
        </w:tc>
        <w:tc>
          <w:tcPr>
            <w:tcW w:w="2422" w:type="dxa"/>
          </w:tcPr>
          <w:p w14:paraId="3486BA19">
            <w:pPr>
              <w:numPr>
                <w:ilvl w:val="0"/>
                <w:numId w:val="0"/>
              </w:numPr>
              <w:spacing w:line="360" w:lineRule="auto"/>
              <w:jc w:val="center"/>
              <w:outlineLvl w:val="9"/>
              <w:rPr>
                <w:rFonts w:hint="default" w:ascii="宋体" w:hAnsi="宋体" w:eastAsia="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color w:val="000000" w:themeColor="text1"/>
                <w:kern w:val="44"/>
                <w:sz w:val="28"/>
                <w:szCs w:val="28"/>
                <w:highlight w:val="none"/>
                <w:vertAlign w:val="baseline"/>
                <w:lang w:val="en-US" w:eastAsia="zh-CN"/>
                <w14:textFill>
                  <w14:solidFill>
                    <w14:schemeClr w14:val="tx1"/>
                  </w14:solidFill>
                </w14:textFill>
              </w:rPr>
              <w:t>19.99</w:t>
            </w:r>
          </w:p>
        </w:tc>
        <w:tc>
          <w:tcPr>
            <w:tcW w:w="2131" w:type="dxa"/>
          </w:tcPr>
          <w:p w14:paraId="50BDC92C">
            <w:pPr>
              <w:numPr>
                <w:ilvl w:val="0"/>
                <w:numId w:val="0"/>
              </w:numPr>
              <w:spacing w:line="360" w:lineRule="auto"/>
              <w:jc w:val="center"/>
              <w:outlineLvl w:val="9"/>
              <w:rPr>
                <w:rFonts w:hint="default" w:ascii="宋体" w:hAnsi="宋体" w:eastAsia="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color w:val="000000" w:themeColor="text1"/>
                <w:kern w:val="44"/>
                <w:sz w:val="28"/>
                <w:szCs w:val="28"/>
                <w:highlight w:val="none"/>
                <w:vertAlign w:val="baseline"/>
                <w:lang w:val="en-US" w:eastAsia="zh-CN"/>
                <w14:textFill>
                  <w14:solidFill>
                    <w14:schemeClr w14:val="tx1"/>
                  </w14:solidFill>
                </w14:textFill>
              </w:rPr>
              <w:t>19.96</w:t>
            </w:r>
          </w:p>
        </w:tc>
      </w:tr>
      <w:tr w14:paraId="6B045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6F1E2353">
            <w:pPr>
              <w:numPr>
                <w:ilvl w:val="0"/>
                <w:numId w:val="0"/>
              </w:numPr>
              <w:spacing w:line="360" w:lineRule="auto"/>
              <w:jc w:val="left"/>
              <w:outlineLvl w:val="9"/>
              <w:rPr>
                <w:rFonts w:hint="default" w:ascii="宋体" w:hAnsi="宋体" w:eastAsia="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color w:val="000000" w:themeColor="text1"/>
                <w:kern w:val="44"/>
                <w:sz w:val="28"/>
                <w:szCs w:val="28"/>
                <w:highlight w:val="none"/>
                <w:vertAlign w:val="baseline"/>
                <w:lang w:val="en-US" w:eastAsia="zh-CN"/>
                <w14:textFill>
                  <w14:solidFill>
                    <w14:schemeClr w14:val="tx1"/>
                  </w14:solidFill>
                </w14:textFill>
              </w:rPr>
              <w:t>产出</w:t>
            </w:r>
          </w:p>
        </w:tc>
        <w:tc>
          <w:tcPr>
            <w:tcW w:w="1839" w:type="dxa"/>
          </w:tcPr>
          <w:p w14:paraId="2E6DB6A5">
            <w:pPr>
              <w:numPr>
                <w:ilvl w:val="0"/>
                <w:numId w:val="0"/>
              </w:numPr>
              <w:spacing w:line="360" w:lineRule="auto"/>
              <w:jc w:val="center"/>
              <w:outlineLvl w:val="9"/>
              <w:rPr>
                <w:rFonts w:hint="default" w:ascii="宋体" w:hAnsi="宋体" w:eastAsia="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color w:val="000000" w:themeColor="text1"/>
                <w:kern w:val="44"/>
                <w:sz w:val="28"/>
                <w:szCs w:val="28"/>
                <w:highlight w:val="none"/>
                <w:vertAlign w:val="baseline"/>
                <w:lang w:val="en-US" w:eastAsia="zh-CN"/>
                <w14:textFill>
                  <w14:solidFill>
                    <w14:schemeClr w14:val="tx1"/>
                  </w14:solidFill>
                </w14:textFill>
              </w:rPr>
              <w:t>30</w:t>
            </w:r>
          </w:p>
        </w:tc>
        <w:tc>
          <w:tcPr>
            <w:tcW w:w="2422" w:type="dxa"/>
          </w:tcPr>
          <w:p w14:paraId="3D2ECC76">
            <w:pPr>
              <w:numPr>
                <w:ilvl w:val="0"/>
                <w:numId w:val="0"/>
              </w:numPr>
              <w:spacing w:line="360" w:lineRule="auto"/>
              <w:jc w:val="center"/>
              <w:outlineLvl w:val="9"/>
              <w:rPr>
                <w:rFonts w:hint="default" w:ascii="宋体" w:hAnsi="宋体" w:eastAsia="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color w:val="000000" w:themeColor="text1"/>
                <w:kern w:val="44"/>
                <w:sz w:val="28"/>
                <w:szCs w:val="28"/>
                <w:highlight w:val="none"/>
                <w:vertAlign w:val="baseline"/>
                <w:lang w:val="en-US" w:eastAsia="zh-CN"/>
                <w14:textFill>
                  <w14:solidFill>
                    <w14:schemeClr w14:val="tx1"/>
                  </w14:solidFill>
                </w14:textFill>
              </w:rPr>
              <w:t>28.55</w:t>
            </w:r>
          </w:p>
        </w:tc>
        <w:tc>
          <w:tcPr>
            <w:tcW w:w="2131" w:type="dxa"/>
          </w:tcPr>
          <w:p w14:paraId="4DB7FAE1">
            <w:pPr>
              <w:numPr>
                <w:ilvl w:val="0"/>
                <w:numId w:val="0"/>
              </w:numPr>
              <w:spacing w:line="360" w:lineRule="auto"/>
              <w:jc w:val="center"/>
              <w:outlineLvl w:val="9"/>
              <w:rPr>
                <w:rFonts w:hint="default" w:ascii="宋体" w:hAnsi="宋体" w:eastAsia="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color w:val="000000" w:themeColor="text1"/>
                <w:kern w:val="44"/>
                <w:sz w:val="28"/>
                <w:szCs w:val="28"/>
                <w:highlight w:val="none"/>
                <w:vertAlign w:val="baseline"/>
                <w:lang w:val="en-US" w:eastAsia="zh-CN"/>
                <w14:textFill>
                  <w14:solidFill>
                    <w14:schemeClr w14:val="tx1"/>
                  </w14:solidFill>
                </w14:textFill>
              </w:rPr>
              <w:t>26.59</w:t>
            </w:r>
          </w:p>
        </w:tc>
      </w:tr>
      <w:tr w14:paraId="7E670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137906E">
            <w:pPr>
              <w:numPr>
                <w:ilvl w:val="0"/>
                <w:numId w:val="0"/>
              </w:numPr>
              <w:spacing w:line="360" w:lineRule="auto"/>
              <w:jc w:val="left"/>
              <w:outlineLvl w:val="9"/>
              <w:rPr>
                <w:rFonts w:hint="default" w:ascii="宋体" w:hAnsi="宋体" w:eastAsia="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color w:val="000000" w:themeColor="text1"/>
                <w:kern w:val="44"/>
                <w:sz w:val="28"/>
                <w:szCs w:val="28"/>
                <w:highlight w:val="none"/>
                <w:vertAlign w:val="baseline"/>
                <w:lang w:val="en-US" w:eastAsia="zh-CN"/>
                <w14:textFill>
                  <w14:solidFill>
                    <w14:schemeClr w14:val="tx1"/>
                  </w14:solidFill>
                </w14:textFill>
              </w:rPr>
              <w:t>效果</w:t>
            </w:r>
          </w:p>
        </w:tc>
        <w:tc>
          <w:tcPr>
            <w:tcW w:w="1839" w:type="dxa"/>
          </w:tcPr>
          <w:p w14:paraId="4646577D">
            <w:pPr>
              <w:numPr>
                <w:ilvl w:val="0"/>
                <w:numId w:val="0"/>
              </w:numPr>
              <w:spacing w:line="360" w:lineRule="auto"/>
              <w:jc w:val="center"/>
              <w:outlineLvl w:val="9"/>
              <w:rPr>
                <w:rFonts w:hint="default" w:ascii="宋体" w:hAnsi="宋体" w:eastAsia="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color w:val="000000" w:themeColor="text1"/>
                <w:kern w:val="44"/>
                <w:sz w:val="28"/>
                <w:szCs w:val="28"/>
                <w:highlight w:val="none"/>
                <w:vertAlign w:val="baseline"/>
                <w:lang w:val="en-US" w:eastAsia="zh-CN"/>
                <w14:textFill>
                  <w14:solidFill>
                    <w14:schemeClr w14:val="tx1"/>
                  </w14:solidFill>
                </w14:textFill>
              </w:rPr>
              <w:t>30</w:t>
            </w:r>
          </w:p>
        </w:tc>
        <w:tc>
          <w:tcPr>
            <w:tcW w:w="2422" w:type="dxa"/>
          </w:tcPr>
          <w:p w14:paraId="64AE0BB4">
            <w:pPr>
              <w:numPr>
                <w:ilvl w:val="0"/>
                <w:numId w:val="0"/>
              </w:numPr>
              <w:spacing w:line="360" w:lineRule="auto"/>
              <w:jc w:val="center"/>
              <w:outlineLvl w:val="9"/>
              <w:rPr>
                <w:rFonts w:hint="default" w:ascii="宋体" w:hAnsi="宋体" w:eastAsia="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color w:val="000000" w:themeColor="text1"/>
                <w:kern w:val="44"/>
                <w:sz w:val="28"/>
                <w:szCs w:val="28"/>
                <w:highlight w:val="none"/>
                <w:vertAlign w:val="baseline"/>
                <w:lang w:val="en-US" w:eastAsia="zh-CN"/>
                <w14:textFill>
                  <w14:solidFill>
                    <w14:schemeClr w14:val="tx1"/>
                  </w14:solidFill>
                </w14:textFill>
              </w:rPr>
              <w:t>26.41</w:t>
            </w:r>
          </w:p>
        </w:tc>
        <w:tc>
          <w:tcPr>
            <w:tcW w:w="2131" w:type="dxa"/>
          </w:tcPr>
          <w:p w14:paraId="0E64FF90">
            <w:pPr>
              <w:numPr>
                <w:ilvl w:val="0"/>
                <w:numId w:val="0"/>
              </w:numPr>
              <w:spacing w:line="360" w:lineRule="auto"/>
              <w:jc w:val="center"/>
              <w:outlineLvl w:val="9"/>
              <w:rPr>
                <w:rFonts w:hint="default" w:ascii="宋体" w:hAnsi="宋体" w:eastAsia="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color w:val="000000" w:themeColor="text1"/>
                <w:kern w:val="44"/>
                <w:sz w:val="28"/>
                <w:szCs w:val="28"/>
                <w:highlight w:val="none"/>
                <w:vertAlign w:val="baseline"/>
                <w:lang w:val="en-US" w:eastAsia="zh-CN"/>
                <w14:textFill>
                  <w14:solidFill>
                    <w14:schemeClr w14:val="tx1"/>
                  </w14:solidFill>
                </w14:textFill>
              </w:rPr>
              <w:t>14.11</w:t>
            </w:r>
          </w:p>
        </w:tc>
      </w:tr>
      <w:tr w14:paraId="7F660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64C2AB69">
            <w:pPr>
              <w:numPr>
                <w:ilvl w:val="0"/>
                <w:numId w:val="0"/>
              </w:numPr>
              <w:spacing w:line="360" w:lineRule="auto"/>
              <w:jc w:val="center"/>
              <w:outlineLvl w:val="9"/>
              <w:rPr>
                <w:rFonts w:hint="default" w:ascii="宋体" w:hAnsi="宋体" w:cs="宋体"/>
                <w:b/>
                <w:bCs/>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b/>
                <w:bCs/>
                <w:color w:val="000000" w:themeColor="text1"/>
                <w:kern w:val="44"/>
                <w:sz w:val="28"/>
                <w:szCs w:val="28"/>
                <w:highlight w:val="none"/>
                <w:vertAlign w:val="baseline"/>
                <w:lang w:val="en-US" w:eastAsia="zh-CN"/>
                <w14:textFill>
                  <w14:solidFill>
                    <w14:schemeClr w14:val="tx1"/>
                  </w14:solidFill>
                </w14:textFill>
              </w:rPr>
              <w:t>合计</w:t>
            </w:r>
          </w:p>
        </w:tc>
        <w:tc>
          <w:tcPr>
            <w:tcW w:w="1839" w:type="dxa"/>
          </w:tcPr>
          <w:p w14:paraId="32EFB3F1">
            <w:pPr>
              <w:numPr>
                <w:ilvl w:val="0"/>
                <w:numId w:val="0"/>
              </w:numPr>
              <w:spacing w:line="360" w:lineRule="auto"/>
              <w:jc w:val="center"/>
              <w:outlineLvl w:val="9"/>
              <w:rPr>
                <w:rFonts w:hint="default" w:ascii="宋体" w:hAnsi="宋体" w:eastAsia="宋体" w:cs="宋体"/>
                <w:b/>
                <w:bCs/>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b/>
                <w:bCs/>
                <w:color w:val="000000" w:themeColor="text1"/>
                <w:kern w:val="44"/>
                <w:sz w:val="28"/>
                <w:szCs w:val="28"/>
                <w:highlight w:val="none"/>
                <w:vertAlign w:val="baseline"/>
                <w:lang w:val="en-US" w:eastAsia="zh-CN"/>
                <w14:textFill>
                  <w14:solidFill>
                    <w14:schemeClr w14:val="tx1"/>
                  </w14:solidFill>
                </w14:textFill>
              </w:rPr>
              <w:t>100</w:t>
            </w:r>
          </w:p>
        </w:tc>
        <w:tc>
          <w:tcPr>
            <w:tcW w:w="2422" w:type="dxa"/>
          </w:tcPr>
          <w:p w14:paraId="5CDCB8B3">
            <w:pPr>
              <w:numPr>
                <w:ilvl w:val="0"/>
                <w:numId w:val="0"/>
              </w:numPr>
              <w:spacing w:line="360" w:lineRule="auto"/>
              <w:jc w:val="center"/>
              <w:outlineLvl w:val="9"/>
              <w:rPr>
                <w:rFonts w:hint="default" w:ascii="宋体" w:hAnsi="宋体" w:eastAsia="宋体" w:cs="宋体"/>
                <w:b/>
                <w:bCs/>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b/>
                <w:bCs/>
                <w:color w:val="000000" w:themeColor="text1"/>
                <w:kern w:val="44"/>
                <w:sz w:val="28"/>
                <w:szCs w:val="28"/>
                <w:highlight w:val="none"/>
                <w:vertAlign w:val="baseline"/>
                <w:lang w:val="en-US" w:eastAsia="zh-CN"/>
                <w14:textFill>
                  <w14:solidFill>
                    <w14:schemeClr w14:val="tx1"/>
                  </w14:solidFill>
                </w14:textFill>
              </w:rPr>
              <w:t>88.29</w:t>
            </w:r>
          </w:p>
        </w:tc>
        <w:tc>
          <w:tcPr>
            <w:tcW w:w="2131" w:type="dxa"/>
          </w:tcPr>
          <w:p w14:paraId="2BD2BC38">
            <w:pPr>
              <w:numPr>
                <w:ilvl w:val="0"/>
                <w:numId w:val="0"/>
              </w:numPr>
              <w:spacing w:line="360" w:lineRule="auto"/>
              <w:jc w:val="center"/>
              <w:outlineLvl w:val="9"/>
              <w:rPr>
                <w:rFonts w:hint="default" w:ascii="宋体" w:hAnsi="宋体" w:eastAsia="宋体" w:cs="宋体"/>
                <w:b/>
                <w:bCs/>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b/>
                <w:bCs/>
                <w:color w:val="000000" w:themeColor="text1"/>
                <w:kern w:val="44"/>
                <w:sz w:val="28"/>
                <w:szCs w:val="28"/>
                <w:highlight w:val="none"/>
                <w:vertAlign w:val="baseline"/>
                <w:lang w:val="en-US" w:eastAsia="zh-CN"/>
                <w14:textFill>
                  <w14:solidFill>
                    <w14:schemeClr w14:val="tx1"/>
                  </w14:solidFill>
                </w14:textFill>
              </w:rPr>
              <w:t>74</w:t>
            </w:r>
          </w:p>
        </w:tc>
      </w:tr>
    </w:tbl>
    <w:p w14:paraId="49CC24CA">
      <w:pPr>
        <w:numPr>
          <w:ilvl w:val="0"/>
          <w:numId w:val="0"/>
        </w:numPr>
        <w:spacing w:line="360" w:lineRule="auto"/>
        <w:ind w:firstLine="560" w:firstLineChars="200"/>
        <w:jc w:val="left"/>
        <w:outlineLvl w:val="9"/>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根据相关办法，绩效评价结果实行百分制、四级分类，分别是 90(含)-100分为优、80(含)-90分为良，60(含)-80分为中，60分以下为差。</w:t>
      </w:r>
    </w:p>
    <w:p w14:paraId="4EB8BA40">
      <w:pPr>
        <w:numPr>
          <w:ilvl w:val="0"/>
          <w:numId w:val="0"/>
        </w:numPr>
        <w:spacing w:line="360" w:lineRule="auto"/>
        <w:ind w:firstLine="560" w:firstLineChars="200"/>
        <w:jc w:val="left"/>
        <w:outlineLvl w:val="9"/>
        <w:rPr>
          <w:rFonts w:hint="eastAsia" w:ascii="宋体" w:hAnsi="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陕州区王寨路桥工程绩效评价综合评分为</w:t>
      </w:r>
      <w:r>
        <w:rPr>
          <w:rFonts w:hint="eastAsia" w:ascii="宋体" w:hAnsi="宋体" w:cs="宋体"/>
          <w:color w:val="000000" w:themeColor="text1"/>
          <w:kern w:val="44"/>
          <w:sz w:val="28"/>
          <w:szCs w:val="28"/>
          <w:highlight w:val="none"/>
          <w:lang w:val="en-US" w:eastAsia="zh-CN"/>
          <w14:textFill>
            <w14:solidFill>
              <w14:schemeClr w14:val="tx1"/>
            </w14:solidFill>
          </w14:textFill>
        </w:rPr>
        <w:t>88.29</w:t>
      </w: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分</w:t>
      </w:r>
      <w:r>
        <w:rPr>
          <w:rFonts w:hint="eastAsia" w:ascii="宋体" w:hAnsi="宋体" w:cs="宋体"/>
          <w:color w:val="000000" w:themeColor="text1"/>
          <w:kern w:val="44"/>
          <w:sz w:val="28"/>
          <w:szCs w:val="28"/>
          <w:highlight w:val="none"/>
          <w:lang w:val="en-US" w:eastAsia="zh-CN"/>
          <w14:textFill>
            <w14:solidFill>
              <w14:schemeClr w14:val="tx1"/>
            </w14:solidFill>
          </w14:textFill>
        </w:rPr>
        <w:t>；陕州区金华路道路工程</w:t>
      </w: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绩效评价综合评分为</w:t>
      </w:r>
      <w:r>
        <w:rPr>
          <w:rFonts w:hint="eastAsia" w:ascii="宋体" w:hAnsi="宋体" w:cs="宋体"/>
          <w:color w:val="000000" w:themeColor="text1"/>
          <w:kern w:val="44"/>
          <w:sz w:val="28"/>
          <w:szCs w:val="28"/>
          <w:highlight w:val="none"/>
          <w:lang w:val="en-US" w:eastAsia="zh-CN"/>
          <w14:textFill>
            <w14:solidFill>
              <w14:schemeClr w14:val="tx1"/>
            </w14:solidFill>
          </w14:textFill>
        </w:rPr>
        <w:t>74</w:t>
      </w: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分</w:t>
      </w:r>
      <w:r>
        <w:rPr>
          <w:rFonts w:hint="eastAsia" w:ascii="宋体" w:hAnsi="宋体" w:cs="宋体"/>
          <w:color w:val="000000" w:themeColor="text1"/>
          <w:kern w:val="44"/>
          <w:sz w:val="28"/>
          <w:szCs w:val="28"/>
          <w:highlight w:val="none"/>
          <w:lang w:val="en-US" w:eastAsia="zh-CN"/>
          <w14:textFill>
            <w14:solidFill>
              <w14:schemeClr w14:val="tx1"/>
            </w14:solidFill>
          </w14:textFill>
        </w:rPr>
        <w:t>。</w:t>
      </w:r>
    </w:p>
    <w:p w14:paraId="5C607CC8">
      <w:pPr>
        <w:numPr>
          <w:ilvl w:val="0"/>
          <w:numId w:val="0"/>
        </w:numPr>
        <w:spacing w:line="360" w:lineRule="auto"/>
        <w:ind w:firstLine="560" w:firstLineChars="200"/>
        <w:jc w:val="left"/>
        <w:outlineLvl w:val="9"/>
        <w:rPr>
          <w:rFonts w:hint="eastAsia" w:ascii="宋体" w:hAnsi="宋体" w:cs="宋体"/>
          <w:color w:val="000000" w:themeColor="text1"/>
          <w:kern w:val="44"/>
          <w:sz w:val="28"/>
          <w:szCs w:val="28"/>
          <w:highlight w:val="none"/>
          <w:lang w:val="en-US" w:eastAsia="zh-CN"/>
          <w14:textFill>
            <w14:solidFill>
              <w14:schemeClr w14:val="tx1"/>
            </w14:solidFill>
          </w14:textFill>
        </w:rPr>
      </w:pPr>
      <w:r>
        <w:rPr>
          <w:rFonts w:hint="eastAsia" w:ascii="宋体" w:hAnsi="宋体" w:cs="宋体"/>
          <w:color w:val="000000" w:themeColor="text1"/>
          <w:kern w:val="44"/>
          <w:sz w:val="28"/>
          <w:szCs w:val="28"/>
          <w:highlight w:val="none"/>
          <w:lang w:val="en-US" w:eastAsia="zh-CN"/>
          <w14:textFill>
            <w14:solidFill>
              <w14:schemeClr w14:val="tx1"/>
            </w14:solidFill>
          </w14:textFill>
        </w:rPr>
        <w:t>综上：王寨路、金华路跨金水河桥梁工程项目</w:t>
      </w: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绩效评价综合评分</w:t>
      </w:r>
      <w:r>
        <w:rPr>
          <w:rFonts w:hint="eastAsia" w:ascii="宋体" w:hAnsi="宋体" w:cs="宋体"/>
          <w:color w:val="000000" w:themeColor="text1"/>
          <w:kern w:val="44"/>
          <w:sz w:val="28"/>
          <w:szCs w:val="28"/>
          <w:highlight w:val="none"/>
          <w:lang w:val="en-US" w:eastAsia="zh-CN"/>
          <w14:textFill>
            <w14:solidFill>
              <w14:schemeClr w14:val="tx1"/>
            </w14:solidFill>
          </w14:textFill>
        </w:rPr>
        <w:t>（88.29+74）/2=81.15分，等级：良。</w:t>
      </w:r>
    </w:p>
    <w:p w14:paraId="484CB29C">
      <w:pPr>
        <w:numPr>
          <w:ilvl w:val="0"/>
          <w:numId w:val="1"/>
        </w:numPr>
        <w:spacing w:line="360" w:lineRule="auto"/>
        <w:ind w:left="0" w:leftChars="0" w:firstLine="283" w:firstLineChars="0"/>
        <w:jc w:val="left"/>
        <w:outlineLvl w:val="0"/>
        <w:rPr>
          <w:rFonts w:hint="eastAsia" w:ascii="宋体" w:hAnsi="宋体" w:eastAsia="宋体" w:cs="宋体"/>
          <w:b/>
          <w:bCs/>
          <w:snapToGrid w:val="0"/>
          <w:color w:val="000000" w:themeColor="text1"/>
          <w:kern w:val="0"/>
          <w:sz w:val="28"/>
          <w:szCs w:val="28"/>
          <w14:textFill>
            <w14:solidFill>
              <w14:schemeClr w14:val="tx1"/>
            </w14:solidFill>
          </w14:textFill>
        </w:rPr>
      </w:pPr>
      <w:bookmarkStart w:id="30" w:name="_Toc17938"/>
      <w:r>
        <w:rPr>
          <w:rFonts w:hint="eastAsia" w:ascii="宋体" w:hAnsi="宋体" w:eastAsia="宋体" w:cs="宋体"/>
          <w:b/>
          <w:bCs/>
          <w:snapToGrid w:val="0"/>
          <w:color w:val="000000" w:themeColor="text1"/>
          <w:kern w:val="0"/>
          <w:sz w:val="28"/>
          <w:szCs w:val="28"/>
          <w14:textFill>
            <w14:solidFill>
              <w14:schemeClr w14:val="tx1"/>
            </w14:solidFill>
          </w14:textFill>
        </w:rPr>
        <w:t>存在问题和建议</w:t>
      </w:r>
      <w:bookmarkEnd w:id="30"/>
      <w:bookmarkStart w:id="31" w:name="_Toc169183194"/>
    </w:p>
    <w:p w14:paraId="5934EE4E">
      <w:pPr>
        <w:numPr>
          <w:ilvl w:val="0"/>
          <w:numId w:val="19"/>
        </w:numPr>
        <w:spacing w:line="360" w:lineRule="auto"/>
        <w:ind w:left="0" w:leftChars="0" w:firstLine="283" w:firstLineChars="0"/>
        <w:jc w:val="left"/>
        <w:outlineLvl w:val="1"/>
        <w:rPr>
          <w:rFonts w:hint="default" w:ascii="宋体" w:hAnsi="宋体" w:eastAsia="宋体" w:cs="宋体"/>
          <w:b w:val="0"/>
          <w:bCs w:val="0"/>
          <w:snapToGrid w:val="0"/>
          <w:color w:val="000000" w:themeColor="text1"/>
          <w:kern w:val="0"/>
          <w:sz w:val="28"/>
          <w:szCs w:val="28"/>
          <w:lang w:val="en-US" w:eastAsia="zh-CN"/>
          <w14:textFill>
            <w14:solidFill>
              <w14:schemeClr w14:val="tx1"/>
            </w14:solidFill>
          </w14:textFill>
        </w:rPr>
      </w:pPr>
      <w:bookmarkStart w:id="32" w:name="_Toc19315"/>
      <w:r>
        <w:rPr>
          <w:rFonts w:hint="eastAsia" w:ascii="宋体" w:hAnsi="宋体" w:eastAsia="宋体" w:cs="宋体"/>
          <w:b w:val="0"/>
          <w:bCs w:val="0"/>
          <w:snapToGrid w:val="0"/>
          <w:color w:val="000000" w:themeColor="text1"/>
          <w:kern w:val="0"/>
          <w:sz w:val="28"/>
          <w:szCs w:val="28"/>
          <w:lang w:val="en-US" w:eastAsia="zh-CN"/>
          <w14:textFill>
            <w14:solidFill>
              <w14:schemeClr w14:val="tx1"/>
            </w14:solidFill>
          </w14:textFill>
        </w:rPr>
        <w:t>问题</w:t>
      </w:r>
      <w:bookmarkEnd w:id="32"/>
    </w:p>
    <w:p w14:paraId="4DF6AE0C">
      <w:pPr>
        <w:pStyle w:val="9"/>
        <w:numPr>
          <w:ilvl w:val="0"/>
          <w:numId w:val="0"/>
        </w:numPr>
        <w:ind w:firstLine="560" w:firstLineChars="200"/>
        <w:jc w:val="center"/>
        <w:rPr>
          <w:rFonts w:hint="eastAsia" w:ascii="宋体" w:hAnsi="宋体" w:eastAsia="宋体" w:cs="宋体"/>
          <w:b/>
          <w:bCs/>
          <w:snapToGrid w:val="0"/>
          <w:color w:val="000000" w:themeColor="text1"/>
          <w:kern w:val="0"/>
          <w:sz w:val="28"/>
          <w:szCs w:val="28"/>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王寨路跨金水河桥梁工程项目</w:t>
      </w:r>
    </w:p>
    <w:p w14:paraId="5F34DF4E">
      <w:pPr>
        <w:numPr>
          <w:ilvl w:val="0"/>
          <w:numId w:val="20"/>
        </w:numPr>
        <w:spacing w:line="360" w:lineRule="auto"/>
        <w:ind w:left="0" w:leftChars="0" w:firstLine="283" w:firstLineChars="0"/>
        <w:jc w:val="left"/>
        <w:rPr>
          <w:rFonts w:hint="eastAsia" w:asciiTheme="minorEastAsia" w:hAnsiTheme="minorEastAsia" w:eastAsiaTheme="minorEastAsia" w:cstheme="minorEastAsia"/>
          <w:sz w:val="28"/>
          <w:szCs w:val="28"/>
          <w:highlight w:val="none"/>
          <w:lang w:val="en-US" w:eastAsia="zh-CN"/>
        </w:rPr>
      </w:pP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建设单位制定的</w:t>
      </w:r>
      <w:r>
        <w:rPr>
          <w:rFonts w:hint="eastAsia" w:ascii="宋体" w:hAnsi="宋体" w:cs="宋体"/>
          <w:color w:val="000000" w:themeColor="text1"/>
          <w:kern w:val="44"/>
          <w:sz w:val="28"/>
          <w:szCs w:val="28"/>
          <w:highlight w:val="none"/>
          <w:lang w:val="en-US" w:eastAsia="zh-CN" w:bidi="ar-SA"/>
          <w14:textFill>
            <w14:solidFill>
              <w14:schemeClr w14:val="tx1"/>
            </w14:solidFill>
          </w14:textFill>
        </w:rPr>
        <w:t>绩效目标不完整、指标不合理、定量指标值未能</w:t>
      </w:r>
      <w:r>
        <w:rPr>
          <w:rFonts w:hint="eastAsia" w:asciiTheme="minorEastAsia" w:hAnsiTheme="minorEastAsia" w:eastAsiaTheme="minorEastAsia" w:cstheme="minorEastAsia"/>
          <w:sz w:val="28"/>
          <w:szCs w:val="28"/>
          <w:highlight w:val="none"/>
          <w:lang w:val="en-US" w:eastAsia="zh-CN"/>
        </w:rPr>
        <w:t>提供计算公式不具有考核性、未能提供绩效监控绩效自评资料。</w:t>
      </w:r>
    </w:p>
    <w:p w14:paraId="482ACBDA">
      <w:pPr>
        <w:numPr>
          <w:ilvl w:val="0"/>
          <w:numId w:val="20"/>
        </w:numPr>
        <w:spacing w:line="360" w:lineRule="auto"/>
        <w:ind w:left="0" w:leftChars="0" w:firstLine="283" w:firstLineChars="0"/>
        <w:jc w:val="left"/>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建设单位未能提供项目台账，项目档案资料未编制目录，未整理成册，未单独存放</w:t>
      </w:r>
      <w:r>
        <w:rPr>
          <w:rFonts w:hint="eastAsia" w:ascii="宋体" w:hAnsi="宋体" w:cs="宋体"/>
          <w:color w:val="000000" w:themeColor="text1"/>
          <w:kern w:val="44"/>
          <w:sz w:val="28"/>
          <w:szCs w:val="28"/>
          <w:highlight w:val="none"/>
          <w:lang w:val="en-US" w:eastAsia="zh-CN" w:bidi="ar-SA"/>
          <w14:textFill>
            <w14:solidFill>
              <w14:schemeClr w14:val="tx1"/>
            </w14:solidFill>
          </w14:textFill>
        </w:rPr>
        <w:t>。</w:t>
      </w:r>
    </w:p>
    <w:p w14:paraId="60405D75">
      <w:pPr>
        <w:numPr>
          <w:ilvl w:val="0"/>
          <w:numId w:val="20"/>
        </w:numPr>
        <w:spacing w:line="360" w:lineRule="auto"/>
        <w:ind w:left="0" w:leftChars="0" w:firstLine="283" w:firstLineChars="0"/>
        <w:jc w:val="left"/>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pPr>
      <w:r>
        <w:rPr>
          <w:rFonts w:hint="eastAsia" w:ascii="宋体" w:hAnsi="宋体" w:cs="宋体"/>
          <w:color w:val="000000" w:themeColor="text1"/>
          <w:kern w:val="44"/>
          <w:sz w:val="28"/>
          <w:szCs w:val="28"/>
          <w:highlight w:val="none"/>
          <w:lang w:val="en-US" w:eastAsia="zh-CN" w:bidi="ar-SA"/>
          <w14:textFill>
            <w14:solidFill>
              <w14:schemeClr w14:val="tx1"/>
            </w14:solidFill>
          </w14:textFill>
        </w:rPr>
        <w:t>项目资金到位率较低，未及时到位。</w:t>
      </w:r>
    </w:p>
    <w:p w14:paraId="7F378651">
      <w:pPr>
        <w:numPr>
          <w:ilvl w:val="0"/>
          <w:numId w:val="20"/>
        </w:numPr>
        <w:spacing w:line="360" w:lineRule="auto"/>
        <w:ind w:left="0" w:leftChars="0" w:firstLine="283" w:firstLineChars="0"/>
        <w:jc w:val="left"/>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监理费多支付0.41元</w:t>
      </w:r>
      <w:r>
        <w:rPr>
          <w:rFonts w:hint="eastAsia" w:ascii="宋体" w:hAnsi="宋体" w:cs="宋体"/>
          <w:color w:val="000000" w:themeColor="text1"/>
          <w:kern w:val="44"/>
          <w:sz w:val="28"/>
          <w:szCs w:val="28"/>
          <w:highlight w:val="none"/>
          <w:lang w:val="en-US" w:eastAsia="zh-CN" w:bidi="ar-SA"/>
          <w14:textFill>
            <w14:solidFill>
              <w14:schemeClr w14:val="tx1"/>
            </w14:solidFill>
          </w14:textFill>
        </w:rPr>
        <w:t>，</w:t>
      </w: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监理合同显示，监理费226,930.59元，实际支付226,931.00元，多支付0.41元。</w:t>
      </w:r>
    </w:p>
    <w:p w14:paraId="284B656B">
      <w:pPr>
        <w:numPr>
          <w:ilvl w:val="0"/>
          <w:numId w:val="20"/>
        </w:numPr>
        <w:spacing w:line="360" w:lineRule="auto"/>
        <w:ind w:left="0" w:leftChars="0" w:firstLine="283" w:firstLineChars="0"/>
        <w:jc w:val="left"/>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中匠民大国际工程设计有限公司编制的《三门峡市陕州区王寨路桥工程可行性研究报告》评估报告中</w:t>
      </w:r>
      <w:r>
        <w:rPr>
          <w:rFonts w:hint="eastAsia" w:ascii="宋体" w:hAnsi="宋体" w:cs="宋体"/>
          <w:color w:val="000000" w:themeColor="text1"/>
          <w:kern w:val="44"/>
          <w:sz w:val="28"/>
          <w:szCs w:val="28"/>
          <w:highlight w:val="none"/>
          <w:lang w:val="en-US" w:eastAsia="zh-CN" w:bidi="ar-SA"/>
          <w14:textFill>
            <w14:solidFill>
              <w14:schemeClr w14:val="tx1"/>
            </w14:solidFill>
          </w14:textFill>
        </w:rPr>
        <w:t>4.6.2申报与审定的投资对比中：申报投资2,391.82万元，审定2,380.85万元，审减10.97万元。</w:t>
      </w: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附件8项目估算评估前后对比表</w:t>
      </w:r>
      <w:r>
        <w:rPr>
          <w:rFonts w:hint="eastAsia" w:ascii="宋体" w:hAnsi="宋体" w:cs="宋体"/>
          <w:color w:val="000000" w:themeColor="text1"/>
          <w:kern w:val="44"/>
          <w:sz w:val="28"/>
          <w:szCs w:val="28"/>
          <w:highlight w:val="none"/>
          <w:lang w:val="en-US" w:eastAsia="zh-CN" w:bidi="ar-SA"/>
          <w14:textFill>
            <w14:solidFill>
              <w14:schemeClr w14:val="tx1"/>
            </w14:solidFill>
          </w14:textFill>
        </w:rPr>
        <w:t>中显示评估前2,380.85万元，评估后2,391.82万元，评审增加10.97万元，二者相互矛盾。</w:t>
      </w:r>
    </w:p>
    <w:p w14:paraId="03DA8461">
      <w:pPr>
        <w:numPr>
          <w:ilvl w:val="0"/>
          <w:numId w:val="20"/>
        </w:numPr>
        <w:spacing w:line="360" w:lineRule="auto"/>
        <w:ind w:left="0" w:leftChars="0" w:firstLine="283" w:firstLineChars="0"/>
        <w:jc w:val="left"/>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pPr>
      <w:r>
        <w:rPr>
          <w:rFonts w:hint="eastAsia" w:ascii="宋体" w:hAnsi="宋体" w:cs="宋体"/>
          <w:color w:val="000000" w:themeColor="text1"/>
          <w:kern w:val="44"/>
          <w:sz w:val="28"/>
          <w:szCs w:val="28"/>
          <w:highlight w:val="none"/>
          <w:lang w:val="en-US" w:eastAsia="zh-CN" w:bidi="ar-SA"/>
          <w14:textFill>
            <w14:solidFill>
              <w14:schemeClr w14:val="tx1"/>
            </w14:solidFill>
          </w14:textFill>
        </w:rPr>
        <w:t>2022年6月22日，陕州区财政投资评审中心出具的《</w:t>
      </w: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建设项目投资评审结论</w:t>
      </w:r>
      <w:r>
        <w:rPr>
          <w:rFonts w:hint="eastAsia" w:ascii="宋体" w:hAnsi="宋体" w:cs="宋体"/>
          <w:color w:val="000000" w:themeColor="text1"/>
          <w:kern w:val="44"/>
          <w:sz w:val="28"/>
          <w:szCs w:val="28"/>
          <w:highlight w:val="none"/>
          <w:lang w:val="en-US" w:eastAsia="zh-CN" w:bidi="ar-SA"/>
          <w14:textFill>
            <w14:solidFill>
              <w14:schemeClr w14:val="tx1"/>
            </w14:solidFill>
          </w14:textFill>
        </w:rPr>
        <w:t>》显示原报控制价17,191,533.58元，</w:t>
      </w: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审定控制价17,060,035.23元</w:t>
      </w:r>
      <w:r>
        <w:rPr>
          <w:rFonts w:hint="eastAsia" w:ascii="宋体" w:hAnsi="宋体" w:cs="宋体"/>
          <w:color w:val="000000" w:themeColor="text1"/>
          <w:kern w:val="44"/>
          <w:sz w:val="28"/>
          <w:szCs w:val="28"/>
          <w:highlight w:val="none"/>
          <w:lang w:val="en-US" w:eastAsia="zh-CN" w:bidi="ar-SA"/>
          <w14:textFill>
            <w14:solidFill>
              <w14:schemeClr w14:val="tx1"/>
            </w14:solidFill>
          </w14:textFill>
        </w:rPr>
        <w:t>，综合审减金额131,499.35元。</w:t>
      </w: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原报控制价≠审定控制价+综合审减金额，数字勾稽错误，经查是</w:t>
      </w:r>
      <w:r>
        <w:rPr>
          <w:rFonts w:hint="eastAsia" w:ascii="宋体" w:hAnsi="宋体" w:cs="宋体"/>
          <w:color w:val="000000" w:themeColor="text1"/>
          <w:kern w:val="44"/>
          <w:sz w:val="28"/>
          <w:szCs w:val="28"/>
          <w:highlight w:val="none"/>
          <w:lang w:val="en-US" w:eastAsia="zh-CN" w:bidi="ar-SA"/>
          <w14:textFill>
            <w14:solidFill>
              <w14:schemeClr w14:val="tx1"/>
            </w14:solidFill>
          </w14:textFill>
        </w:rPr>
        <w:t>《</w:t>
      </w: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建设项目投资评审结论</w:t>
      </w:r>
      <w:r>
        <w:rPr>
          <w:rFonts w:hint="eastAsia" w:ascii="宋体" w:hAnsi="宋体" w:cs="宋体"/>
          <w:color w:val="000000" w:themeColor="text1"/>
          <w:kern w:val="44"/>
          <w:sz w:val="28"/>
          <w:szCs w:val="28"/>
          <w:highlight w:val="none"/>
          <w:lang w:val="en-US" w:eastAsia="zh-CN" w:bidi="ar-SA"/>
          <w14:textFill>
            <w14:solidFill>
              <w14:schemeClr w14:val="tx1"/>
            </w14:solidFill>
          </w14:textFill>
        </w:rPr>
        <w:t>》</w:t>
      </w: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的审定控制价书写错误。</w:t>
      </w:r>
    </w:p>
    <w:p w14:paraId="76A4DAE1">
      <w:pPr>
        <w:numPr>
          <w:ilvl w:val="0"/>
          <w:numId w:val="20"/>
        </w:numPr>
        <w:spacing w:line="360" w:lineRule="auto"/>
        <w:ind w:left="0" w:leftChars="0" w:firstLine="283" w:firstLineChars="0"/>
        <w:jc w:val="left"/>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2022年8月1日签订的监理合同，依据《中华人民共和国合同法》签订，合同签订依据有误。2020年5月28日，十三届全国人大三次会议表决通过了《中华人民共和国民法典》，自2021年1月1日起施行，《中华人民共和国合同法》同时废止。</w:t>
      </w:r>
    </w:p>
    <w:p w14:paraId="3AB69175">
      <w:pPr>
        <w:numPr>
          <w:ilvl w:val="0"/>
          <w:numId w:val="20"/>
        </w:numPr>
        <w:spacing w:line="360" w:lineRule="auto"/>
        <w:ind w:left="0" w:leftChars="0" w:firstLine="283" w:firstLineChars="0"/>
        <w:jc w:val="left"/>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陕州区王寨路桥梁工程项目，2022年11月25日竣工，验收报告未写验收完成时间。2024年11月11日委托三门峡市正则工程造价咨询事务所(普通合伙)进行竣工价款结算，2025年4月8日出具结算报告。</w:t>
      </w: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项目竣工价款结算时间过长，不符合“《基本建设财务规则》财政部令81号第二十八条项目建设单位应当严格按照合同约定和工程价款结算程序支付工程款。竣工价款结算一般应当在项目竣工验收后2个月内完成，大型项目一般不得超过3个月。”的规定。</w:t>
      </w:r>
    </w:p>
    <w:p w14:paraId="0342498E">
      <w:pPr>
        <w:numPr>
          <w:ilvl w:val="0"/>
          <w:numId w:val="20"/>
        </w:numPr>
        <w:spacing w:line="360" w:lineRule="auto"/>
        <w:ind w:left="0" w:leftChars="0" w:firstLine="283" w:firstLineChars="0"/>
        <w:jc w:val="left"/>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陕州区王寨路桥梁工程项目，建设单位未能提供《</w:t>
      </w:r>
      <w:r>
        <w:rPr>
          <w:rFonts w:hint="eastAsia" w:ascii="宋体" w:hAnsi="宋体" w:cs="宋体"/>
          <w:color w:val="000000" w:themeColor="text1"/>
          <w:sz w:val="28"/>
          <w:szCs w:val="28"/>
          <w:lang w:val="en-US" w:eastAsia="zh-CN"/>
          <w14:textFill>
            <w14:solidFill>
              <w14:schemeClr w14:val="tx1"/>
            </w14:solidFill>
          </w14:textFill>
        </w:rPr>
        <w:t>竣工</w:t>
      </w:r>
      <w:r>
        <w:rPr>
          <w:rFonts w:hint="eastAsia" w:ascii="宋体" w:hAnsi="宋体" w:eastAsia="宋体" w:cs="宋体"/>
          <w:color w:val="000000" w:themeColor="text1"/>
          <w:sz w:val="28"/>
          <w:szCs w:val="28"/>
          <w:lang w:val="en-US" w:eastAsia="zh-CN"/>
          <w14:textFill>
            <w14:solidFill>
              <w14:schemeClr w14:val="tx1"/>
            </w14:solidFill>
          </w14:textFill>
        </w:rPr>
        <w:t>财务决算报告》，</w:t>
      </w: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不符合“《基本建设财务规则》财政部令81号第三十三条项目建设单位在项目竣工后，应当及时编制项目竣工财务决算，并按照规定报送项目主管部门。”的规定。</w:t>
      </w:r>
    </w:p>
    <w:p w14:paraId="0300783E">
      <w:pPr>
        <w:pStyle w:val="9"/>
        <w:numPr>
          <w:ilvl w:val="0"/>
          <w:numId w:val="0"/>
        </w:numPr>
        <w:ind w:firstLine="560" w:firstLineChars="200"/>
        <w:jc w:val="center"/>
        <w:rPr>
          <w:rFonts w:hint="eastAsia" w:ascii="宋体" w:hAnsi="宋体" w:eastAsia="宋体" w:cs="宋体"/>
          <w:b/>
          <w:bCs/>
          <w:snapToGrid w:val="0"/>
          <w:color w:val="000000" w:themeColor="text1"/>
          <w:kern w:val="0"/>
          <w:sz w:val="28"/>
          <w:szCs w:val="28"/>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陕州区金华路道路工程</w:t>
      </w:r>
    </w:p>
    <w:p w14:paraId="1098A832">
      <w:pPr>
        <w:numPr>
          <w:ilvl w:val="0"/>
          <w:numId w:val="21"/>
        </w:numPr>
        <w:spacing w:line="360" w:lineRule="auto"/>
        <w:ind w:left="0" w:leftChars="0" w:firstLine="283" w:firstLineChars="0"/>
        <w:jc w:val="left"/>
        <w:rPr>
          <w:rFonts w:hint="eastAsia" w:asciiTheme="minorEastAsia" w:hAnsiTheme="minorEastAsia" w:eastAsiaTheme="minorEastAsia" w:cstheme="minorEastAsia"/>
          <w:sz w:val="28"/>
          <w:szCs w:val="28"/>
          <w:highlight w:val="none"/>
          <w:lang w:val="en-US" w:eastAsia="zh-CN"/>
        </w:rPr>
      </w:pP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建设单位制定的</w:t>
      </w:r>
      <w:r>
        <w:rPr>
          <w:rFonts w:hint="eastAsia" w:ascii="宋体" w:hAnsi="宋体" w:cs="宋体"/>
          <w:color w:val="000000" w:themeColor="text1"/>
          <w:kern w:val="44"/>
          <w:sz w:val="28"/>
          <w:szCs w:val="28"/>
          <w:highlight w:val="none"/>
          <w:lang w:val="en-US" w:eastAsia="zh-CN" w:bidi="ar-SA"/>
          <w14:textFill>
            <w14:solidFill>
              <w14:schemeClr w14:val="tx1"/>
            </w14:solidFill>
          </w14:textFill>
        </w:rPr>
        <w:t>绩效目标不完整、指标不合理、定量指标值未能</w:t>
      </w:r>
      <w:r>
        <w:rPr>
          <w:rFonts w:hint="eastAsia" w:asciiTheme="minorEastAsia" w:hAnsiTheme="minorEastAsia" w:eastAsiaTheme="minorEastAsia" w:cstheme="minorEastAsia"/>
          <w:sz w:val="28"/>
          <w:szCs w:val="28"/>
          <w:highlight w:val="none"/>
          <w:lang w:val="en-US" w:eastAsia="zh-CN"/>
        </w:rPr>
        <w:t>提供计算公式不具有考核性、未能提供绩效监控绩效自评资料。</w:t>
      </w:r>
    </w:p>
    <w:p w14:paraId="4F674CA8">
      <w:pPr>
        <w:numPr>
          <w:ilvl w:val="0"/>
          <w:numId w:val="21"/>
        </w:numPr>
        <w:spacing w:line="360" w:lineRule="auto"/>
        <w:ind w:left="0" w:leftChars="0" w:firstLine="283" w:firstLineChars="0"/>
        <w:jc w:val="left"/>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建设单位未能提供项目台账，项目档案资料未编制目录，未整理成册，未单独存放</w:t>
      </w:r>
      <w:r>
        <w:rPr>
          <w:rFonts w:hint="eastAsia" w:ascii="宋体" w:hAnsi="宋体" w:cs="宋体"/>
          <w:color w:val="000000" w:themeColor="text1"/>
          <w:kern w:val="44"/>
          <w:sz w:val="28"/>
          <w:szCs w:val="28"/>
          <w:highlight w:val="none"/>
          <w:lang w:val="en-US" w:eastAsia="zh-CN" w:bidi="ar-SA"/>
          <w14:textFill>
            <w14:solidFill>
              <w14:schemeClr w14:val="tx1"/>
            </w14:solidFill>
          </w14:textFill>
        </w:rPr>
        <w:t>。</w:t>
      </w:r>
    </w:p>
    <w:p w14:paraId="32B1DF87">
      <w:pPr>
        <w:numPr>
          <w:ilvl w:val="0"/>
          <w:numId w:val="21"/>
        </w:numPr>
        <w:spacing w:line="360" w:lineRule="auto"/>
        <w:ind w:left="0" w:leftChars="0" w:firstLine="283" w:firstLineChars="0"/>
        <w:jc w:val="left"/>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pPr>
      <w:r>
        <w:rPr>
          <w:rFonts w:hint="eastAsia" w:ascii="宋体" w:hAnsi="宋体" w:cs="宋体"/>
          <w:color w:val="000000" w:themeColor="text1"/>
          <w:kern w:val="44"/>
          <w:sz w:val="28"/>
          <w:szCs w:val="28"/>
          <w:highlight w:val="none"/>
          <w:lang w:val="en-US" w:eastAsia="zh-CN" w:bidi="ar-SA"/>
          <w14:textFill>
            <w14:solidFill>
              <w14:schemeClr w14:val="tx1"/>
            </w14:solidFill>
          </w14:textFill>
        </w:rPr>
        <w:t>项目资金到位率较低，未及时到位。</w:t>
      </w:r>
    </w:p>
    <w:p w14:paraId="110CF33A">
      <w:pPr>
        <w:numPr>
          <w:ilvl w:val="0"/>
          <w:numId w:val="21"/>
        </w:numPr>
        <w:spacing w:line="360" w:lineRule="auto"/>
        <w:ind w:left="0" w:leftChars="0" w:firstLine="283" w:firstLineChars="0"/>
        <w:jc w:val="left"/>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金华</w:t>
      </w:r>
      <w:r>
        <w:rPr>
          <w:rFonts w:hint="eastAsia" w:ascii="宋体" w:hAnsi="宋体" w:cs="宋体"/>
          <w:color w:val="000000" w:themeColor="text1"/>
          <w:kern w:val="44"/>
          <w:sz w:val="28"/>
          <w:szCs w:val="28"/>
          <w:highlight w:val="none"/>
          <w:lang w:val="en-US" w:eastAsia="zh-CN" w:bidi="ar-SA"/>
          <w14:textFill>
            <w14:solidFill>
              <w14:schemeClr w14:val="tx1"/>
            </w14:solidFill>
          </w14:textFill>
        </w:rPr>
        <w:t>路</w:t>
      </w: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桥</w:t>
      </w:r>
      <w:r>
        <w:rPr>
          <w:rFonts w:hint="eastAsia" w:ascii="宋体" w:hAnsi="宋体" w:cs="宋体"/>
          <w:color w:val="000000" w:themeColor="text1"/>
          <w:kern w:val="44"/>
          <w:sz w:val="28"/>
          <w:szCs w:val="28"/>
          <w:highlight w:val="none"/>
          <w:lang w:val="en-US" w:eastAsia="zh-CN" w:bidi="ar-SA"/>
          <w14:textFill>
            <w14:solidFill>
              <w14:schemeClr w14:val="tx1"/>
            </w14:solidFill>
          </w14:textFill>
        </w:rPr>
        <w:t>虽然</w:t>
      </w: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建成</w:t>
      </w:r>
      <w:r>
        <w:rPr>
          <w:rFonts w:hint="eastAsia" w:ascii="宋体" w:hAnsi="宋体" w:cs="宋体"/>
          <w:color w:val="000000" w:themeColor="text1"/>
          <w:kern w:val="44"/>
          <w:sz w:val="28"/>
          <w:szCs w:val="28"/>
          <w:highlight w:val="none"/>
          <w:lang w:val="en-US" w:eastAsia="zh-CN" w:bidi="ar-SA"/>
          <w14:textFill>
            <w14:solidFill>
              <w14:schemeClr w14:val="tx1"/>
            </w14:solidFill>
          </w14:textFill>
        </w:rPr>
        <w:t>，但是桥两端的道路未施工，导致金华桥</w:t>
      </w: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未运营通车</w:t>
      </w:r>
      <w:r>
        <w:rPr>
          <w:rFonts w:hint="eastAsia" w:ascii="宋体" w:hAnsi="宋体" w:cs="宋体"/>
          <w:color w:val="000000" w:themeColor="text1"/>
          <w:kern w:val="44"/>
          <w:sz w:val="28"/>
          <w:szCs w:val="28"/>
          <w:highlight w:val="none"/>
          <w:lang w:val="en-US" w:eastAsia="zh-CN" w:bidi="ar-SA"/>
          <w14:textFill>
            <w14:solidFill>
              <w14:schemeClr w14:val="tx1"/>
            </w14:solidFill>
          </w14:textFill>
        </w:rPr>
        <w:t>，造成资产闲置，未能产生经济效益、社会效益</w:t>
      </w: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w:t>
      </w:r>
    </w:p>
    <w:p w14:paraId="410BCA05">
      <w:pPr>
        <w:numPr>
          <w:ilvl w:val="0"/>
          <w:numId w:val="21"/>
        </w:numPr>
        <w:spacing w:line="360" w:lineRule="auto"/>
        <w:ind w:left="0" w:leftChars="0" w:firstLine="283" w:firstLineChars="0"/>
        <w:jc w:val="left"/>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2022年签订的招标代理合同，依据《中华人民共和国合同法》签订，合同签订依据有误。2020年5月28日，十三届全国人大三次会议表决通过了《中华人民共和国民法典》，自2021年1月1日起施行，《中华人民共和国合同法》同时废止。</w:t>
      </w:r>
    </w:p>
    <w:p w14:paraId="56F7EBA5">
      <w:pPr>
        <w:numPr>
          <w:ilvl w:val="0"/>
          <w:numId w:val="21"/>
        </w:numPr>
        <w:spacing w:line="360" w:lineRule="auto"/>
        <w:ind w:left="0" w:leftChars="0" w:firstLine="283" w:firstLineChars="0"/>
        <w:jc w:val="left"/>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陕州区</w:t>
      </w:r>
      <w:r>
        <w:rPr>
          <w:rFonts w:hint="eastAsia" w:ascii="宋体" w:hAnsi="宋体" w:cs="宋体"/>
          <w:color w:val="000000" w:themeColor="text1"/>
          <w:sz w:val="28"/>
          <w:szCs w:val="28"/>
          <w:lang w:val="en-US" w:eastAsia="zh-CN"/>
          <w14:textFill>
            <w14:solidFill>
              <w14:schemeClr w14:val="tx1"/>
            </w14:solidFill>
          </w14:textFill>
        </w:rPr>
        <w:t>金华</w:t>
      </w:r>
      <w:r>
        <w:rPr>
          <w:rFonts w:hint="eastAsia" w:ascii="宋体" w:hAnsi="宋体" w:eastAsia="宋体" w:cs="宋体"/>
          <w:color w:val="000000" w:themeColor="text1"/>
          <w:sz w:val="28"/>
          <w:szCs w:val="28"/>
          <w:lang w:val="en-US" w:eastAsia="zh-CN"/>
          <w14:textFill>
            <w14:solidFill>
              <w14:schemeClr w14:val="tx1"/>
            </w14:solidFill>
          </w14:textFill>
        </w:rPr>
        <w:t>路桥梁工程项目，2022年11月28日竣工，2024年10月24日验收。2024年11月11日委托三门峡市正则工程造价咨询事务所(普通合伙)进行竣工价款结算，2025年4月8日出具结算报告。</w:t>
      </w: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项目竣工价款结算时间过长，不符合“《基本建设财务规则》财政部令81号 第二十八条 项目建设单位应当严格按照合同约定和工程价款结算程序支付工程款。竣工价款结算一般应当在项目竣工验收后2个月内完成，大型项目一般不得超过3个月。”的规定。</w:t>
      </w:r>
    </w:p>
    <w:p w14:paraId="0C3A539E">
      <w:pPr>
        <w:numPr>
          <w:ilvl w:val="0"/>
          <w:numId w:val="19"/>
        </w:numPr>
        <w:spacing w:line="360" w:lineRule="auto"/>
        <w:ind w:left="0" w:leftChars="0" w:firstLine="283" w:firstLineChars="0"/>
        <w:jc w:val="left"/>
        <w:outlineLvl w:val="1"/>
        <w:rPr>
          <w:rFonts w:hint="eastAsia" w:ascii="宋体" w:hAnsi="宋体" w:eastAsia="宋体" w:cs="宋体"/>
          <w:b w:val="0"/>
          <w:bCs w:val="0"/>
          <w:snapToGrid w:val="0"/>
          <w:color w:val="000000" w:themeColor="text1"/>
          <w:kern w:val="0"/>
          <w:sz w:val="28"/>
          <w:szCs w:val="28"/>
          <w:lang w:val="en-US" w:eastAsia="zh-CN"/>
          <w14:textFill>
            <w14:solidFill>
              <w14:schemeClr w14:val="tx1"/>
            </w14:solidFill>
          </w14:textFill>
        </w:rPr>
      </w:pPr>
      <w:bookmarkStart w:id="33" w:name="_Toc11585"/>
      <w:r>
        <w:rPr>
          <w:rFonts w:hint="eastAsia" w:ascii="宋体" w:hAnsi="宋体" w:eastAsia="宋体" w:cs="宋体"/>
          <w:b w:val="0"/>
          <w:bCs w:val="0"/>
          <w:snapToGrid w:val="0"/>
          <w:color w:val="000000" w:themeColor="text1"/>
          <w:kern w:val="0"/>
          <w:sz w:val="28"/>
          <w:szCs w:val="28"/>
          <w:lang w:val="en-US" w:eastAsia="zh-CN"/>
          <w14:textFill>
            <w14:solidFill>
              <w14:schemeClr w14:val="tx1"/>
            </w14:solidFill>
          </w14:textFill>
        </w:rPr>
        <w:t>建议</w:t>
      </w:r>
      <w:bookmarkEnd w:id="33"/>
    </w:p>
    <w:p w14:paraId="2CE4C2AA">
      <w:pPr>
        <w:numPr>
          <w:ilvl w:val="0"/>
          <w:numId w:val="22"/>
        </w:numPr>
        <w:spacing w:line="360" w:lineRule="auto"/>
        <w:ind w:left="0" w:leftChars="0" w:firstLine="283" w:firstLineChars="0"/>
        <w:jc w:val="left"/>
        <w:rPr>
          <w:rFonts w:hint="default" w:asciiTheme="minorEastAsia" w:hAnsiTheme="minorEastAsia" w:eastAsiaTheme="minorEastAsia" w:cstheme="minorEastAsia"/>
          <w:sz w:val="28"/>
          <w:szCs w:val="28"/>
          <w:highlight w:val="none"/>
          <w:lang w:val="en-US" w:eastAsia="zh-CN"/>
        </w:rPr>
      </w:pPr>
      <w:r>
        <w:rPr>
          <w:rFonts w:hint="eastAsia" w:ascii="宋体" w:hAnsi="宋体" w:eastAsia="宋体" w:cs="宋体"/>
          <w:color w:val="000000" w:themeColor="text1"/>
          <w:sz w:val="28"/>
          <w:szCs w:val="28"/>
          <w:lang w:val="en-US" w:eastAsia="zh-CN"/>
          <w14:textFill>
            <w14:solidFill>
              <w14:schemeClr w14:val="tx1"/>
            </w14:solidFill>
          </w14:textFill>
        </w:rPr>
        <w:t>绩效目标的构成应是：完成什么工作+达成什么效果、解决什么需求、解决什么问题。</w:t>
      </w:r>
      <w:r>
        <w:rPr>
          <w:rFonts w:hint="default" w:asciiTheme="minorEastAsia" w:hAnsiTheme="minorEastAsia" w:eastAsiaTheme="minorEastAsia" w:cstheme="minorEastAsia"/>
          <w:sz w:val="28"/>
          <w:szCs w:val="28"/>
          <w:highlight w:val="none"/>
          <w:lang w:val="en-US" w:eastAsia="zh-CN"/>
        </w:rPr>
        <w:t>绩效目标是总方向：是项目预期实现的总体成果，回答“项目要达成什么效果”的问题，具有宏观性、概括性的特点。绩效指标是细化载体：是衡量绩效目标是否实现的具体标尺，回答“如何衡量目标是否达成”的问题，它将总体目标拆解为可量化、可考核的具体内容，来支撑总体目标的落地。</w:t>
      </w:r>
      <w:r>
        <w:rPr>
          <w:rFonts w:hint="eastAsia" w:asciiTheme="minorEastAsia" w:hAnsiTheme="minorEastAsia" w:eastAsiaTheme="minorEastAsia" w:cstheme="minorEastAsia"/>
          <w:sz w:val="28"/>
          <w:szCs w:val="28"/>
          <w:highlight w:val="none"/>
          <w:lang w:val="en-US" w:eastAsia="zh-CN"/>
        </w:rPr>
        <w:t>希望建设单位加强财政绩效相关知识的学习。</w:t>
      </w:r>
    </w:p>
    <w:p w14:paraId="7F8E12D4">
      <w:pPr>
        <w:numPr>
          <w:ilvl w:val="0"/>
          <w:numId w:val="22"/>
        </w:numPr>
        <w:spacing w:line="360" w:lineRule="auto"/>
        <w:ind w:left="0" w:leftChars="0" w:firstLine="283" w:firstLineChars="0"/>
        <w:jc w:val="left"/>
        <w:rPr>
          <w:rFonts w:hint="eastAsia" w:ascii="宋体" w:hAnsi="宋体" w:eastAsia="宋体" w:cs="宋体"/>
          <w:b w:val="0"/>
          <w:bCs w:val="0"/>
          <w:snapToGrid w:val="0"/>
          <w:color w:val="000000" w:themeColor="text1"/>
          <w:kern w:val="0"/>
          <w:sz w:val="28"/>
          <w:szCs w:val="28"/>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sz w:val="28"/>
          <w:szCs w:val="28"/>
          <w:lang w:val="en-US" w:eastAsia="zh-CN"/>
          <w14:textFill>
            <w14:solidFill>
              <w14:schemeClr w14:val="tx1"/>
            </w14:solidFill>
          </w14:textFill>
        </w:rPr>
        <w:t>合同作为明确民事主体权利义务关系的法律文书，是保障市场经济秩序、维护交易双方合法权益的核心工具，其重要性贯穿于经济活动与民事交往的全流程</w:t>
      </w:r>
      <w:r>
        <w:rPr>
          <w:rFonts w:hint="eastAsia" w:ascii="宋体" w:hAnsi="宋体" w:cs="宋体"/>
          <w:b w:val="0"/>
          <w:bCs w:val="0"/>
          <w:snapToGrid w:val="0"/>
          <w:color w:val="000000" w:themeColor="text1"/>
          <w:kern w:val="0"/>
          <w:sz w:val="28"/>
          <w:szCs w:val="28"/>
          <w:lang w:val="en-US" w:eastAsia="zh-CN"/>
          <w14:textFill>
            <w14:solidFill>
              <w14:schemeClr w14:val="tx1"/>
            </w14:solidFill>
          </w14:textFill>
        </w:rPr>
        <w:t>。建议建设单位认真学习合同有关的法律法规、加强合同审核、认识到合同在财务报账环节的重要性。</w:t>
      </w:r>
    </w:p>
    <w:p w14:paraId="04EAEBE5">
      <w:pPr>
        <w:numPr>
          <w:ilvl w:val="0"/>
          <w:numId w:val="22"/>
        </w:numPr>
        <w:spacing w:line="360" w:lineRule="auto"/>
        <w:ind w:left="0" w:leftChars="0" w:firstLine="283" w:firstLineChars="0"/>
        <w:jc w:val="left"/>
        <w:rPr>
          <w:rFonts w:hint="eastAsia" w:ascii="宋体" w:hAnsi="宋体" w:eastAsia="宋体" w:cs="宋体"/>
          <w:b w:val="0"/>
          <w:bCs w:val="0"/>
          <w:snapToGrid w:val="0"/>
          <w:color w:val="000000" w:themeColor="text1"/>
          <w:kern w:val="0"/>
          <w:sz w:val="28"/>
          <w:szCs w:val="28"/>
          <w:lang w:val="en-US" w:eastAsia="zh-CN"/>
          <w14:textFill>
            <w14:solidFill>
              <w14:schemeClr w14:val="tx1"/>
            </w14:solidFill>
          </w14:textFill>
        </w:rPr>
      </w:pPr>
      <w:r>
        <w:rPr>
          <w:rFonts w:hint="eastAsia" w:ascii="宋体" w:hAnsi="宋体" w:cs="宋体"/>
          <w:color w:val="000000" w:themeColor="text1"/>
          <w:kern w:val="44"/>
          <w:sz w:val="28"/>
          <w:szCs w:val="28"/>
          <w:highlight w:val="none"/>
          <w:lang w:val="en-US" w:eastAsia="zh-CN" w:bidi="ar-SA"/>
          <w14:textFill>
            <w14:solidFill>
              <w14:schemeClr w14:val="tx1"/>
            </w14:solidFill>
          </w14:textFill>
        </w:rPr>
        <w:t>金华桥目前</w:t>
      </w: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未运营通车</w:t>
      </w:r>
      <w:r>
        <w:rPr>
          <w:rFonts w:hint="eastAsia" w:ascii="宋体" w:hAnsi="宋体" w:cs="宋体"/>
          <w:color w:val="000000" w:themeColor="text1"/>
          <w:kern w:val="44"/>
          <w:sz w:val="28"/>
          <w:szCs w:val="28"/>
          <w:highlight w:val="none"/>
          <w:lang w:val="en-US" w:eastAsia="zh-CN" w:bidi="ar-SA"/>
          <w14:textFill>
            <w14:solidFill>
              <w14:schemeClr w14:val="tx1"/>
            </w14:solidFill>
          </w14:textFill>
        </w:rPr>
        <w:t>，建议建设单位尽快解决土地问题，桥两端道路建设可以早日开工。</w:t>
      </w:r>
    </w:p>
    <w:p w14:paraId="5E7B1E12">
      <w:pPr>
        <w:numPr>
          <w:ilvl w:val="0"/>
          <w:numId w:val="22"/>
        </w:numPr>
        <w:spacing w:line="360" w:lineRule="auto"/>
        <w:ind w:left="0" w:leftChars="0" w:firstLine="283" w:firstLineChars="0"/>
        <w:jc w:val="left"/>
        <w:rPr>
          <w:rFonts w:hint="eastAsia" w:ascii="宋体" w:hAnsi="宋体" w:eastAsia="宋体" w:cs="宋体"/>
          <w:b w:val="0"/>
          <w:bCs w:val="0"/>
          <w:snapToGrid w:val="0"/>
          <w:color w:val="000000" w:themeColor="text1"/>
          <w:kern w:val="0"/>
          <w:sz w:val="28"/>
          <w:szCs w:val="28"/>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sz w:val="28"/>
          <w:szCs w:val="28"/>
          <w:lang w:val="en-US" w:eastAsia="zh-CN"/>
          <w14:textFill>
            <w14:solidFill>
              <w14:schemeClr w14:val="tx1"/>
            </w14:solidFill>
          </w14:textFill>
        </w:rPr>
        <w:t>工程档案资料整理归档是工程项目全生命周期管理的基础性、闭环性工作，是留存工程建设痕迹、保障后续运维管理、支撑行业规范发展的核心举措，</w:t>
      </w:r>
      <w:r>
        <w:rPr>
          <w:rFonts w:hint="eastAsia" w:ascii="宋体" w:hAnsi="宋体" w:cs="宋体"/>
          <w:color w:val="000000" w:themeColor="text1"/>
          <w:kern w:val="44"/>
          <w:sz w:val="28"/>
          <w:szCs w:val="28"/>
          <w:highlight w:val="none"/>
          <w:lang w:val="en-US" w:eastAsia="zh-CN" w:bidi="ar-SA"/>
          <w14:textFill>
            <w14:solidFill>
              <w14:schemeClr w14:val="tx1"/>
            </w14:solidFill>
          </w14:textFill>
        </w:rPr>
        <w:t>希望建设单位正确认识到工程档案资料整理归档的重要性，认真做好工程档案资料整理归档工作。</w:t>
      </w:r>
    </w:p>
    <w:p w14:paraId="765B1BC6">
      <w:pPr>
        <w:numPr>
          <w:ilvl w:val="0"/>
          <w:numId w:val="22"/>
        </w:numPr>
        <w:spacing w:line="360" w:lineRule="auto"/>
        <w:ind w:left="0" w:leftChars="0" w:firstLine="283" w:firstLineChars="0"/>
        <w:jc w:val="left"/>
        <w:rPr>
          <w:rFonts w:hint="eastAsia" w:ascii="宋体" w:hAnsi="宋体" w:eastAsia="宋体" w:cs="宋体"/>
          <w:b w:val="0"/>
          <w:bCs w:val="0"/>
          <w:snapToGrid w:val="0"/>
          <w:color w:val="000000" w:themeColor="text1"/>
          <w:kern w:val="0"/>
          <w:sz w:val="28"/>
          <w:szCs w:val="28"/>
          <w:lang w:val="en-US" w:eastAsia="zh-CN"/>
          <w14:textFill>
            <w14:solidFill>
              <w14:schemeClr w14:val="tx1"/>
            </w14:solidFill>
          </w14:textFill>
        </w:rPr>
      </w:pPr>
      <w:r>
        <w:rPr>
          <w:rFonts w:hint="eastAsia" w:ascii="宋体" w:hAnsi="宋体" w:cs="宋体"/>
          <w:color w:val="000000" w:themeColor="text1"/>
          <w:kern w:val="44"/>
          <w:sz w:val="28"/>
          <w:szCs w:val="28"/>
          <w:highlight w:val="none"/>
          <w:lang w:val="en-US" w:eastAsia="zh-CN" w:bidi="ar-SA"/>
          <w14:textFill>
            <w14:solidFill>
              <w14:schemeClr w14:val="tx1"/>
            </w14:solidFill>
          </w14:textFill>
        </w:rPr>
        <w:t>竣</w:t>
      </w: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工价款结算</w:t>
      </w:r>
      <w:r>
        <w:rPr>
          <w:rFonts w:hint="eastAsia" w:ascii="宋体" w:hAnsi="宋体" w:cs="宋体"/>
          <w:color w:val="000000" w:themeColor="text1"/>
          <w:kern w:val="44"/>
          <w:sz w:val="28"/>
          <w:szCs w:val="28"/>
          <w:highlight w:val="none"/>
          <w:lang w:val="en-US" w:eastAsia="zh-CN" w:bidi="ar-SA"/>
          <w14:textFill>
            <w14:solidFill>
              <w14:schemeClr w14:val="tx1"/>
            </w14:solidFill>
          </w14:textFill>
        </w:rPr>
        <w:t>、竣工财务决算，是建设工程项目的重要环节，建议建设单位认真学习</w:t>
      </w: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《基本建设财务规则》财政部令81号</w:t>
      </w:r>
      <w:r>
        <w:rPr>
          <w:rFonts w:hint="eastAsia" w:ascii="宋体" w:hAnsi="宋体" w:cs="宋体"/>
          <w:color w:val="000000" w:themeColor="text1"/>
          <w:kern w:val="44"/>
          <w:sz w:val="28"/>
          <w:szCs w:val="28"/>
          <w:highlight w:val="none"/>
          <w:lang w:val="en-US" w:eastAsia="zh-CN" w:bidi="ar-SA"/>
          <w14:textFill>
            <w14:solidFill>
              <w14:schemeClr w14:val="tx1"/>
            </w14:solidFill>
          </w14:textFill>
        </w:rPr>
        <w:t>的相关规定。</w:t>
      </w:r>
    </w:p>
    <w:bookmarkEnd w:id="31"/>
    <w:p w14:paraId="42E62729">
      <w:pPr>
        <w:numPr>
          <w:ilvl w:val="0"/>
          <w:numId w:val="1"/>
        </w:numPr>
        <w:spacing w:line="360" w:lineRule="auto"/>
        <w:ind w:left="0" w:leftChars="0" w:firstLine="283" w:firstLineChars="0"/>
        <w:jc w:val="left"/>
        <w:outlineLvl w:val="0"/>
        <w:rPr>
          <w:rFonts w:hint="eastAsia" w:ascii="宋体" w:hAnsi="宋体" w:eastAsia="宋体" w:cs="宋体"/>
          <w:b/>
          <w:bCs/>
          <w:snapToGrid w:val="0"/>
          <w:color w:val="000000" w:themeColor="text1"/>
          <w:kern w:val="0"/>
          <w:sz w:val="28"/>
          <w:szCs w:val="28"/>
          <w14:textFill>
            <w14:solidFill>
              <w14:schemeClr w14:val="tx1"/>
            </w14:solidFill>
          </w14:textFill>
        </w:rPr>
      </w:pPr>
      <w:bookmarkStart w:id="34" w:name="_Toc13815"/>
      <w:r>
        <w:rPr>
          <w:rFonts w:hint="eastAsia" w:ascii="宋体" w:hAnsi="宋体" w:eastAsia="宋体" w:cs="宋体"/>
          <w:b/>
          <w:bCs/>
          <w:snapToGrid w:val="0"/>
          <w:color w:val="000000" w:themeColor="text1"/>
          <w:kern w:val="0"/>
          <w:sz w:val="28"/>
          <w:szCs w:val="28"/>
          <w14:textFill>
            <w14:solidFill>
              <w14:schemeClr w14:val="tx1"/>
            </w14:solidFill>
          </w14:textFill>
        </w:rPr>
        <w:t>附件</w:t>
      </w:r>
      <w:bookmarkEnd w:id="34"/>
    </w:p>
    <w:p w14:paraId="00F75C6A">
      <w:pPr>
        <w:numPr>
          <w:ilvl w:val="0"/>
          <w:numId w:val="23"/>
        </w:numPr>
        <w:spacing w:line="360" w:lineRule="auto"/>
        <w:ind w:left="0" w:leftChars="0" w:firstLine="283" w:firstLineChars="0"/>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陕州区王寨路桥工程</w:t>
      </w:r>
      <w:r>
        <w:rPr>
          <w:rFonts w:hint="eastAsia" w:ascii="宋体" w:hAnsi="宋体" w:cs="宋体"/>
          <w:color w:val="000000" w:themeColor="text1"/>
          <w:kern w:val="44"/>
          <w:sz w:val="28"/>
          <w:szCs w:val="28"/>
          <w:lang w:val="en-US" w:eastAsia="zh-CN"/>
          <w14:textFill>
            <w14:solidFill>
              <w14:schemeClr w14:val="tx1"/>
            </w14:solidFill>
          </w14:textFill>
        </w:rPr>
        <w:t>现场照片</w:t>
      </w:r>
    </w:p>
    <w:p w14:paraId="198E4C54">
      <w:pPr>
        <w:numPr>
          <w:ilvl w:val="0"/>
          <w:numId w:val="23"/>
        </w:numPr>
        <w:spacing w:line="360" w:lineRule="auto"/>
        <w:ind w:left="0" w:leftChars="0" w:firstLine="283" w:firstLineChars="0"/>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陕州区金华路道路工程</w:t>
      </w:r>
      <w:r>
        <w:rPr>
          <w:rFonts w:hint="eastAsia" w:ascii="宋体" w:hAnsi="宋体" w:cs="宋体"/>
          <w:color w:val="000000" w:themeColor="text1"/>
          <w:kern w:val="44"/>
          <w:sz w:val="28"/>
          <w:szCs w:val="28"/>
          <w:lang w:val="en-US" w:eastAsia="zh-CN"/>
          <w14:textFill>
            <w14:solidFill>
              <w14:schemeClr w14:val="tx1"/>
            </w14:solidFill>
          </w14:textFill>
        </w:rPr>
        <w:t>现场照片</w:t>
      </w:r>
    </w:p>
    <w:p w14:paraId="322883D5">
      <w:pPr>
        <w:numPr>
          <w:ilvl w:val="0"/>
          <w:numId w:val="23"/>
        </w:numPr>
        <w:spacing w:line="360" w:lineRule="auto"/>
        <w:ind w:left="0" w:leftChars="0" w:firstLine="283" w:firstLineChars="0"/>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cs="宋体"/>
          <w:color w:val="000000" w:themeColor="text1"/>
          <w:kern w:val="44"/>
          <w:sz w:val="28"/>
          <w:szCs w:val="28"/>
          <w:lang w:val="en-US" w:eastAsia="zh-CN"/>
          <w14:textFill>
            <w14:solidFill>
              <w14:schemeClr w14:val="tx1"/>
            </w14:solidFill>
          </w14:textFill>
        </w:rPr>
        <w:t>陕州区</w:t>
      </w:r>
      <w:r>
        <w:rPr>
          <w:rFonts w:hint="eastAsia" w:ascii="宋体" w:hAnsi="宋体" w:eastAsia="宋体" w:cs="宋体"/>
          <w:color w:val="000000" w:themeColor="text1"/>
          <w:kern w:val="44"/>
          <w:sz w:val="28"/>
          <w:szCs w:val="28"/>
          <w:lang w:val="en-US" w:eastAsia="zh-CN"/>
          <w14:textFill>
            <w14:solidFill>
              <w14:schemeClr w14:val="tx1"/>
            </w14:solidFill>
          </w14:textFill>
        </w:rPr>
        <w:t>王寨路桥工程</w:t>
      </w:r>
      <w:r>
        <w:rPr>
          <w:rFonts w:hint="eastAsia" w:ascii="宋体" w:hAnsi="宋体" w:cs="宋体"/>
          <w:color w:val="000000" w:themeColor="text1"/>
          <w:kern w:val="44"/>
          <w:sz w:val="28"/>
          <w:szCs w:val="28"/>
          <w:lang w:val="en-US" w:eastAsia="zh-CN"/>
          <w14:textFill>
            <w14:solidFill>
              <w14:schemeClr w14:val="tx1"/>
            </w14:solidFill>
          </w14:textFill>
        </w:rPr>
        <w:t>问卷统计报告</w:t>
      </w:r>
    </w:p>
    <w:p w14:paraId="5E96435B">
      <w:pPr>
        <w:numPr>
          <w:ilvl w:val="0"/>
          <w:numId w:val="23"/>
        </w:numPr>
        <w:spacing w:line="360" w:lineRule="auto"/>
        <w:ind w:left="0" w:leftChars="0" w:firstLine="283" w:firstLineChars="0"/>
        <w:jc w:val="left"/>
        <w:outlineLvl w:val="9"/>
        <w:rPr>
          <w:rFonts w:hint="default"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陕州区金华路道路工程</w:t>
      </w:r>
      <w:r>
        <w:rPr>
          <w:rFonts w:hint="eastAsia" w:ascii="宋体" w:hAnsi="宋体" w:cs="宋体"/>
          <w:color w:val="000000" w:themeColor="text1"/>
          <w:kern w:val="44"/>
          <w:sz w:val="28"/>
          <w:szCs w:val="28"/>
          <w:lang w:val="en-US" w:eastAsia="zh-CN"/>
          <w14:textFill>
            <w14:solidFill>
              <w14:schemeClr w14:val="tx1"/>
            </w14:solidFill>
          </w14:textFill>
        </w:rPr>
        <w:t>问卷统计报告</w:t>
      </w:r>
    </w:p>
    <w:p w14:paraId="4D080D9C">
      <w:pPr>
        <w:numPr>
          <w:ilvl w:val="0"/>
          <w:numId w:val="23"/>
        </w:numPr>
        <w:spacing w:line="360" w:lineRule="auto"/>
        <w:ind w:left="0" w:leftChars="0" w:firstLine="283" w:firstLineChars="0"/>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cs="宋体"/>
          <w:color w:val="000000" w:themeColor="text1"/>
          <w:kern w:val="44"/>
          <w:sz w:val="28"/>
          <w:szCs w:val="28"/>
          <w:lang w:val="en-US" w:eastAsia="zh-CN"/>
          <w14:textFill>
            <w14:solidFill>
              <w14:schemeClr w14:val="tx1"/>
            </w14:solidFill>
          </w14:textFill>
        </w:rPr>
        <w:t>陕州区</w:t>
      </w:r>
      <w:r>
        <w:rPr>
          <w:rFonts w:hint="eastAsia" w:ascii="宋体" w:hAnsi="宋体" w:eastAsia="宋体" w:cs="宋体"/>
          <w:color w:val="000000" w:themeColor="text1"/>
          <w:kern w:val="44"/>
          <w:sz w:val="28"/>
          <w:szCs w:val="28"/>
          <w:lang w:val="en-US" w:eastAsia="zh-CN"/>
          <w14:textFill>
            <w14:solidFill>
              <w14:schemeClr w14:val="tx1"/>
            </w14:solidFill>
          </w14:textFill>
        </w:rPr>
        <w:t>王寨路桥工程</w:t>
      </w:r>
      <w:r>
        <w:rPr>
          <w:rFonts w:hint="eastAsia" w:ascii="宋体" w:hAnsi="宋体" w:cs="宋体"/>
          <w:color w:val="000000" w:themeColor="text1"/>
          <w:kern w:val="44"/>
          <w:sz w:val="28"/>
          <w:szCs w:val="28"/>
          <w:lang w:val="en-US" w:eastAsia="zh-CN"/>
          <w14:textFill>
            <w14:solidFill>
              <w14:schemeClr w14:val="tx1"/>
            </w14:solidFill>
          </w14:textFill>
        </w:rPr>
        <w:t>绩效评价评分表</w:t>
      </w:r>
    </w:p>
    <w:p w14:paraId="2EA8D1D6">
      <w:pPr>
        <w:numPr>
          <w:ilvl w:val="0"/>
          <w:numId w:val="23"/>
        </w:numPr>
        <w:spacing w:line="360" w:lineRule="auto"/>
        <w:ind w:left="0" w:leftChars="0" w:firstLine="283" w:firstLineChars="0"/>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陕州区金华路道路工程</w:t>
      </w:r>
      <w:r>
        <w:rPr>
          <w:rFonts w:hint="eastAsia" w:ascii="宋体" w:hAnsi="宋体" w:cs="宋体"/>
          <w:color w:val="000000" w:themeColor="text1"/>
          <w:kern w:val="44"/>
          <w:sz w:val="28"/>
          <w:szCs w:val="28"/>
          <w:lang w:val="en-US" w:eastAsia="zh-CN"/>
          <w14:textFill>
            <w14:solidFill>
              <w14:schemeClr w14:val="tx1"/>
            </w14:solidFill>
          </w14:textFill>
        </w:rPr>
        <w:t>绩效评价评分表</w:t>
      </w:r>
    </w:p>
    <w:p w14:paraId="2E3B261D">
      <w:pPr>
        <w:numPr>
          <w:ilvl w:val="0"/>
          <w:numId w:val="23"/>
        </w:numPr>
        <w:spacing w:line="360" w:lineRule="auto"/>
        <w:ind w:left="0" w:leftChars="0" w:firstLine="283" w:firstLineChars="0"/>
        <w:jc w:val="left"/>
        <w:outlineLvl w:val="9"/>
        <w:rPr>
          <w:rFonts w:hint="default"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cs="宋体"/>
          <w:color w:val="000000" w:themeColor="text1"/>
          <w:kern w:val="44"/>
          <w:sz w:val="28"/>
          <w:szCs w:val="28"/>
          <w:lang w:val="en-US" w:eastAsia="zh-CN"/>
          <w14:textFill>
            <w14:solidFill>
              <w14:schemeClr w14:val="tx1"/>
            </w14:solidFill>
          </w14:textFill>
        </w:rPr>
        <w:t>项目组成员资质证书</w:t>
      </w:r>
    </w:p>
    <w:p w14:paraId="40852A95">
      <w:pPr>
        <w:widowControl w:val="0"/>
        <w:numPr>
          <w:ilvl w:val="0"/>
          <w:numId w:val="0"/>
        </w:numPr>
        <w:spacing w:line="360" w:lineRule="auto"/>
        <w:jc w:val="left"/>
        <w:outlineLvl w:val="1"/>
        <w:rPr>
          <w:rFonts w:hint="eastAsia" w:ascii="宋体" w:hAnsi="宋体" w:cs="宋体"/>
          <w:color w:val="000000" w:themeColor="text1"/>
          <w:kern w:val="44"/>
          <w:sz w:val="28"/>
          <w:szCs w:val="28"/>
          <w:lang w:val="en-US" w:eastAsia="zh-CN"/>
          <w14:textFill>
            <w14:solidFill>
              <w14:schemeClr w14:val="tx1"/>
            </w14:solidFill>
          </w14:textFill>
        </w:rPr>
      </w:pPr>
    </w:p>
    <w:p w14:paraId="209D8D59">
      <w:pPr>
        <w:widowControl w:val="0"/>
        <w:numPr>
          <w:ilvl w:val="0"/>
          <w:numId w:val="0"/>
        </w:numPr>
        <w:spacing w:line="360" w:lineRule="auto"/>
        <w:jc w:val="left"/>
        <w:outlineLvl w:val="1"/>
        <w:rPr>
          <w:rFonts w:hint="eastAsia" w:ascii="宋体" w:hAnsi="宋体" w:cs="宋体"/>
          <w:color w:val="000000" w:themeColor="text1"/>
          <w:kern w:val="44"/>
          <w:sz w:val="28"/>
          <w:szCs w:val="28"/>
          <w:lang w:val="en-US" w:eastAsia="zh-CN"/>
          <w14:textFill>
            <w14:solidFill>
              <w14:schemeClr w14:val="tx1"/>
            </w14:solidFill>
          </w14:textFill>
        </w:rPr>
      </w:pPr>
    </w:p>
    <w:p w14:paraId="2D675471">
      <w:pPr>
        <w:widowControl w:val="0"/>
        <w:numPr>
          <w:ilvl w:val="0"/>
          <w:numId w:val="0"/>
        </w:numPr>
        <w:spacing w:line="360" w:lineRule="auto"/>
        <w:jc w:val="right"/>
        <w:outlineLvl w:val="1"/>
        <w:rPr>
          <w:rFonts w:hint="default" w:ascii="宋体" w:hAnsi="宋体" w:cs="宋体"/>
          <w:color w:val="000000" w:themeColor="text1"/>
          <w:kern w:val="44"/>
          <w:sz w:val="28"/>
          <w:szCs w:val="28"/>
          <w:lang w:val="en-US" w:eastAsia="zh-CN"/>
          <w14:textFill>
            <w14:solidFill>
              <w14:schemeClr w14:val="tx1"/>
            </w14:solidFill>
          </w14:textFill>
        </w:rPr>
      </w:pPr>
      <w:r>
        <w:rPr>
          <w:rFonts w:hint="eastAsia" w:ascii="宋体" w:hAnsi="宋体" w:cs="宋体"/>
          <w:color w:val="000000" w:themeColor="text1"/>
          <w:kern w:val="44"/>
          <w:sz w:val="28"/>
          <w:szCs w:val="28"/>
          <w:lang w:val="en-US" w:eastAsia="zh-CN"/>
          <w14:textFill>
            <w14:solidFill>
              <w14:schemeClr w14:val="tx1"/>
            </w14:solidFill>
          </w14:textFill>
        </w:rPr>
        <w:t>河南德友会计师事务所（普通合伙）</w:t>
      </w:r>
    </w:p>
    <w:p w14:paraId="27BD901C">
      <w:pPr>
        <w:widowControl w:val="0"/>
        <w:numPr>
          <w:ilvl w:val="0"/>
          <w:numId w:val="0"/>
        </w:numPr>
        <w:spacing w:line="360" w:lineRule="auto"/>
        <w:jc w:val="center"/>
        <w:outlineLvl w:val="1"/>
        <w:rPr>
          <w:rFonts w:hint="default" w:ascii="宋体" w:hAnsi="宋体" w:cs="宋体"/>
          <w:color w:val="000000" w:themeColor="text1"/>
          <w:kern w:val="44"/>
          <w:sz w:val="28"/>
          <w:szCs w:val="28"/>
          <w:lang w:val="en-US" w:eastAsia="zh-CN"/>
          <w14:textFill>
            <w14:solidFill>
              <w14:schemeClr w14:val="tx1"/>
            </w14:solidFill>
          </w14:textFill>
        </w:rPr>
      </w:pPr>
      <w:r>
        <w:rPr>
          <w:rFonts w:hint="eastAsia" w:ascii="宋体" w:hAnsi="宋体" w:cs="宋体"/>
          <w:color w:val="000000" w:themeColor="text1"/>
          <w:kern w:val="44"/>
          <w:sz w:val="28"/>
          <w:szCs w:val="28"/>
          <w:lang w:val="en-US" w:eastAsia="zh-CN"/>
          <w14:textFill>
            <w14:solidFill>
              <w14:schemeClr w14:val="tx1"/>
            </w14:solidFill>
          </w14:textFill>
        </w:rPr>
        <w:t xml:space="preserve">                       2025年12月23日</w:t>
      </w:r>
    </w:p>
    <w:p w14:paraId="4EF6C538">
      <w:pPr>
        <w:widowControl w:val="0"/>
        <w:numPr>
          <w:ilvl w:val="0"/>
          <w:numId w:val="0"/>
        </w:numPr>
        <w:spacing w:line="360" w:lineRule="auto"/>
        <w:jc w:val="left"/>
        <w:outlineLvl w:val="1"/>
        <w:rPr>
          <w:rFonts w:hint="eastAsia" w:ascii="宋体" w:hAnsi="宋体" w:cs="宋体"/>
          <w:color w:val="000000" w:themeColor="text1"/>
          <w:kern w:val="44"/>
          <w:sz w:val="28"/>
          <w:szCs w:val="28"/>
          <w:lang w:val="en-US" w:eastAsia="zh-CN"/>
          <w14:textFill>
            <w14:solidFill>
              <w14:schemeClr w14:val="tx1"/>
            </w14:solidFill>
          </w14:textFill>
        </w:rPr>
      </w:pPr>
    </w:p>
    <w:p w14:paraId="68960F5C">
      <w:pPr>
        <w:widowControl w:val="0"/>
        <w:numPr>
          <w:ilvl w:val="0"/>
          <w:numId w:val="0"/>
        </w:numPr>
        <w:spacing w:line="360" w:lineRule="auto"/>
        <w:jc w:val="left"/>
        <w:outlineLvl w:val="1"/>
        <w:rPr>
          <w:rFonts w:hint="eastAsia" w:ascii="宋体" w:hAnsi="宋体" w:cs="宋体"/>
          <w:color w:val="000000" w:themeColor="text1"/>
          <w:kern w:val="44"/>
          <w:sz w:val="28"/>
          <w:szCs w:val="28"/>
          <w:lang w:val="en-US" w:eastAsia="zh-CN"/>
          <w14:textFill>
            <w14:solidFill>
              <w14:schemeClr w14:val="tx1"/>
            </w14:solidFill>
          </w14:textFill>
        </w:rPr>
      </w:pPr>
    </w:p>
    <w:p w14:paraId="2CBAB3C6">
      <w:pPr>
        <w:widowControl w:val="0"/>
        <w:numPr>
          <w:ilvl w:val="0"/>
          <w:numId w:val="0"/>
        </w:numPr>
        <w:spacing w:line="360" w:lineRule="auto"/>
        <w:jc w:val="left"/>
        <w:outlineLvl w:val="1"/>
        <w:rPr>
          <w:rFonts w:hint="eastAsia" w:ascii="宋体" w:hAnsi="宋体" w:cs="宋体"/>
          <w:color w:val="000000" w:themeColor="text1"/>
          <w:kern w:val="44"/>
          <w:sz w:val="28"/>
          <w:szCs w:val="28"/>
          <w:lang w:val="en-US" w:eastAsia="zh-CN"/>
          <w14:textFill>
            <w14:solidFill>
              <w14:schemeClr w14:val="tx1"/>
            </w14:solidFill>
          </w14:textFill>
        </w:rPr>
      </w:pPr>
    </w:p>
    <w:p w14:paraId="1B6EDA39">
      <w:pPr>
        <w:widowControl w:val="0"/>
        <w:numPr>
          <w:ilvl w:val="0"/>
          <w:numId w:val="0"/>
        </w:numPr>
        <w:spacing w:line="360" w:lineRule="auto"/>
        <w:jc w:val="left"/>
        <w:outlineLvl w:val="1"/>
        <w:rPr>
          <w:rFonts w:hint="eastAsia" w:ascii="宋体" w:hAnsi="宋体" w:cs="宋体"/>
          <w:color w:val="000000" w:themeColor="text1"/>
          <w:kern w:val="44"/>
          <w:sz w:val="28"/>
          <w:szCs w:val="28"/>
          <w:lang w:val="en-US" w:eastAsia="zh-CN"/>
          <w14:textFill>
            <w14:solidFill>
              <w14:schemeClr w14:val="tx1"/>
            </w14:solidFill>
          </w14:textFill>
        </w:rPr>
      </w:pPr>
    </w:p>
    <w:p w14:paraId="52043F25">
      <w:pPr>
        <w:numPr>
          <w:ilvl w:val="0"/>
          <w:numId w:val="24"/>
        </w:numPr>
        <w:spacing w:line="360" w:lineRule="auto"/>
        <w:ind w:left="0" w:leftChars="0" w:firstLine="283" w:firstLineChars="0"/>
        <w:jc w:val="left"/>
        <w:outlineLvl w:val="1"/>
        <w:rPr>
          <w:rFonts w:hint="eastAsia" w:ascii="宋体" w:hAnsi="宋体" w:eastAsia="宋体" w:cs="宋体"/>
          <w:color w:val="000000" w:themeColor="text1"/>
          <w:kern w:val="44"/>
          <w:sz w:val="28"/>
          <w:szCs w:val="28"/>
          <w:lang w:val="en-US" w:eastAsia="zh-CN"/>
          <w14:textFill>
            <w14:solidFill>
              <w14:schemeClr w14:val="tx1"/>
            </w14:solidFill>
          </w14:textFill>
        </w:rPr>
      </w:pPr>
      <w:bookmarkStart w:id="35" w:name="_Toc17829"/>
      <w:r>
        <w:rPr>
          <w:rFonts w:hint="eastAsia" w:ascii="宋体" w:hAnsi="宋体" w:eastAsia="宋体" w:cs="宋体"/>
          <w:color w:val="000000" w:themeColor="text1"/>
          <w:kern w:val="44"/>
          <w:sz w:val="28"/>
          <w:szCs w:val="28"/>
          <w:lang w:val="en-US" w:eastAsia="zh-CN"/>
          <w14:textFill>
            <w14:solidFill>
              <w14:schemeClr w14:val="tx1"/>
            </w14:solidFill>
          </w14:textFill>
        </w:rPr>
        <w:t>陕州区王寨路桥工程</w:t>
      </w:r>
      <w:r>
        <w:rPr>
          <w:rFonts w:hint="eastAsia" w:ascii="宋体" w:hAnsi="宋体" w:cs="宋体"/>
          <w:color w:val="000000" w:themeColor="text1"/>
          <w:kern w:val="44"/>
          <w:sz w:val="28"/>
          <w:szCs w:val="28"/>
          <w:lang w:val="en-US" w:eastAsia="zh-CN"/>
          <w14:textFill>
            <w14:solidFill>
              <w14:schemeClr w14:val="tx1"/>
            </w14:solidFill>
          </w14:textFill>
        </w:rPr>
        <w:t>现场照片</w:t>
      </w:r>
      <w:bookmarkEnd w:id="35"/>
    </w:p>
    <w:p w14:paraId="38899A39">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drawing>
          <wp:inline distT="0" distB="0" distL="114300" distR="114300">
            <wp:extent cx="5269865" cy="3737610"/>
            <wp:effectExtent l="0" t="0" r="6985" b="15240"/>
            <wp:docPr id="1" name="图片 1" descr="6152bef3-b50a-466e-9e3c-3064b950bf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152bef3-b50a-466e-9e3c-3064b950bfa9"/>
                    <pic:cNvPicPr>
                      <a:picLocks noChangeAspect="1"/>
                    </pic:cNvPicPr>
                  </pic:nvPicPr>
                  <pic:blipFill>
                    <a:blip r:embed="rId7">
                      <a:lum bright="-6000"/>
                    </a:blip>
                    <a:stretch>
                      <a:fillRect/>
                    </a:stretch>
                  </pic:blipFill>
                  <pic:spPr>
                    <a:xfrm>
                      <a:off x="0" y="0"/>
                      <a:ext cx="5269865" cy="3737610"/>
                    </a:xfrm>
                    <a:prstGeom prst="rect">
                      <a:avLst/>
                    </a:prstGeom>
                  </pic:spPr>
                </pic:pic>
              </a:graphicData>
            </a:graphic>
          </wp:inline>
        </w:drawing>
      </w:r>
    </w:p>
    <w:p w14:paraId="5B9BFE25">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drawing>
          <wp:inline distT="0" distB="0" distL="114300" distR="114300">
            <wp:extent cx="5269865" cy="3728085"/>
            <wp:effectExtent l="0" t="0" r="6985" b="5715"/>
            <wp:docPr id="26" name="图片 26" descr="30ecf7b6-a4e0-4d15-9188-a1c81b6b0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0ecf7b6-a4e0-4d15-9188-a1c81b6b0b0f"/>
                    <pic:cNvPicPr>
                      <a:picLocks noChangeAspect="1"/>
                    </pic:cNvPicPr>
                  </pic:nvPicPr>
                  <pic:blipFill>
                    <a:blip r:embed="rId8"/>
                    <a:stretch>
                      <a:fillRect/>
                    </a:stretch>
                  </pic:blipFill>
                  <pic:spPr>
                    <a:xfrm>
                      <a:off x="0" y="0"/>
                      <a:ext cx="5269865" cy="3728085"/>
                    </a:xfrm>
                    <a:prstGeom prst="rect">
                      <a:avLst/>
                    </a:prstGeom>
                  </pic:spPr>
                </pic:pic>
              </a:graphicData>
            </a:graphic>
          </wp:inline>
        </w:drawing>
      </w:r>
    </w:p>
    <w:p w14:paraId="2A5E3957">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71E62B40">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14218BA6">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drawing>
          <wp:inline distT="0" distB="0" distL="114300" distR="114300">
            <wp:extent cx="5274310" cy="3687445"/>
            <wp:effectExtent l="0" t="0" r="2540" b="8255"/>
            <wp:docPr id="27" name="图片 27" descr="e98ac647-a4ac-44e1-b0ec-26ae7b6fa1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98ac647-a4ac-44e1-b0ec-26ae7b6fa18e"/>
                    <pic:cNvPicPr>
                      <a:picLocks noChangeAspect="1"/>
                    </pic:cNvPicPr>
                  </pic:nvPicPr>
                  <pic:blipFill>
                    <a:blip r:embed="rId9"/>
                    <a:stretch>
                      <a:fillRect/>
                    </a:stretch>
                  </pic:blipFill>
                  <pic:spPr>
                    <a:xfrm>
                      <a:off x="0" y="0"/>
                      <a:ext cx="5274310" cy="3687445"/>
                    </a:xfrm>
                    <a:prstGeom prst="rect">
                      <a:avLst/>
                    </a:prstGeom>
                  </pic:spPr>
                </pic:pic>
              </a:graphicData>
            </a:graphic>
          </wp:inline>
        </w:drawing>
      </w:r>
    </w:p>
    <w:p w14:paraId="6AEC63E0">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7C14F42A">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6DFCA081">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335C970A">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0E43CB60">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710B578C">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4C5735E7">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6B81638F">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0BA911A3">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264172EA">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248CC7D5">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1257F6F7">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65C342E5">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3DD7FF18">
      <w:pPr>
        <w:numPr>
          <w:ilvl w:val="0"/>
          <w:numId w:val="24"/>
        </w:numPr>
        <w:spacing w:line="360" w:lineRule="auto"/>
        <w:ind w:left="0" w:leftChars="0" w:firstLine="283" w:firstLineChars="0"/>
        <w:jc w:val="left"/>
        <w:outlineLvl w:val="1"/>
        <w:rPr>
          <w:rFonts w:hint="eastAsia" w:ascii="宋体" w:hAnsi="宋体" w:eastAsia="宋体" w:cs="宋体"/>
          <w:color w:val="000000" w:themeColor="text1"/>
          <w:kern w:val="44"/>
          <w:sz w:val="28"/>
          <w:szCs w:val="28"/>
          <w:lang w:val="en-US" w:eastAsia="zh-CN"/>
          <w14:textFill>
            <w14:solidFill>
              <w14:schemeClr w14:val="tx1"/>
            </w14:solidFill>
          </w14:textFill>
        </w:rPr>
      </w:pPr>
      <w:bookmarkStart w:id="36" w:name="_Toc15509"/>
      <w:r>
        <w:rPr>
          <w:rFonts w:hint="eastAsia" w:ascii="宋体" w:hAnsi="宋体" w:eastAsia="宋体" w:cs="宋体"/>
          <w:color w:val="000000" w:themeColor="text1"/>
          <w:kern w:val="44"/>
          <w:sz w:val="28"/>
          <w:szCs w:val="28"/>
          <w:lang w:val="en-US" w:eastAsia="zh-CN"/>
          <w14:textFill>
            <w14:solidFill>
              <w14:schemeClr w14:val="tx1"/>
            </w14:solidFill>
          </w14:textFill>
        </w:rPr>
        <w:t>陕州区金华路道路工程现场照片</w:t>
      </w:r>
      <w:bookmarkEnd w:id="36"/>
    </w:p>
    <w:p w14:paraId="29FEF106">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drawing>
          <wp:inline distT="0" distB="0" distL="114300" distR="114300">
            <wp:extent cx="5264785" cy="3947160"/>
            <wp:effectExtent l="0" t="0" r="12065" b="15240"/>
            <wp:docPr id="28" name="图片 28" descr="微信图片_20251222173556_9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51222173556_94_1"/>
                    <pic:cNvPicPr>
                      <a:picLocks noChangeAspect="1"/>
                    </pic:cNvPicPr>
                  </pic:nvPicPr>
                  <pic:blipFill>
                    <a:blip r:embed="rId10"/>
                    <a:stretch>
                      <a:fillRect/>
                    </a:stretch>
                  </pic:blipFill>
                  <pic:spPr>
                    <a:xfrm>
                      <a:off x="0" y="0"/>
                      <a:ext cx="5264785" cy="3947160"/>
                    </a:xfrm>
                    <a:prstGeom prst="rect">
                      <a:avLst/>
                    </a:prstGeom>
                  </pic:spPr>
                </pic:pic>
              </a:graphicData>
            </a:graphic>
          </wp:inline>
        </w:drawing>
      </w:r>
    </w:p>
    <w:p w14:paraId="7A818373">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43658376">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drawing>
          <wp:inline distT="0" distB="0" distL="114300" distR="114300">
            <wp:extent cx="5264785" cy="3947160"/>
            <wp:effectExtent l="0" t="0" r="12065" b="15240"/>
            <wp:docPr id="30" name="图片 30" descr="微信图片_20251222173555_9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51222173555_93_1"/>
                    <pic:cNvPicPr>
                      <a:picLocks noChangeAspect="1"/>
                    </pic:cNvPicPr>
                  </pic:nvPicPr>
                  <pic:blipFill>
                    <a:blip r:embed="rId11"/>
                    <a:stretch>
                      <a:fillRect/>
                    </a:stretch>
                  </pic:blipFill>
                  <pic:spPr>
                    <a:xfrm>
                      <a:off x="0" y="0"/>
                      <a:ext cx="5264785" cy="3947160"/>
                    </a:xfrm>
                    <a:prstGeom prst="rect">
                      <a:avLst/>
                    </a:prstGeom>
                  </pic:spPr>
                </pic:pic>
              </a:graphicData>
            </a:graphic>
          </wp:inline>
        </w:drawing>
      </w:r>
    </w:p>
    <w:p w14:paraId="7453614D">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drawing>
          <wp:inline distT="0" distB="0" distL="114300" distR="114300">
            <wp:extent cx="5264785" cy="3947160"/>
            <wp:effectExtent l="0" t="0" r="12065" b="15240"/>
            <wp:docPr id="31" name="图片 31" descr="微信图片_20251222173559_9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51222173559_96_1"/>
                    <pic:cNvPicPr>
                      <a:picLocks noChangeAspect="1"/>
                    </pic:cNvPicPr>
                  </pic:nvPicPr>
                  <pic:blipFill>
                    <a:blip r:embed="rId12"/>
                    <a:stretch>
                      <a:fillRect/>
                    </a:stretch>
                  </pic:blipFill>
                  <pic:spPr>
                    <a:xfrm>
                      <a:off x="0" y="0"/>
                      <a:ext cx="5264785" cy="3947160"/>
                    </a:xfrm>
                    <a:prstGeom prst="rect">
                      <a:avLst/>
                    </a:prstGeom>
                  </pic:spPr>
                </pic:pic>
              </a:graphicData>
            </a:graphic>
          </wp:inline>
        </w:drawing>
      </w:r>
    </w:p>
    <w:p w14:paraId="1EA706EC">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245A538B">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4310CBCC">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6A895E36">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7B19870C">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0192704A">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58AF0FC1">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3DBD908D">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513383DC">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0C61C2DD">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6AEA86AA">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15A68645">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16574A3A">
      <w:pPr>
        <w:numPr>
          <w:ilvl w:val="0"/>
          <w:numId w:val="24"/>
        </w:numPr>
        <w:spacing w:line="360" w:lineRule="auto"/>
        <w:ind w:left="0" w:leftChars="0" w:firstLine="283" w:firstLineChars="0"/>
        <w:jc w:val="left"/>
        <w:outlineLvl w:val="1"/>
        <w:rPr>
          <w:rFonts w:hint="eastAsia" w:ascii="宋体" w:hAnsi="宋体" w:eastAsia="宋体" w:cs="宋体"/>
          <w:color w:val="000000" w:themeColor="text1"/>
          <w:kern w:val="44"/>
          <w:sz w:val="28"/>
          <w:szCs w:val="28"/>
          <w:lang w:val="en-US" w:eastAsia="zh-CN"/>
          <w14:textFill>
            <w14:solidFill>
              <w14:schemeClr w14:val="tx1"/>
            </w14:solidFill>
          </w14:textFill>
        </w:rPr>
      </w:pPr>
      <w:bookmarkStart w:id="37" w:name="_Toc15241"/>
      <w:r>
        <w:rPr>
          <w:rFonts w:hint="eastAsia" w:ascii="宋体" w:hAnsi="宋体" w:eastAsia="宋体" w:cs="宋体"/>
          <w:color w:val="000000" w:themeColor="text1"/>
          <w:kern w:val="44"/>
          <w:sz w:val="28"/>
          <w:szCs w:val="28"/>
          <w:lang w:val="en-US" w:eastAsia="zh-CN"/>
          <w14:textFill>
            <w14:solidFill>
              <w14:schemeClr w14:val="tx1"/>
            </w14:solidFill>
          </w14:textFill>
        </w:rPr>
        <w:t>陕州区王寨路桥工程问卷统计报告</w:t>
      </w:r>
      <w:bookmarkEnd w:id="37"/>
    </w:p>
    <w:p w14:paraId="3FF24390">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drawing>
          <wp:inline distT="0" distB="0" distL="114300" distR="114300">
            <wp:extent cx="5269230" cy="7452360"/>
            <wp:effectExtent l="0" t="0" r="7620" b="15240"/>
            <wp:docPr id="43" name="图片 43" descr="王寨路问卷报告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王寨路问卷报告_01"/>
                    <pic:cNvPicPr>
                      <a:picLocks noChangeAspect="1"/>
                    </pic:cNvPicPr>
                  </pic:nvPicPr>
                  <pic:blipFill>
                    <a:blip r:embed="rId13"/>
                    <a:stretch>
                      <a:fillRect/>
                    </a:stretch>
                  </pic:blipFill>
                  <pic:spPr>
                    <a:xfrm>
                      <a:off x="0" y="0"/>
                      <a:ext cx="5269230" cy="7452360"/>
                    </a:xfrm>
                    <a:prstGeom prst="rect">
                      <a:avLst/>
                    </a:prstGeom>
                  </pic:spPr>
                </pic:pic>
              </a:graphicData>
            </a:graphic>
          </wp:inline>
        </w:drawing>
      </w:r>
    </w:p>
    <w:p w14:paraId="70AFE17B">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1AE1A25A">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3F75A28A">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drawing>
          <wp:inline distT="0" distB="0" distL="114300" distR="114300">
            <wp:extent cx="5269230" cy="7452360"/>
            <wp:effectExtent l="0" t="0" r="7620" b="15240"/>
            <wp:docPr id="44" name="图片 44" descr="王寨路问卷报告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王寨路问卷报告_02"/>
                    <pic:cNvPicPr>
                      <a:picLocks noChangeAspect="1"/>
                    </pic:cNvPicPr>
                  </pic:nvPicPr>
                  <pic:blipFill>
                    <a:blip r:embed="rId14"/>
                    <a:stretch>
                      <a:fillRect/>
                    </a:stretch>
                  </pic:blipFill>
                  <pic:spPr>
                    <a:xfrm>
                      <a:off x="0" y="0"/>
                      <a:ext cx="5269230" cy="7452360"/>
                    </a:xfrm>
                    <a:prstGeom prst="rect">
                      <a:avLst/>
                    </a:prstGeom>
                  </pic:spPr>
                </pic:pic>
              </a:graphicData>
            </a:graphic>
          </wp:inline>
        </w:drawing>
      </w:r>
    </w:p>
    <w:p w14:paraId="282CC90A">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3680D7C4">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03DA30EB">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3FB338D3">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drawing>
          <wp:inline distT="0" distB="0" distL="114300" distR="114300">
            <wp:extent cx="5269230" cy="7452360"/>
            <wp:effectExtent l="0" t="0" r="7620" b="15240"/>
            <wp:docPr id="45" name="图片 45" descr="王寨路问卷报告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王寨路问卷报告_03"/>
                    <pic:cNvPicPr>
                      <a:picLocks noChangeAspect="1"/>
                    </pic:cNvPicPr>
                  </pic:nvPicPr>
                  <pic:blipFill>
                    <a:blip r:embed="rId15"/>
                    <a:stretch>
                      <a:fillRect/>
                    </a:stretch>
                  </pic:blipFill>
                  <pic:spPr>
                    <a:xfrm>
                      <a:off x="0" y="0"/>
                      <a:ext cx="5269230" cy="7452360"/>
                    </a:xfrm>
                    <a:prstGeom prst="rect">
                      <a:avLst/>
                    </a:prstGeom>
                  </pic:spPr>
                </pic:pic>
              </a:graphicData>
            </a:graphic>
          </wp:inline>
        </w:drawing>
      </w:r>
    </w:p>
    <w:p w14:paraId="47562C02">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0E4698D3">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29D871A3">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6BA6C451">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drawing>
          <wp:inline distT="0" distB="0" distL="114300" distR="114300">
            <wp:extent cx="5269230" cy="7452360"/>
            <wp:effectExtent l="0" t="0" r="7620" b="15240"/>
            <wp:docPr id="47" name="图片 47" descr="王寨路问卷报告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王寨路问卷报告_04"/>
                    <pic:cNvPicPr>
                      <a:picLocks noChangeAspect="1"/>
                    </pic:cNvPicPr>
                  </pic:nvPicPr>
                  <pic:blipFill>
                    <a:blip r:embed="rId16"/>
                    <a:stretch>
                      <a:fillRect/>
                    </a:stretch>
                  </pic:blipFill>
                  <pic:spPr>
                    <a:xfrm>
                      <a:off x="0" y="0"/>
                      <a:ext cx="5269230" cy="7452360"/>
                    </a:xfrm>
                    <a:prstGeom prst="rect">
                      <a:avLst/>
                    </a:prstGeom>
                  </pic:spPr>
                </pic:pic>
              </a:graphicData>
            </a:graphic>
          </wp:inline>
        </w:drawing>
      </w:r>
    </w:p>
    <w:p w14:paraId="3A6876CB">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38A6D6CE">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1D17E0FE">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5E9248EC">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drawing>
          <wp:inline distT="0" distB="0" distL="114300" distR="114300">
            <wp:extent cx="5269230" cy="7452360"/>
            <wp:effectExtent l="0" t="0" r="7620" b="15240"/>
            <wp:docPr id="48" name="图片 48" descr="王寨路问卷报告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王寨路问卷报告_05"/>
                    <pic:cNvPicPr>
                      <a:picLocks noChangeAspect="1"/>
                    </pic:cNvPicPr>
                  </pic:nvPicPr>
                  <pic:blipFill>
                    <a:blip r:embed="rId17"/>
                    <a:stretch>
                      <a:fillRect/>
                    </a:stretch>
                  </pic:blipFill>
                  <pic:spPr>
                    <a:xfrm>
                      <a:off x="0" y="0"/>
                      <a:ext cx="5269230" cy="7452360"/>
                    </a:xfrm>
                    <a:prstGeom prst="rect">
                      <a:avLst/>
                    </a:prstGeom>
                  </pic:spPr>
                </pic:pic>
              </a:graphicData>
            </a:graphic>
          </wp:inline>
        </w:drawing>
      </w:r>
    </w:p>
    <w:p w14:paraId="5521F6B9">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7DF2B413">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7AFAE700">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7998A8D6">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drawing>
          <wp:inline distT="0" distB="0" distL="114300" distR="114300">
            <wp:extent cx="5269230" cy="7452360"/>
            <wp:effectExtent l="0" t="0" r="7620" b="15240"/>
            <wp:docPr id="50" name="图片 50" descr="王寨路问卷报告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王寨路问卷报告_06"/>
                    <pic:cNvPicPr>
                      <a:picLocks noChangeAspect="1"/>
                    </pic:cNvPicPr>
                  </pic:nvPicPr>
                  <pic:blipFill>
                    <a:blip r:embed="rId18"/>
                    <a:stretch>
                      <a:fillRect/>
                    </a:stretch>
                  </pic:blipFill>
                  <pic:spPr>
                    <a:xfrm>
                      <a:off x="0" y="0"/>
                      <a:ext cx="5269230" cy="7452360"/>
                    </a:xfrm>
                    <a:prstGeom prst="rect">
                      <a:avLst/>
                    </a:prstGeom>
                  </pic:spPr>
                </pic:pic>
              </a:graphicData>
            </a:graphic>
          </wp:inline>
        </w:drawing>
      </w:r>
    </w:p>
    <w:p w14:paraId="5EF8D1CE">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6D746ED6">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37630903">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64D9A73E">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drawing>
          <wp:inline distT="0" distB="0" distL="114300" distR="114300">
            <wp:extent cx="5269230" cy="7452360"/>
            <wp:effectExtent l="0" t="0" r="7620" b="15240"/>
            <wp:docPr id="51" name="图片 51" descr="王寨路问卷报告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王寨路问卷报告_07"/>
                    <pic:cNvPicPr>
                      <a:picLocks noChangeAspect="1"/>
                    </pic:cNvPicPr>
                  </pic:nvPicPr>
                  <pic:blipFill>
                    <a:blip r:embed="rId19"/>
                    <a:stretch>
                      <a:fillRect/>
                    </a:stretch>
                  </pic:blipFill>
                  <pic:spPr>
                    <a:xfrm>
                      <a:off x="0" y="0"/>
                      <a:ext cx="5269230" cy="7452360"/>
                    </a:xfrm>
                    <a:prstGeom prst="rect">
                      <a:avLst/>
                    </a:prstGeom>
                  </pic:spPr>
                </pic:pic>
              </a:graphicData>
            </a:graphic>
          </wp:inline>
        </w:drawing>
      </w:r>
    </w:p>
    <w:p w14:paraId="0EAC1C9C">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7A1C56C3">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7CDE432A">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2E6938AA">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drawing>
          <wp:inline distT="0" distB="0" distL="114300" distR="114300">
            <wp:extent cx="5269230" cy="7452360"/>
            <wp:effectExtent l="0" t="0" r="7620" b="15240"/>
            <wp:docPr id="52" name="图片 52" descr="王寨路问卷报告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王寨路问卷报告_08"/>
                    <pic:cNvPicPr>
                      <a:picLocks noChangeAspect="1"/>
                    </pic:cNvPicPr>
                  </pic:nvPicPr>
                  <pic:blipFill>
                    <a:blip r:embed="rId20"/>
                    <a:stretch>
                      <a:fillRect/>
                    </a:stretch>
                  </pic:blipFill>
                  <pic:spPr>
                    <a:xfrm>
                      <a:off x="0" y="0"/>
                      <a:ext cx="5269230" cy="7452360"/>
                    </a:xfrm>
                    <a:prstGeom prst="rect">
                      <a:avLst/>
                    </a:prstGeom>
                  </pic:spPr>
                </pic:pic>
              </a:graphicData>
            </a:graphic>
          </wp:inline>
        </w:drawing>
      </w:r>
    </w:p>
    <w:p w14:paraId="48833E2D">
      <w:pPr>
        <w:numPr>
          <w:ilvl w:val="0"/>
          <w:numId w:val="0"/>
        </w:numPr>
        <w:spacing w:line="360" w:lineRule="auto"/>
        <w:ind w:left="283" w:leftChars="0"/>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798F2545">
      <w:pPr>
        <w:numPr>
          <w:ilvl w:val="0"/>
          <w:numId w:val="0"/>
        </w:numPr>
        <w:spacing w:line="360" w:lineRule="auto"/>
        <w:ind w:left="283" w:leftChars="0"/>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514CE5D0">
      <w:pPr>
        <w:numPr>
          <w:ilvl w:val="0"/>
          <w:numId w:val="0"/>
        </w:numPr>
        <w:spacing w:line="360" w:lineRule="auto"/>
        <w:ind w:left="283" w:leftChars="0"/>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79E494D5">
      <w:pPr>
        <w:numPr>
          <w:ilvl w:val="0"/>
          <w:numId w:val="24"/>
        </w:numPr>
        <w:spacing w:line="360" w:lineRule="auto"/>
        <w:ind w:left="0" w:leftChars="0" w:firstLine="283" w:firstLineChars="0"/>
        <w:jc w:val="left"/>
        <w:outlineLvl w:val="1"/>
        <w:rPr>
          <w:rFonts w:hint="default" w:ascii="宋体" w:hAnsi="宋体" w:eastAsia="宋体" w:cs="宋体"/>
          <w:color w:val="000000" w:themeColor="text1"/>
          <w:kern w:val="44"/>
          <w:sz w:val="28"/>
          <w:szCs w:val="28"/>
          <w:lang w:val="en-US" w:eastAsia="zh-CN"/>
          <w14:textFill>
            <w14:solidFill>
              <w14:schemeClr w14:val="tx1"/>
            </w14:solidFill>
          </w14:textFill>
        </w:rPr>
      </w:pPr>
      <w:bookmarkStart w:id="38" w:name="_Toc21077"/>
      <w:r>
        <w:rPr>
          <w:rFonts w:hint="eastAsia" w:ascii="宋体" w:hAnsi="宋体" w:eastAsia="宋体" w:cs="宋体"/>
          <w:color w:val="000000" w:themeColor="text1"/>
          <w:kern w:val="44"/>
          <w:sz w:val="28"/>
          <w:szCs w:val="28"/>
          <w:lang w:val="en-US" w:eastAsia="zh-CN"/>
          <w14:textFill>
            <w14:solidFill>
              <w14:schemeClr w14:val="tx1"/>
            </w14:solidFill>
          </w14:textFill>
        </w:rPr>
        <w:t>陕州区金华路道路工程问卷统计报告</w:t>
      </w:r>
      <w:bookmarkEnd w:id="38"/>
    </w:p>
    <w:p w14:paraId="05560202">
      <w:pPr>
        <w:numPr>
          <w:ilvl w:val="0"/>
          <w:numId w:val="0"/>
        </w:numPr>
        <w:spacing w:line="360" w:lineRule="auto"/>
        <w:jc w:val="left"/>
        <w:outlineLvl w:val="9"/>
        <w:rPr>
          <w:rFonts w:hint="default" w:ascii="宋体" w:hAnsi="宋体" w:eastAsia="宋体" w:cs="宋体"/>
          <w:color w:val="000000" w:themeColor="text1"/>
          <w:kern w:val="44"/>
          <w:sz w:val="28"/>
          <w:szCs w:val="28"/>
          <w:lang w:val="en-US" w:eastAsia="zh-CN"/>
          <w14:textFill>
            <w14:solidFill>
              <w14:schemeClr w14:val="tx1"/>
            </w14:solidFill>
          </w14:textFill>
        </w:rPr>
      </w:pPr>
      <w:r>
        <w:rPr>
          <w:rFonts w:hint="default" w:ascii="宋体" w:hAnsi="宋体" w:eastAsia="宋体" w:cs="宋体"/>
          <w:color w:val="000000" w:themeColor="text1"/>
          <w:kern w:val="44"/>
          <w:sz w:val="28"/>
          <w:szCs w:val="28"/>
          <w:lang w:val="en-US" w:eastAsia="zh-CN"/>
          <w14:textFill>
            <w14:solidFill>
              <w14:schemeClr w14:val="tx1"/>
            </w14:solidFill>
          </w14:textFill>
        </w:rPr>
        <w:drawing>
          <wp:inline distT="0" distB="0" distL="114300" distR="114300">
            <wp:extent cx="5269230" cy="7452360"/>
            <wp:effectExtent l="0" t="0" r="7620" b="15240"/>
            <wp:docPr id="53" name="图片 53" descr="金华路问卷报告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金华路问卷报告_01"/>
                    <pic:cNvPicPr>
                      <a:picLocks noChangeAspect="1"/>
                    </pic:cNvPicPr>
                  </pic:nvPicPr>
                  <pic:blipFill>
                    <a:blip r:embed="rId21"/>
                    <a:stretch>
                      <a:fillRect/>
                    </a:stretch>
                  </pic:blipFill>
                  <pic:spPr>
                    <a:xfrm>
                      <a:off x="0" y="0"/>
                      <a:ext cx="5269230" cy="7452360"/>
                    </a:xfrm>
                    <a:prstGeom prst="rect">
                      <a:avLst/>
                    </a:prstGeom>
                  </pic:spPr>
                </pic:pic>
              </a:graphicData>
            </a:graphic>
          </wp:inline>
        </w:drawing>
      </w:r>
    </w:p>
    <w:p w14:paraId="5CA5CC11">
      <w:pPr>
        <w:numPr>
          <w:ilvl w:val="0"/>
          <w:numId w:val="0"/>
        </w:numPr>
        <w:spacing w:line="360" w:lineRule="auto"/>
        <w:jc w:val="left"/>
        <w:outlineLvl w:val="9"/>
        <w:rPr>
          <w:rFonts w:hint="default" w:ascii="宋体" w:hAnsi="宋体" w:eastAsia="宋体" w:cs="宋体"/>
          <w:color w:val="000000" w:themeColor="text1"/>
          <w:kern w:val="44"/>
          <w:sz w:val="28"/>
          <w:szCs w:val="28"/>
          <w:lang w:val="en-US" w:eastAsia="zh-CN"/>
          <w14:textFill>
            <w14:solidFill>
              <w14:schemeClr w14:val="tx1"/>
            </w14:solidFill>
          </w14:textFill>
        </w:rPr>
      </w:pPr>
    </w:p>
    <w:p w14:paraId="6E10993F">
      <w:pPr>
        <w:numPr>
          <w:ilvl w:val="0"/>
          <w:numId w:val="0"/>
        </w:numPr>
        <w:spacing w:line="360" w:lineRule="auto"/>
        <w:jc w:val="left"/>
        <w:outlineLvl w:val="9"/>
        <w:rPr>
          <w:rFonts w:hint="default" w:ascii="宋体" w:hAnsi="宋体" w:eastAsia="宋体" w:cs="宋体"/>
          <w:color w:val="000000" w:themeColor="text1"/>
          <w:kern w:val="44"/>
          <w:sz w:val="28"/>
          <w:szCs w:val="28"/>
          <w:lang w:val="en-US" w:eastAsia="zh-CN"/>
          <w14:textFill>
            <w14:solidFill>
              <w14:schemeClr w14:val="tx1"/>
            </w14:solidFill>
          </w14:textFill>
        </w:rPr>
      </w:pPr>
    </w:p>
    <w:p w14:paraId="6C19EB7D">
      <w:pPr>
        <w:numPr>
          <w:ilvl w:val="0"/>
          <w:numId w:val="0"/>
        </w:numPr>
        <w:spacing w:line="360" w:lineRule="auto"/>
        <w:jc w:val="left"/>
        <w:outlineLvl w:val="9"/>
        <w:rPr>
          <w:rFonts w:hint="default" w:ascii="宋体" w:hAnsi="宋体" w:eastAsia="宋体" w:cs="宋体"/>
          <w:color w:val="000000" w:themeColor="text1"/>
          <w:kern w:val="44"/>
          <w:sz w:val="28"/>
          <w:szCs w:val="28"/>
          <w:lang w:val="en-US" w:eastAsia="zh-CN"/>
          <w14:textFill>
            <w14:solidFill>
              <w14:schemeClr w14:val="tx1"/>
            </w14:solidFill>
          </w14:textFill>
        </w:rPr>
      </w:pPr>
      <w:r>
        <w:rPr>
          <w:rFonts w:hint="default" w:ascii="宋体" w:hAnsi="宋体" w:eastAsia="宋体" w:cs="宋体"/>
          <w:color w:val="000000" w:themeColor="text1"/>
          <w:kern w:val="44"/>
          <w:sz w:val="28"/>
          <w:szCs w:val="28"/>
          <w:lang w:val="en-US" w:eastAsia="zh-CN"/>
          <w14:textFill>
            <w14:solidFill>
              <w14:schemeClr w14:val="tx1"/>
            </w14:solidFill>
          </w14:textFill>
        </w:rPr>
        <w:drawing>
          <wp:inline distT="0" distB="0" distL="114300" distR="114300">
            <wp:extent cx="5269230" cy="7452360"/>
            <wp:effectExtent l="0" t="0" r="7620" b="15240"/>
            <wp:docPr id="54" name="图片 54" descr="金华路问卷报告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金华路问卷报告_02"/>
                    <pic:cNvPicPr>
                      <a:picLocks noChangeAspect="1"/>
                    </pic:cNvPicPr>
                  </pic:nvPicPr>
                  <pic:blipFill>
                    <a:blip r:embed="rId22"/>
                    <a:stretch>
                      <a:fillRect/>
                    </a:stretch>
                  </pic:blipFill>
                  <pic:spPr>
                    <a:xfrm>
                      <a:off x="0" y="0"/>
                      <a:ext cx="5269230" cy="7452360"/>
                    </a:xfrm>
                    <a:prstGeom prst="rect">
                      <a:avLst/>
                    </a:prstGeom>
                  </pic:spPr>
                </pic:pic>
              </a:graphicData>
            </a:graphic>
          </wp:inline>
        </w:drawing>
      </w:r>
    </w:p>
    <w:p w14:paraId="28BBA0ED">
      <w:pPr>
        <w:numPr>
          <w:ilvl w:val="0"/>
          <w:numId w:val="0"/>
        </w:numPr>
        <w:spacing w:line="360" w:lineRule="auto"/>
        <w:jc w:val="left"/>
        <w:outlineLvl w:val="9"/>
        <w:rPr>
          <w:rFonts w:hint="default" w:ascii="宋体" w:hAnsi="宋体" w:eastAsia="宋体" w:cs="宋体"/>
          <w:color w:val="000000" w:themeColor="text1"/>
          <w:kern w:val="44"/>
          <w:sz w:val="28"/>
          <w:szCs w:val="28"/>
          <w:lang w:val="en-US" w:eastAsia="zh-CN"/>
          <w14:textFill>
            <w14:solidFill>
              <w14:schemeClr w14:val="tx1"/>
            </w14:solidFill>
          </w14:textFill>
        </w:rPr>
      </w:pPr>
    </w:p>
    <w:p w14:paraId="0522F42A">
      <w:pPr>
        <w:numPr>
          <w:ilvl w:val="0"/>
          <w:numId w:val="0"/>
        </w:numPr>
        <w:spacing w:line="360" w:lineRule="auto"/>
        <w:jc w:val="left"/>
        <w:outlineLvl w:val="9"/>
        <w:rPr>
          <w:rFonts w:hint="default" w:ascii="宋体" w:hAnsi="宋体" w:eastAsia="宋体" w:cs="宋体"/>
          <w:color w:val="000000" w:themeColor="text1"/>
          <w:kern w:val="44"/>
          <w:sz w:val="28"/>
          <w:szCs w:val="28"/>
          <w:lang w:val="en-US" w:eastAsia="zh-CN"/>
          <w14:textFill>
            <w14:solidFill>
              <w14:schemeClr w14:val="tx1"/>
            </w14:solidFill>
          </w14:textFill>
        </w:rPr>
      </w:pPr>
    </w:p>
    <w:p w14:paraId="1B59A366">
      <w:pPr>
        <w:numPr>
          <w:ilvl w:val="0"/>
          <w:numId w:val="0"/>
        </w:numPr>
        <w:spacing w:line="360" w:lineRule="auto"/>
        <w:jc w:val="left"/>
        <w:outlineLvl w:val="9"/>
        <w:rPr>
          <w:rFonts w:hint="default" w:ascii="宋体" w:hAnsi="宋体" w:eastAsia="宋体" w:cs="宋体"/>
          <w:color w:val="000000" w:themeColor="text1"/>
          <w:kern w:val="44"/>
          <w:sz w:val="28"/>
          <w:szCs w:val="28"/>
          <w:lang w:val="en-US" w:eastAsia="zh-CN"/>
          <w14:textFill>
            <w14:solidFill>
              <w14:schemeClr w14:val="tx1"/>
            </w14:solidFill>
          </w14:textFill>
        </w:rPr>
      </w:pPr>
    </w:p>
    <w:p w14:paraId="367A7AA9">
      <w:pPr>
        <w:numPr>
          <w:ilvl w:val="0"/>
          <w:numId w:val="0"/>
        </w:numPr>
        <w:spacing w:line="360" w:lineRule="auto"/>
        <w:jc w:val="left"/>
        <w:outlineLvl w:val="9"/>
        <w:rPr>
          <w:rFonts w:hint="default" w:ascii="宋体" w:hAnsi="宋体" w:eastAsia="宋体" w:cs="宋体"/>
          <w:color w:val="000000" w:themeColor="text1"/>
          <w:kern w:val="44"/>
          <w:sz w:val="28"/>
          <w:szCs w:val="28"/>
          <w:lang w:val="en-US" w:eastAsia="zh-CN"/>
          <w14:textFill>
            <w14:solidFill>
              <w14:schemeClr w14:val="tx1"/>
            </w14:solidFill>
          </w14:textFill>
        </w:rPr>
      </w:pPr>
      <w:r>
        <w:rPr>
          <w:rFonts w:hint="default" w:ascii="宋体" w:hAnsi="宋体" w:eastAsia="宋体" w:cs="宋体"/>
          <w:color w:val="000000" w:themeColor="text1"/>
          <w:kern w:val="44"/>
          <w:sz w:val="28"/>
          <w:szCs w:val="28"/>
          <w:lang w:val="en-US" w:eastAsia="zh-CN"/>
          <w14:textFill>
            <w14:solidFill>
              <w14:schemeClr w14:val="tx1"/>
            </w14:solidFill>
          </w14:textFill>
        </w:rPr>
        <w:drawing>
          <wp:inline distT="0" distB="0" distL="114300" distR="114300">
            <wp:extent cx="5269230" cy="7452360"/>
            <wp:effectExtent l="0" t="0" r="7620" b="15240"/>
            <wp:docPr id="55" name="图片 55" descr="金华路问卷报告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金华路问卷报告_03"/>
                    <pic:cNvPicPr>
                      <a:picLocks noChangeAspect="1"/>
                    </pic:cNvPicPr>
                  </pic:nvPicPr>
                  <pic:blipFill>
                    <a:blip r:embed="rId23"/>
                    <a:stretch>
                      <a:fillRect/>
                    </a:stretch>
                  </pic:blipFill>
                  <pic:spPr>
                    <a:xfrm>
                      <a:off x="0" y="0"/>
                      <a:ext cx="5269230" cy="7452360"/>
                    </a:xfrm>
                    <a:prstGeom prst="rect">
                      <a:avLst/>
                    </a:prstGeom>
                  </pic:spPr>
                </pic:pic>
              </a:graphicData>
            </a:graphic>
          </wp:inline>
        </w:drawing>
      </w:r>
    </w:p>
    <w:p w14:paraId="5FE4E229">
      <w:pPr>
        <w:numPr>
          <w:ilvl w:val="0"/>
          <w:numId w:val="0"/>
        </w:numPr>
        <w:spacing w:line="360" w:lineRule="auto"/>
        <w:jc w:val="left"/>
        <w:outlineLvl w:val="9"/>
        <w:rPr>
          <w:rFonts w:hint="default" w:ascii="宋体" w:hAnsi="宋体" w:eastAsia="宋体" w:cs="宋体"/>
          <w:color w:val="000000" w:themeColor="text1"/>
          <w:kern w:val="44"/>
          <w:sz w:val="28"/>
          <w:szCs w:val="28"/>
          <w:lang w:val="en-US" w:eastAsia="zh-CN"/>
          <w14:textFill>
            <w14:solidFill>
              <w14:schemeClr w14:val="tx1"/>
            </w14:solidFill>
          </w14:textFill>
        </w:rPr>
      </w:pPr>
    </w:p>
    <w:p w14:paraId="6FC0FC7B">
      <w:pPr>
        <w:numPr>
          <w:ilvl w:val="0"/>
          <w:numId w:val="0"/>
        </w:numPr>
        <w:spacing w:line="360" w:lineRule="auto"/>
        <w:jc w:val="left"/>
        <w:outlineLvl w:val="9"/>
        <w:rPr>
          <w:rFonts w:hint="default" w:ascii="宋体" w:hAnsi="宋体" w:eastAsia="宋体" w:cs="宋体"/>
          <w:color w:val="000000" w:themeColor="text1"/>
          <w:kern w:val="44"/>
          <w:sz w:val="28"/>
          <w:szCs w:val="28"/>
          <w:lang w:val="en-US" w:eastAsia="zh-CN"/>
          <w14:textFill>
            <w14:solidFill>
              <w14:schemeClr w14:val="tx1"/>
            </w14:solidFill>
          </w14:textFill>
        </w:rPr>
      </w:pPr>
    </w:p>
    <w:p w14:paraId="049F7320">
      <w:pPr>
        <w:numPr>
          <w:ilvl w:val="0"/>
          <w:numId w:val="0"/>
        </w:numPr>
        <w:spacing w:line="360" w:lineRule="auto"/>
        <w:jc w:val="left"/>
        <w:outlineLvl w:val="9"/>
        <w:rPr>
          <w:rFonts w:hint="default" w:ascii="宋体" w:hAnsi="宋体" w:eastAsia="宋体" w:cs="宋体"/>
          <w:color w:val="000000" w:themeColor="text1"/>
          <w:kern w:val="44"/>
          <w:sz w:val="28"/>
          <w:szCs w:val="28"/>
          <w:lang w:val="en-US" w:eastAsia="zh-CN"/>
          <w14:textFill>
            <w14:solidFill>
              <w14:schemeClr w14:val="tx1"/>
            </w14:solidFill>
          </w14:textFill>
        </w:rPr>
      </w:pPr>
    </w:p>
    <w:p w14:paraId="2C3C91FF">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sectPr>
          <w:pgSz w:w="11906" w:h="16838"/>
          <w:pgMar w:top="1440" w:right="1800" w:bottom="1440" w:left="1800" w:header="851" w:footer="992" w:gutter="0"/>
          <w:pgNumType w:fmt="decimal"/>
          <w:cols w:space="425" w:num="1"/>
          <w:docGrid w:type="lines" w:linePitch="312" w:charSpace="0"/>
        </w:sectPr>
      </w:pPr>
    </w:p>
    <w:p w14:paraId="5E0BB094">
      <w:pPr>
        <w:numPr>
          <w:ilvl w:val="0"/>
          <w:numId w:val="24"/>
        </w:numPr>
        <w:spacing w:line="360" w:lineRule="auto"/>
        <w:ind w:left="0" w:leftChars="0" w:firstLine="283" w:firstLineChars="0"/>
        <w:jc w:val="left"/>
        <w:outlineLvl w:val="1"/>
        <w:rPr>
          <w:rFonts w:hint="eastAsia" w:ascii="宋体" w:hAnsi="宋体" w:eastAsia="宋体" w:cs="宋体"/>
          <w:color w:val="000000" w:themeColor="text1"/>
          <w:kern w:val="44"/>
          <w:sz w:val="28"/>
          <w:szCs w:val="28"/>
          <w:lang w:val="en-US" w:eastAsia="zh-CN"/>
          <w14:textFill>
            <w14:solidFill>
              <w14:schemeClr w14:val="tx1"/>
            </w14:solidFill>
          </w14:textFill>
        </w:rPr>
      </w:pPr>
      <w:bookmarkStart w:id="39" w:name="_Toc22060"/>
      <w:r>
        <w:rPr>
          <w:rFonts w:hint="eastAsia" w:ascii="宋体" w:hAnsi="宋体" w:eastAsia="宋体" w:cs="宋体"/>
          <w:color w:val="000000" w:themeColor="text1"/>
          <w:kern w:val="44"/>
          <w:sz w:val="28"/>
          <w:szCs w:val="28"/>
          <w:lang w:val="en-US" w:eastAsia="zh-CN"/>
          <w14:textFill>
            <w14:solidFill>
              <w14:schemeClr w14:val="tx1"/>
            </w14:solidFill>
          </w14:textFill>
        </w:rPr>
        <w:t>陕州区王寨路桥工程绩效评价评分表</w:t>
      </w:r>
      <w:bookmarkEnd w:id="39"/>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8"/>
        <w:gridCol w:w="489"/>
        <w:gridCol w:w="687"/>
        <w:gridCol w:w="489"/>
        <w:gridCol w:w="647"/>
        <w:gridCol w:w="528"/>
        <w:gridCol w:w="1511"/>
        <w:gridCol w:w="4307"/>
        <w:gridCol w:w="1711"/>
        <w:gridCol w:w="671"/>
        <w:gridCol w:w="2456"/>
      </w:tblGrid>
      <w:tr w14:paraId="1CAFF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blHeader/>
        </w:trPr>
        <w:tc>
          <w:tcPr>
            <w:tcW w:w="5000" w:type="pct"/>
            <w:gridSpan w:val="11"/>
            <w:tcBorders>
              <w:top w:val="nil"/>
              <w:left w:val="nil"/>
              <w:bottom w:val="nil"/>
              <w:right w:val="nil"/>
            </w:tcBorders>
            <w:shd w:val="clear" w:color="auto" w:fill="auto"/>
            <w:vAlign w:val="center"/>
          </w:tcPr>
          <w:p w14:paraId="5FF52003">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陕州区王寨路桥工程-绩效评价评分表</w:t>
            </w:r>
          </w:p>
        </w:tc>
      </w:tr>
      <w:tr w14:paraId="0161B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blHeader/>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6191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一级指标</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2110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分值</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96E6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二级指标</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F9F4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分值</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B9FB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三级指标</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41DB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分值</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7C94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指标解释</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86DB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指标说明</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B516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评价标准及评分规则</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C86F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得分</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0F3C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扣分详情</w:t>
            </w:r>
          </w:p>
        </w:tc>
      </w:tr>
      <w:tr w14:paraId="3F1F3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A09B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决 策</w:t>
            </w:r>
          </w:p>
        </w:tc>
        <w:tc>
          <w:tcPr>
            <w:tcW w:w="1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1339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2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88BA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项目立项</w:t>
            </w:r>
          </w:p>
        </w:tc>
        <w:tc>
          <w:tcPr>
            <w:tcW w:w="1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67D8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9F64C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立项依据充分性</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0E53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DCFB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项目立项是否符合法律法规、相关政策、发展规划以及部门职责，用以反映和考核项目立项依据情况。</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ACD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9576B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具备一个得分要素，得到指标分值的20%。</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483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809B6">
            <w:pPr>
              <w:jc w:val="center"/>
              <w:rPr>
                <w:rFonts w:hint="eastAsia" w:ascii="宋体" w:hAnsi="宋体" w:eastAsia="宋体" w:cs="宋体"/>
                <w:i w:val="0"/>
                <w:iCs w:val="0"/>
                <w:color w:val="000000"/>
                <w:sz w:val="18"/>
                <w:szCs w:val="18"/>
                <w:u w:val="none"/>
              </w:rPr>
            </w:pPr>
          </w:p>
        </w:tc>
      </w:tr>
      <w:tr w14:paraId="0F90A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B72F3">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C5D4F">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0ED37">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435FA">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CC4EC">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7AA7C5">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83926F">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7B5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①项目立项是否符合国家法律法规、国民经济发展规划和相关政策；</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C2987">
            <w:pPr>
              <w:jc w:val="both"/>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9DBEC">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53AD0">
            <w:pPr>
              <w:jc w:val="center"/>
              <w:rPr>
                <w:rFonts w:hint="eastAsia" w:ascii="宋体" w:hAnsi="宋体" w:eastAsia="宋体" w:cs="宋体"/>
                <w:i w:val="0"/>
                <w:iCs w:val="0"/>
                <w:color w:val="000000"/>
                <w:sz w:val="18"/>
                <w:szCs w:val="18"/>
                <w:u w:val="none"/>
              </w:rPr>
            </w:pPr>
          </w:p>
        </w:tc>
      </w:tr>
      <w:tr w14:paraId="7EBC4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C5DE0B">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443C8">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0B960C">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8D01A1">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7D4450">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A03E12">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2E1D0C">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CDA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②项目立项是否符合行业发展规划和政策要求；</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245FBD">
            <w:pPr>
              <w:jc w:val="both"/>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560BA">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1B2AF">
            <w:pPr>
              <w:jc w:val="center"/>
              <w:rPr>
                <w:rFonts w:hint="eastAsia" w:ascii="宋体" w:hAnsi="宋体" w:eastAsia="宋体" w:cs="宋体"/>
                <w:i w:val="0"/>
                <w:iCs w:val="0"/>
                <w:color w:val="000000"/>
                <w:sz w:val="18"/>
                <w:szCs w:val="18"/>
                <w:u w:val="none"/>
              </w:rPr>
            </w:pPr>
          </w:p>
        </w:tc>
      </w:tr>
      <w:tr w14:paraId="0B7D8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8EA3E7">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AFDE47">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D28187">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AA4DB">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DAD55">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680A6C">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8411C">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960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③项目立项是否与部门职责范围相符，属于部门履职所需；</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53805D">
            <w:pPr>
              <w:jc w:val="both"/>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F067C">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0D99D">
            <w:pPr>
              <w:jc w:val="center"/>
              <w:rPr>
                <w:rFonts w:hint="eastAsia" w:ascii="宋体" w:hAnsi="宋体" w:eastAsia="宋体" w:cs="宋体"/>
                <w:i w:val="0"/>
                <w:iCs w:val="0"/>
                <w:color w:val="000000"/>
                <w:sz w:val="18"/>
                <w:szCs w:val="18"/>
                <w:u w:val="none"/>
              </w:rPr>
            </w:pPr>
          </w:p>
        </w:tc>
      </w:tr>
      <w:tr w14:paraId="4E2D2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C415B5">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15B1A5">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C78F2">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CC5C5">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0CEEF5">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12FDC1">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353EA3">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5A2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④项目是否属于公共财政支持范围，是否符合中央、地方事权支出责任划分原则；</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B9453">
            <w:pPr>
              <w:jc w:val="both"/>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F1D03">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FE14D">
            <w:pPr>
              <w:jc w:val="center"/>
              <w:rPr>
                <w:rFonts w:hint="eastAsia" w:ascii="宋体" w:hAnsi="宋体" w:eastAsia="宋体" w:cs="宋体"/>
                <w:i w:val="0"/>
                <w:iCs w:val="0"/>
                <w:color w:val="000000"/>
                <w:sz w:val="18"/>
                <w:szCs w:val="18"/>
                <w:u w:val="none"/>
              </w:rPr>
            </w:pPr>
          </w:p>
        </w:tc>
      </w:tr>
      <w:tr w14:paraId="13876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D7D27">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467D75">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7F2D4">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7396A">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247DD7">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BA981">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9ACDE">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C16F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⑤该项目是否与相关部门同类项目或者部门内部相关项目交叉重复。</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CDD46">
            <w:pPr>
              <w:jc w:val="both"/>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E98F4">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44E07">
            <w:pPr>
              <w:jc w:val="center"/>
              <w:rPr>
                <w:rFonts w:hint="eastAsia" w:ascii="宋体" w:hAnsi="宋体" w:eastAsia="宋体" w:cs="宋体"/>
                <w:i w:val="0"/>
                <w:iCs w:val="0"/>
                <w:color w:val="000000"/>
                <w:sz w:val="18"/>
                <w:szCs w:val="18"/>
                <w:u w:val="none"/>
              </w:rPr>
            </w:pPr>
          </w:p>
        </w:tc>
      </w:tr>
      <w:tr w14:paraId="325FB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BF139">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28DFF5">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31508">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05D2E">
            <w:pPr>
              <w:jc w:val="center"/>
              <w:rPr>
                <w:rFonts w:hint="eastAsia" w:ascii="宋体" w:hAnsi="宋体" w:eastAsia="宋体" w:cs="宋体"/>
                <w:i w:val="0"/>
                <w:iCs w:val="0"/>
                <w:color w:val="000000"/>
                <w:sz w:val="18"/>
                <w:szCs w:val="18"/>
                <w:u w:val="none"/>
              </w:rPr>
            </w:pP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C2B3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立项程序规范性</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DA61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2690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项目的申请、设立过程是否符合相关要求，用以反映和考核项目立项的规范情况。</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8FC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8D70B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具备要素①和②之一的，得到指标分值的30%；具备要素③，得到指标分值的40%。</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E2F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5D26E">
            <w:pPr>
              <w:jc w:val="center"/>
              <w:rPr>
                <w:rFonts w:hint="eastAsia" w:ascii="宋体" w:hAnsi="宋体" w:eastAsia="宋体" w:cs="宋体"/>
                <w:i w:val="0"/>
                <w:iCs w:val="0"/>
                <w:color w:val="000000"/>
                <w:sz w:val="18"/>
                <w:szCs w:val="18"/>
                <w:u w:val="none"/>
              </w:rPr>
            </w:pPr>
          </w:p>
        </w:tc>
      </w:tr>
      <w:tr w14:paraId="3A30C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222D86">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9213F">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757520">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58CD7">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5CC8F0">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D48D9">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F2185">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5D1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①项目是否按照规定的程序申请设立；</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CFD4B">
            <w:pPr>
              <w:jc w:val="both"/>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FBB3A">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3619C">
            <w:pPr>
              <w:jc w:val="center"/>
              <w:rPr>
                <w:rFonts w:hint="eastAsia" w:ascii="宋体" w:hAnsi="宋体" w:eastAsia="宋体" w:cs="宋体"/>
                <w:i w:val="0"/>
                <w:iCs w:val="0"/>
                <w:color w:val="000000"/>
                <w:sz w:val="18"/>
                <w:szCs w:val="18"/>
                <w:u w:val="none"/>
              </w:rPr>
            </w:pPr>
          </w:p>
        </w:tc>
      </w:tr>
      <w:tr w14:paraId="52601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4240B">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723F7">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C20C13">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66864">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7E7E8">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3E80B">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C07C7">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287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②审批文件、材料是否符合相关要求；</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065AB3">
            <w:pPr>
              <w:jc w:val="both"/>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BD188">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113AB">
            <w:pPr>
              <w:jc w:val="center"/>
              <w:rPr>
                <w:rFonts w:hint="eastAsia" w:ascii="宋体" w:hAnsi="宋体" w:eastAsia="宋体" w:cs="宋体"/>
                <w:i w:val="0"/>
                <w:iCs w:val="0"/>
                <w:color w:val="000000"/>
                <w:sz w:val="18"/>
                <w:szCs w:val="18"/>
                <w:u w:val="none"/>
              </w:rPr>
            </w:pPr>
          </w:p>
        </w:tc>
      </w:tr>
      <w:tr w14:paraId="443A8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C0976">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445FD">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96019">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16A0E">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688D4E">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6E7F21">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1D7E2">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BB0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③事前是否已经过必要的可行性研究、专家论证、风险评估、集体决策等。</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64A3A">
            <w:pPr>
              <w:jc w:val="both"/>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B4DB7">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5518A">
            <w:pPr>
              <w:jc w:val="center"/>
              <w:rPr>
                <w:rFonts w:hint="eastAsia" w:ascii="宋体" w:hAnsi="宋体" w:eastAsia="宋体" w:cs="宋体"/>
                <w:i w:val="0"/>
                <w:iCs w:val="0"/>
                <w:color w:val="000000"/>
                <w:sz w:val="18"/>
                <w:szCs w:val="18"/>
                <w:u w:val="none"/>
              </w:rPr>
            </w:pPr>
          </w:p>
        </w:tc>
      </w:tr>
      <w:tr w14:paraId="6C612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44559">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65F226">
            <w:pPr>
              <w:jc w:val="center"/>
              <w:rPr>
                <w:rFonts w:hint="eastAsia" w:ascii="宋体" w:hAnsi="宋体" w:eastAsia="宋体" w:cs="宋体"/>
                <w:i w:val="0"/>
                <w:iCs w:val="0"/>
                <w:color w:val="000000"/>
                <w:sz w:val="18"/>
                <w:szCs w:val="18"/>
                <w:u w:val="none"/>
              </w:rPr>
            </w:pPr>
          </w:p>
        </w:tc>
        <w:tc>
          <w:tcPr>
            <w:tcW w:w="2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12C7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绩效目标</w:t>
            </w:r>
          </w:p>
        </w:tc>
        <w:tc>
          <w:tcPr>
            <w:tcW w:w="1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4417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BAD51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绩效目标合理性</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7515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043B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项目所设定的绩效目标是否符合实际、切实可行，用以反映和考核项目绩效目标与项目实施的相符情况。</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ED97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评价要点：（如未要求制定预算绩效目标，也可考核其他工作任务目标）</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E56C2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具备要素①，得到指标分值的50%；如不具备，该指标分值为0。具备要素②③，分别得到指标分值的25%。</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E4F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1.67</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CD1C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建设单位制定的绩效目标：按期开工建设，按照城建建设流程及规范实施，保证工程安全性、质量性、时效性。绩效目标中无预期产出及效果的表述，③不得分。</w:t>
            </w:r>
          </w:p>
        </w:tc>
      </w:tr>
      <w:tr w14:paraId="62017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4C73D">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44106">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02EDBF">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8BA190">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106D5">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1138B">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5009B">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97A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①项目是否有绩效目标；</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BC1B89">
            <w:pPr>
              <w:jc w:val="both"/>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CE6AE">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6C1159">
            <w:pPr>
              <w:jc w:val="left"/>
              <w:rPr>
                <w:rFonts w:hint="eastAsia" w:ascii="宋体" w:hAnsi="宋体" w:eastAsia="宋体" w:cs="宋体"/>
                <w:i w:val="0"/>
                <w:iCs w:val="0"/>
                <w:color w:val="000000"/>
                <w:sz w:val="18"/>
                <w:szCs w:val="18"/>
                <w:u w:val="none"/>
              </w:rPr>
            </w:pPr>
          </w:p>
        </w:tc>
      </w:tr>
      <w:tr w14:paraId="7CE4D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E9F80">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CFE4CC">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464240">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CE0D6D">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6307F">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A721D">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A705B">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0B9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②项目绩效目标与实际工作内容是否具有相关性；</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E5B4A5">
            <w:pPr>
              <w:jc w:val="both"/>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3E01A">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2A87B">
            <w:pPr>
              <w:jc w:val="left"/>
              <w:rPr>
                <w:rFonts w:hint="eastAsia" w:ascii="宋体" w:hAnsi="宋体" w:eastAsia="宋体" w:cs="宋体"/>
                <w:i w:val="0"/>
                <w:iCs w:val="0"/>
                <w:color w:val="000000"/>
                <w:sz w:val="18"/>
                <w:szCs w:val="18"/>
                <w:u w:val="none"/>
              </w:rPr>
            </w:pPr>
          </w:p>
        </w:tc>
      </w:tr>
      <w:tr w14:paraId="26640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7669CB">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435E7">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C45CAB">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FB3BA">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304C0">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7B9FCF">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91654">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3031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③项目预期产出和效果是否符合正常的业绩水平。</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CE4C00">
            <w:pPr>
              <w:jc w:val="both"/>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39EE4">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3CE655">
            <w:pPr>
              <w:jc w:val="left"/>
              <w:rPr>
                <w:rFonts w:hint="eastAsia" w:ascii="宋体" w:hAnsi="宋体" w:eastAsia="宋体" w:cs="宋体"/>
                <w:i w:val="0"/>
                <w:iCs w:val="0"/>
                <w:color w:val="000000"/>
                <w:sz w:val="18"/>
                <w:szCs w:val="18"/>
                <w:u w:val="none"/>
              </w:rPr>
            </w:pPr>
          </w:p>
        </w:tc>
      </w:tr>
      <w:tr w14:paraId="35CD6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301EC8">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269880">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13BA79">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B4120">
            <w:pPr>
              <w:jc w:val="center"/>
              <w:rPr>
                <w:rFonts w:hint="eastAsia" w:ascii="宋体" w:hAnsi="宋体" w:eastAsia="宋体" w:cs="宋体"/>
                <w:i w:val="0"/>
                <w:iCs w:val="0"/>
                <w:color w:val="000000"/>
                <w:sz w:val="18"/>
                <w:szCs w:val="18"/>
                <w:u w:val="none"/>
              </w:rPr>
            </w:pP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1DF5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绩效指标明确性</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3BD9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6A86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依据绩效目标设定的绩效指标是否清晰、细化、可衡量等，用以反映和考核项目绩效目标的明细化情况。</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C6D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9E6C6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具备得分要素①，得到指标分值的40%；具备得分要素②和③，各得到指标分值的30%。</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28A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1.67</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B7E1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建设单位制定的经济效益指标：决算报审核减率，不属于桥梁工程可以带动的经济效益。社会效益指标:对公共服务水平的改善或提高程度100%，未能提供指标值定量计算公式，建议采用定性指标。经济效益指标三级指标设置不恰当，社会效益指标三级指标未能提供指标值定量计算公式，指标无法考核，③不得分。</w:t>
            </w:r>
          </w:p>
        </w:tc>
      </w:tr>
      <w:tr w14:paraId="5A89D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412A86">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108909">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6897D">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5A5B46">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DC9C93">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AC6772">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3FD61">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0A5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①是否将项目绩效目标细化分解为具体的绩效指标；</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F6F8EA">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CFF9D">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DD4A0B">
            <w:pPr>
              <w:jc w:val="center"/>
              <w:rPr>
                <w:rFonts w:hint="eastAsia" w:ascii="宋体" w:hAnsi="宋体" w:eastAsia="宋体" w:cs="宋体"/>
                <w:i w:val="0"/>
                <w:iCs w:val="0"/>
                <w:color w:val="000000"/>
                <w:sz w:val="18"/>
                <w:szCs w:val="18"/>
                <w:u w:val="none"/>
              </w:rPr>
            </w:pPr>
          </w:p>
        </w:tc>
      </w:tr>
      <w:tr w14:paraId="09D66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9F16D">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CCFC9">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3F515">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5EB0B1">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6D49B">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DC359C">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A114F">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3B5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②是否通过清晰、可衡量的指标值予以体现；</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B41ACD">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68496">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7B900">
            <w:pPr>
              <w:jc w:val="center"/>
              <w:rPr>
                <w:rFonts w:hint="eastAsia" w:ascii="宋体" w:hAnsi="宋体" w:eastAsia="宋体" w:cs="宋体"/>
                <w:i w:val="0"/>
                <w:iCs w:val="0"/>
                <w:color w:val="000000"/>
                <w:sz w:val="18"/>
                <w:szCs w:val="18"/>
                <w:u w:val="none"/>
              </w:rPr>
            </w:pPr>
          </w:p>
        </w:tc>
      </w:tr>
      <w:tr w14:paraId="653E4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E7EBE9">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3357A">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D8A9EE">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6C13D3">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00A442">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E4E01A">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9A6E2B">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C72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③是否与项目目标任务数或计划数相对应。</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D9F3C">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F0720">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FB6C4">
            <w:pPr>
              <w:jc w:val="center"/>
              <w:rPr>
                <w:rFonts w:hint="eastAsia" w:ascii="宋体" w:hAnsi="宋体" w:eastAsia="宋体" w:cs="宋体"/>
                <w:i w:val="0"/>
                <w:iCs w:val="0"/>
                <w:color w:val="000000"/>
                <w:sz w:val="18"/>
                <w:szCs w:val="18"/>
                <w:u w:val="none"/>
              </w:rPr>
            </w:pPr>
          </w:p>
        </w:tc>
      </w:tr>
      <w:tr w14:paraId="3D442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37352">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AB2C8">
            <w:pPr>
              <w:jc w:val="center"/>
              <w:rPr>
                <w:rFonts w:hint="eastAsia" w:ascii="宋体" w:hAnsi="宋体" w:eastAsia="宋体" w:cs="宋体"/>
                <w:i w:val="0"/>
                <w:iCs w:val="0"/>
                <w:color w:val="000000"/>
                <w:sz w:val="18"/>
                <w:szCs w:val="18"/>
                <w:u w:val="none"/>
              </w:rPr>
            </w:pPr>
          </w:p>
        </w:tc>
        <w:tc>
          <w:tcPr>
            <w:tcW w:w="2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E160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资金安排</w:t>
            </w:r>
          </w:p>
        </w:tc>
        <w:tc>
          <w:tcPr>
            <w:tcW w:w="1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E0CA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B400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预算编制合理性</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C438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CF530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项目预算编制是否经过科学论证、有明确标准，资金额度与年度目标是否相适应，用以反映和考核项目预算编制的科学性、合理性情况。</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2007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2876E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具备一个得分要素，得到指标分值的25%。</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CCA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7F617">
            <w:pPr>
              <w:jc w:val="center"/>
              <w:rPr>
                <w:rFonts w:hint="eastAsia" w:ascii="宋体" w:hAnsi="宋体" w:eastAsia="宋体" w:cs="宋体"/>
                <w:i w:val="0"/>
                <w:iCs w:val="0"/>
                <w:color w:val="000000"/>
                <w:sz w:val="18"/>
                <w:szCs w:val="18"/>
                <w:u w:val="none"/>
              </w:rPr>
            </w:pPr>
          </w:p>
        </w:tc>
      </w:tr>
      <w:tr w14:paraId="75072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565AD">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492CD">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17D3D">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E6AFB">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F92CFD">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486FF6">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42B6E">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CD2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①预算编制是否经过论证；</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CE5F8">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E7B18">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08D92">
            <w:pPr>
              <w:jc w:val="center"/>
              <w:rPr>
                <w:rFonts w:hint="eastAsia" w:ascii="宋体" w:hAnsi="宋体" w:eastAsia="宋体" w:cs="宋体"/>
                <w:i w:val="0"/>
                <w:iCs w:val="0"/>
                <w:color w:val="000000"/>
                <w:sz w:val="18"/>
                <w:szCs w:val="18"/>
                <w:u w:val="none"/>
              </w:rPr>
            </w:pPr>
          </w:p>
        </w:tc>
      </w:tr>
      <w:tr w14:paraId="7AB13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CBCC86">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B449EE">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E5246">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A7E33">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56A40">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D133C9">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635A31">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E452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②预算内容与项目实际内容是否匹配；</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6F504">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D0DF1">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4DC45">
            <w:pPr>
              <w:jc w:val="center"/>
              <w:rPr>
                <w:rFonts w:hint="eastAsia" w:ascii="宋体" w:hAnsi="宋体" w:eastAsia="宋体" w:cs="宋体"/>
                <w:i w:val="0"/>
                <w:iCs w:val="0"/>
                <w:color w:val="000000"/>
                <w:sz w:val="18"/>
                <w:szCs w:val="18"/>
                <w:u w:val="none"/>
              </w:rPr>
            </w:pPr>
          </w:p>
        </w:tc>
      </w:tr>
      <w:tr w14:paraId="789AD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D52CC">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29E843">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AACC1">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B16BE7">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6BF270">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36DDBF">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D8429">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059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③预算额度测算依据是否充分，是否按标准编制；</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762932">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18C40">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459CA">
            <w:pPr>
              <w:jc w:val="center"/>
              <w:rPr>
                <w:rFonts w:hint="eastAsia" w:ascii="宋体" w:hAnsi="宋体" w:eastAsia="宋体" w:cs="宋体"/>
                <w:i w:val="0"/>
                <w:iCs w:val="0"/>
                <w:color w:val="000000"/>
                <w:sz w:val="18"/>
                <w:szCs w:val="18"/>
                <w:u w:val="none"/>
              </w:rPr>
            </w:pPr>
          </w:p>
        </w:tc>
      </w:tr>
      <w:tr w14:paraId="6ACD7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64B3B">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6670E5">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5B9E9">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E0309">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6C275">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77B6A">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D70E6">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306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④预算确定的项目投资额或资金量是否经过财政评审。</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45D44">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C339D">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D8621">
            <w:pPr>
              <w:jc w:val="center"/>
              <w:rPr>
                <w:rFonts w:hint="eastAsia" w:ascii="宋体" w:hAnsi="宋体" w:eastAsia="宋体" w:cs="宋体"/>
                <w:i w:val="0"/>
                <w:iCs w:val="0"/>
                <w:color w:val="000000"/>
                <w:sz w:val="18"/>
                <w:szCs w:val="18"/>
                <w:u w:val="none"/>
              </w:rPr>
            </w:pPr>
          </w:p>
        </w:tc>
      </w:tr>
      <w:tr w14:paraId="16254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0A4F05">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B91E5">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DCED4">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535FC0">
            <w:pPr>
              <w:jc w:val="center"/>
              <w:rPr>
                <w:rFonts w:hint="eastAsia" w:ascii="宋体" w:hAnsi="宋体" w:eastAsia="宋体" w:cs="宋体"/>
                <w:i w:val="0"/>
                <w:iCs w:val="0"/>
                <w:color w:val="000000"/>
                <w:sz w:val="18"/>
                <w:szCs w:val="18"/>
                <w:u w:val="none"/>
              </w:rPr>
            </w:pP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2468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资金分配合理性</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6CDE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2CCB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项目预算资金分配是否有测算依据，与地方实际是否相适应，用以反映和考核项目预算资金分配的科学性、合理性情况。</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AC7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3C83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具备一个得分要素，得到指标分值的50%。</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1B8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2BEE18">
            <w:pPr>
              <w:jc w:val="center"/>
              <w:rPr>
                <w:rFonts w:hint="eastAsia" w:ascii="宋体" w:hAnsi="宋体" w:eastAsia="宋体" w:cs="宋体"/>
                <w:i w:val="0"/>
                <w:iCs w:val="0"/>
                <w:color w:val="000000"/>
                <w:sz w:val="18"/>
                <w:szCs w:val="18"/>
                <w:u w:val="none"/>
              </w:rPr>
            </w:pPr>
          </w:p>
        </w:tc>
      </w:tr>
      <w:tr w14:paraId="11AB0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115EF">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A4B77">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7D8613">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1197D">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BB2B4D">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B0AD10">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87647">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DB5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①预算资金分配依据是否充分；</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214F77">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72008">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B47F3">
            <w:pPr>
              <w:jc w:val="center"/>
              <w:rPr>
                <w:rFonts w:hint="eastAsia" w:ascii="宋体" w:hAnsi="宋体" w:eastAsia="宋体" w:cs="宋体"/>
                <w:i w:val="0"/>
                <w:iCs w:val="0"/>
                <w:color w:val="000000"/>
                <w:sz w:val="18"/>
                <w:szCs w:val="18"/>
                <w:u w:val="none"/>
              </w:rPr>
            </w:pPr>
          </w:p>
        </w:tc>
      </w:tr>
      <w:tr w14:paraId="36C36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A3F16D">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B459D4">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E66AD1">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F6D72">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FA6AA">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BAF234">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198011">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EC2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②资金分配额度是否合理，与地方实际是否相适应。</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66E90">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836BF">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0445A">
            <w:pPr>
              <w:jc w:val="center"/>
              <w:rPr>
                <w:rFonts w:hint="eastAsia" w:ascii="宋体" w:hAnsi="宋体" w:eastAsia="宋体" w:cs="宋体"/>
                <w:i w:val="0"/>
                <w:iCs w:val="0"/>
                <w:color w:val="000000"/>
                <w:sz w:val="18"/>
                <w:szCs w:val="18"/>
                <w:u w:val="none"/>
              </w:rPr>
            </w:pPr>
          </w:p>
        </w:tc>
      </w:tr>
      <w:tr w14:paraId="76732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559A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管理</w:t>
            </w:r>
          </w:p>
        </w:tc>
        <w:tc>
          <w:tcPr>
            <w:tcW w:w="1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0534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2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C2FF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业务管理</w:t>
            </w:r>
          </w:p>
        </w:tc>
        <w:tc>
          <w:tcPr>
            <w:tcW w:w="1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482E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8AD3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管理制度健全性</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B917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480F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项目实施单位的业务管理制度是否健全，用以反映和考核业务管理制度对项目顺利实施的保障情况。</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67F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6767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具备一个得分要素，得到指标分值的50%。</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7A5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F2FB3">
            <w:pPr>
              <w:jc w:val="center"/>
              <w:rPr>
                <w:rFonts w:hint="eastAsia" w:ascii="宋体" w:hAnsi="宋体" w:eastAsia="宋体" w:cs="宋体"/>
                <w:i w:val="0"/>
                <w:iCs w:val="0"/>
                <w:color w:val="000000"/>
                <w:sz w:val="18"/>
                <w:szCs w:val="18"/>
                <w:u w:val="none"/>
              </w:rPr>
            </w:pPr>
          </w:p>
        </w:tc>
      </w:tr>
      <w:tr w14:paraId="7A64C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493F3">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489A4">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1BEB1">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76FE2F">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3F2A4D">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65F77F">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A0FA4">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DFB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①是否已制定或具有相应的业务管理制度；</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A9C40E">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7DEEB">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D978B">
            <w:pPr>
              <w:jc w:val="center"/>
              <w:rPr>
                <w:rFonts w:hint="eastAsia" w:ascii="宋体" w:hAnsi="宋体" w:eastAsia="宋体" w:cs="宋体"/>
                <w:i w:val="0"/>
                <w:iCs w:val="0"/>
                <w:color w:val="000000"/>
                <w:sz w:val="18"/>
                <w:szCs w:val="18"/>
                <w:u w:val="none"/>
              </w:rPr>
            </w:pPr>
          </w:p>
        </w:tc>
      </w:tr>
      <w:tr w14:paraId="171D4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33C430">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225486">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A639B">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968EB">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577812">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066EE7">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A47C6F">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306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②业务管理制度是否合法、合规、完整。</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7919A">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F6F06">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9BBDA">
            <w:pPr>
              <w:jc w:val="center"/>
              <w:rPr>
                <w:rFonts w:hint="eastAsia" w:ascii="宋体" w:hAnsi="宋体" w:eastAsia="宋体" w:cs="宋体"/>
                <w:i w:val="0"/>
                <w:iCs w:val="0"/>
                <w:color w:val="000000"/>
                <w:sz w:val="18"/>
                <w:szCs w:val="18"/>
                <w:u w:val="none"/>
              </w:rPr>
            </w:pPr>
          </w:p>
        </w:tc>
      </w:tr>
      <w:tr w14:paraId="1437C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73A6E">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7E22DC">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D9B59">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58E2C1">
            <w:pPr>
              <w:jc w:val="center"/>
              <w:rPr>
                <w:rFonts w:hint="eastAsia" w:ascii="宋体" w:hAnsi="宋体" w:eastAsia="宋体" w:cs="宋体"/>
                <w:i w:val="0"/>
                <w:iCs w:val="0"/>
                <w:color w:val="000000"/>
                <w:sz w:val="18"/>
                <w:szCs w:val="18"/>
                <w:u w:val="none"/>
              </w:rPr>
            </w:pP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35D2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制度执行有效性</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F36D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EA119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项目实施是否符合相关业务管理规定，用以反映和考核业务管理制度的有效执行情况。</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2EA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C2F4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具备一个得分要素，得到指标分值的25%。</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3F6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3D1D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建设单位未能提供项目台账，项目档案资料未编制目录，未整理成册，未单独存放，③不得分。</w:t>
            </w:r>
          </w:p>
        </w:tc>
      </w:tr>
      <w:tr w14:paraId="58993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1F3A7">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7AD8DC">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23F01">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10F55">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2A795">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44F924">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B12CC">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E477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①是否遵守相关法律法规和业务管理规定；</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D0184">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0E71A">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BF241A">
            <w:pPr>
              <w:jc w:val="center"/>
              <w:rPr>
                <w:rFonts w:hint="eastAsia" w:ascii="宋体" w:hAnsi="宋体" w:eastAsia="宋体" w:cs="宋体"/>
                <w:i w:val="0"/>
                <w:iCs w:val="0"/>
                <w:color w:val="000000"/>
                <w:sz w:val="18"/>
                <w:szCs w:val="18"/>
                <w:u w:val="none"/>
              </w:rPr>
            </w:pPr>
          </w:p>
        </w:tc>
      </w:tr>
      <w:tr w14:paraId="17808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CC436">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6914BB">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DB0A1">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39894F">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94E1A">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51C44">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973C91">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89E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②项目调整及支出调整手续是否完备；</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734BCA">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62A56">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2D7AC4">
            <w:pPr>
              <w:jc w:val="center"/>
              <w:rPr>
                <w:rFonts w:hint="eastAsia" w:ascii="宋体" w:hAnsi="宋体" w:eastAsia="宋体" w:cs="宋体"/>
                <w:i w:val="0"/>
                <w:iCs w:val="0"/>
                <w:color w:val="000000"/>
                <w:sz w:val="18"/>
                <w:szCs w:val="18"/>
                <w:u w:val="none"/>
              </w:rPr>
            </w:pPr>
          </w:p>
        </w:tc>
      </w:tr>
      <w:tr w14:paraId="2DAE9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CA234">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2A449C">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36DCB0">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33C9D2">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27488">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B80FE3">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F5966">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611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③项目合同书、验收报告、技术鉴定等资料是否齐全并及时归档；</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840774">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4E313">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3DBF98">
            <w:pPr>
              <w:jc w:val="center"/>
              <w:rPr>
                <w:rFonts w:hint="eastAsia" w:ascii="宋体" w:hAnsi="宋体" w:eastAsia="宋体" w:cs="宋体"/>
                <w:i w:val="0"/>
                <w:iCs w:val="0"/>
                <w:color w:val="000000"/>
                <w:sz w:val="18"/>
                <w:szCs w:val="18"/>
                <w:u w:val="none"/>
              </w:rPr>
            </w:pPr>
          </w:p>
        </w:tc>
      </w:tr>
      <w:tr w14:paraId="5EBA6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F2AD1">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A06AB">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EDAC3">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172E28">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55879B">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9D94B">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6B8A8">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13D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④项目实施的人员条件、场地设备、信息支撑等是否落实到位。</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C64EA">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AE421">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991E6">
            <w:pPr>
              <w:jc w:val="center"/>
              <w:rPr>
                <w:rFonts w:hint="eastAsia" w:ascii="宋体" w:hAnsi="宋体" w:eastAsia="宋体" w:cs="宋体"/>
                <w:i w:val="0"/>
                <w:iCs w:val="0"/>
                <w:color w:val="000000"/>
                <w:sz w:val="18"/>
                <w:szCs w:val="18"/>
                <w:u w:val="none"/>
              </w:rPr>
            </w:pPr>
          </w:p>
        </w:tc>
      </w:tr>
      <w:tr w14:paraId="4F45B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D14A87">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C8335">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FDBDEA">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ED17C">
            <w:pPr>
              <w:jc w:val="center"/>
              <w:rPr>
                <w:rFonts w:hint="eastAsia" w:ascii="宋体" w:hAnsi="宋体" w:eastAsia="宋体" w:cs="宋体"/>
                <w:i w:val="0"/>
                <w:iCs w:val="0"/>
                <w:color w:val="000000"/>
                <w:sz w:val="18"/>
                <w:szCs w:val="18"/>
                <w:u w:val="none"/>
              </w:rPr>
            </w:pP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A012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项目质量可控性</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F0FE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AA4A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项目实施单位是否为达到项目质量要求而采取了必需的措施,用以反映和考核项目实施单位对项目质量的控制情况。</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B35F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FC1B1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具备一个得分要素，得到指标分值的50%。</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346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D1FB0">
            <w:pPr>
              <w:jc w:val="center"/>
              <w:rPr>
                <w:rFonts w:hint="eastAsia" w:ascii="宋体" w:hAnsi="宋体" w:eastAsia="宋体" w:cs="宋体"/>
                <w:i w:val="0"/>
                <w:iCs w:val="0"/>
                <w:color w:val="000000"/>
                <w:sz w:val="18"/>
                <w:szCs w:val="18"/>
                <w:u w:val="none"/>
              </w:rPr>
            </w:pPr>
          </w:p>
        </w:tc>
      </w:tr>
      <w:tr w14:paraId="44BB7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C7EB15">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1B7E9">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D20FB">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9BD795">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FCB68C">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9EDB27">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1A80A">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8A5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①是否已制定或具有相应的项目质量要求或标准；</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B79781">
            <w:pPr>
              <w:jc w:val="both"/>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4CF7D">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0158D">
            <w:pPr>
              <w:jc w:val="center"/>
              <w:rPr>
                <w:rFonts w:hint="eastAsia" w:ascii="宋体" w:hAnsi="宋体" w:eastAsia="宋体" w:cs="宋体"/>
                <w:i w:val="0"/>
                <w:iCs w:val="0"/>
                <w:color w:val="000000"/>
                <w:sz w:val="18"/>
                <w:szCs w:val="18"/>
                <w:u w:val="none"/>
              </w:rPr>
            </w:pPr>
          </w:p>
        </w:tc>
      </w:tr>
      <w:tr w14:paraId="7203F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A6BBA">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35F10">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4AC1D">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F87EF8">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200BD">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C5CC0F">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3212B9">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81C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②是否采取了相应的项目质量检查、验收等必需的控制措施或手段。</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8C2735">
            <w:pPr>
              <w:jc w:val="both"/>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C7895">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E6D26">
            <w:pPr>
              <w:jc w:val="center"/>
              <w:rPr>
                <w:rFonts w:hint="eastAsia" w:ascii="宋体" w:hAnsi="宋体" w:eastAsia="宋体" w:cs="宋体"/>
                <w:i w:val="0"/>
                <w:iCs w:val="0"/>
                <w:color w:val="000000"/>
                <w:sz w:val="18"/>
                <w:szCs w:val="18"/>
                <w:u w:val="none"/>
              </w:rPr>
            </w:pPr>
          </w:p>
        </w:tc>
      </w:tr>
      <w:tr w14:paraId="1CA48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A164F5">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494AEF">
            <w:pPr>
              <w:jc w:val="center"/>
              <w:rPr>
                <w:rFonts w:hint="eastAsia" w:ascii="宋体" w:hAnsi="宋体" w:eastAsia="宋体" w:cs="宋体"/>
                <w:i w:val="0"/>
                <w:iCs w:val="0"/>
                <w:color w:val="000000"/>
                <w:sz w:val="18"/>
                <w:szCs w:val="18"/>
                <w:u w:val="none"/>
              </w:rPr>
            </w:pPr>
          </w:p>
        </w:tc>
        <w:tc>
          <w:tcPr>
            <w:tcW w:w="2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112D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预算管理</w:t>
            </w:r>
          </w:p>
        </w:tc>
        <w:tc>
          <w:tcPr>
            <w:tcW w:w="1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7937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F5E0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资金到位率</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014D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83C5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实际到位资金与计划投入资金的比率，用以反映和考核资金落实情况对项目实施的总体保障程度。</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B50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资金到位率=（实际到位资金/计划投入资金）×100%。</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4933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资金到位率≦100%，且未对项目开展造成不良影响，得分等于指标分值*资金到位率；资金到位率﹤100%，且对项目开展造成不良影响，得分等于0。</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889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ED25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依据可研报告王寨桥工程款和监理费预计2,036.48+30.55=2,067.03万元，实际到位资金1177+22.69=1199.69万元，本指标得分1199.69/2067.03*3=1.74分</w:t>
            </w:r>
          </w:p>
        </w:tc>
      </w:tr>
      <w:tr w14:paraId="6815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A6542A">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735D4">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C53DB">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5E46BB">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55FB7">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0A1CBD">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DA90D">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4BA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实际到位资金：一定时期（本年度或项目期）内实际落实到具体项目的资金。</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103D4">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10580">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7573B">
            <w:pPr>
              <w:jc w:val="center"/>
              <w:rPr>
                <w:rFonts w:hint="eastAsia" w:ascii="宋体" w:hAnsi="宋体" w:eastAsia="宋体" w:cs="宋体"/>
                <w:i w:val="0"/>
                <w:iCs w:val="0"/>
                <w:color w:val="000000"/>
                <w:sz w:val="18"/>
                <w:szCs w:val="18"/>
                <w:u w:val="none"/>
              </w:rPr>
            </w:pPr>
          </w:p>
        </w:tc>
      </w:tr>
      <w:tr w14:paraId="4F06D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C1E9BC">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182966">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380119">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B5989">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458C57">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E11180">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8FE17F">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066C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计划投入资金：一定时期（本年度或项目期）内计划投入到具体项目的资金。</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7BA5E">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29AB4">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087134">
            <w:pPr>
              <w:jc w:val="center"/>
              <w:rPr>
                <w:rFonts w:hint="eastAsia" w:ascii="宋体" w:hAnsi="宋体" w:eastAsia="宋体" w:cs="宋体"/>
                <w:i w:val="0"/>
                <w:iCs w:val="0"/>
                <w:color w:val="000000"/>
                <w:sz w:val="18"/>
                <w:szCs w:val="18"/>
                <w:u w:val="none"/>
              </w:rPr>
            </w:pPr>
          </w:p>
        </w:tc>
      </w:tr>
      <w:tr w14:paraId="0160E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D4F2B">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7FD1A">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F53A0">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9027E">
            <w:pPr>
              <w:jc w:val="center"/>
              <w:rPr>
                <w:rFonts w:hint="eastAsia" w:ascii="宋体" w:hAnsi="宋体" w:eastAsia="宋体" w:cs="宋体"/>
                <w:i w:val="0"/>
                <w:iCs w:val="0"/>
                <w:color w:val="000000"/>
                <w:sz w:val="18"/>
                <w:szCs w:val="18"/>
                <w:u w:val="none"/>
              </w:rPr>
            </w:pP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3676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到位及时率</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AF72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EDC3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及时到位资金与应到位资金的比率，用以反映和考核项目资金落实的及时性程度。</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B93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到位及时率=（及时到位资金/应到位资金）×100%。</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5E3C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资金到位率≦100%，且未对项目开展造成不良影响，得分等于指标分值*资金到位率；资金到位率﹤100%，且对项目开展造成不良影响，得分等于0。</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132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470D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2022年11月25日竣工，验收报告未写日期，以竣工日期为验收日期，此时应支付工程款合同价70%，监理费100%，资金未及时到位；2025年4月8日结算报告出具，此时应支付到工程款审计价的97%，资金未及时到位；项目质保期1年，应在2023年11月25日支付工程款审计价的3%，资金未及时到位。综上及时到位资金0，本指标不得分。</w:t>
            </w:r>
          </w:p>
        </w:tc>
      </w:tr>
      <w:tr w14:paraId="4CE17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F4713">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BD4246">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40F5C">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07CF1">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0187B0">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D56C8">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250DC2">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2CF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应到位资金：按照绩效办法、合同或项目进度要求截至规定时点应落实到具体项目的资金。</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F0C2D4">
            <w:pPr>
              <w:jc w:val="center"/>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1203C">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6AA43">
            <w:pPr>
              <w:jc w:val="center"/>
              <w:rPr>
                <w:rFonts w:hint="eastAsia" w:ascii="宋体" w:hAnsi="宋体" w:eastAsia="宋体" w:cs="宋体"/>
                <w:i w:val="0"/>
                <w:iCs w:val="0"/>
                <w:color w:val="000000"/>
                <w:sz w:val="18"/>
                <w:szCs w:val="18"/>
                <w:u w:val="none"/>
              </w:rPr>
            </w:pPr>
          </w:p>
        </w:tc>
      </w:tr>
      <w:tr w14:paraId="4CEEC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F0D9D">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0BCE0C">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F70BD8">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E2FABD">
            <w:pPr>
              <w:jc w:val="center"/>
              <w:rPr>
                <w:rFonts w:hint="eastAsia" w:ascii="宋体" w:hAnsi="宋体" w:eastAsia="宋体" w:cs="宋体"/>
                <w:i w:val="0"/>
                <w:iCs w:val="0"/>
                <w:color w:val="000000"/>
                <w:sz w:val="18"/>
                <w:szCs w:val="18"/>
                <w:u w:val="none"/>
              </w:rPr>
            </w:pP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6CC7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预算执行率</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C354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4DD0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项目预算资金是否按照计划执行，用以反映和考核项目预算执行情况。</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4DE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预算执行率=（实际支出资金/实际到位资金）×100%。</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74CA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得分等于指标分值*预算执行率。</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6AC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4DF20">
            <w:pPr>
              <w:jc w:val="center"/>
              <w:rPr>
                <w:rFonts w:hint="eastAsia" w:ascii="宋体" w:hAnsi="宋体" w:eastAsia="宋体" w:cs="宋体"/>
                <w:i w:val="0"/>
                <w:iCs w:val="0"/>
                <w:color w:val="000000"/>
                <w:sz w:val="18"/>
                <w:szCs w:val="18"/>
                <w:u w:val="none"/>
              </w:rPr>
            </w:pPr>
          </w:p>
        </w:tc>
      </w:tr>
      <w:tr w14:paraId="67408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7837ED">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E3688B">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CF425">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DEFD7">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B8E88">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253AEA">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044BDF">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32AC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①实际支出资金：一定时期（本年度或项目期）内项目实际拨付的资金；</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B630C3">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769E6">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55680">
            <w:pPr>
              <w:jc w:val="center"/>
              <w:rPr>
                <w:rFonts w:hint="eastAsia" w:ascii="宋体" w:hAnsi="宋体" w:eastAsia="宋体" w:cs="宋体"/>
                <w:i w:val="0"/>
                <w:iCs w:val="0"/>
                <w:color w:val="000000"/>
                <w:sz w:val="18"/>
                <w:szCs w:val="18"/>
                <w:u w:val="none"/>
              </w:rPr>
            </w:pPr>
          </w:p>
        </w:tc>
      </w:tr>
      <w:tr w14:paraId="4650E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4A1C2">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B32D7">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68182">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67E7D">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D96032">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A037DD">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502B68">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0E2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②实际到位资金：一定时期（本年度或项目期）内实际落实到具体项目的资金。</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F6F000">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D2781">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AC4DD">
            <w:pPr>
              <w:jc w:val="center"/>
              <w:rPr>
                <w:rFonts w:hint="eastAsia" w:ascii="宋体" w:hAnsi="宋体" w:eastAsia="宋体" w:cs="宋体"/>
                <w:i w:val="0"/>
                <w:iCs w:val="0"/>
                <w:color w:val="000000"/>
                <w:sz w:val="18"/>
                <w:szCs w:val="18"/>
                <w:u w:val="none"/>
              </w:rPr>
            </w:pPr>
          </w:p>
        </w:tc>
      </w:tr>
      <w:tr w14:paraId="0AE96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2C14D">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FC5483">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ECA84">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3CD9C4">
            <w:pPr>
              <w:jc w:val="center"/>
              <w:rPr>
                <w:rFonts w:hint="eastAsia" w:ascii="宋体" w:hAnsi="宋体" w:eastAsia="宋体" w:cs="宋体"/>
                <w:i w:val="0"/>
                <w:iCs w:val="0"/>
                <w:color w:val="000000"/>
                <w:sz w:val="18"/>
                <w:szCs w:val="18"/>
                <w:u w:val="none"/>
              </w:rPr>
            </w:pP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DDEA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管理制度健全性</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54E9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CFA2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项目实施单位的财务制度是否健全，用以反映和考核财务管理制度对资金规范、安全运行的保障情况。</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C01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48AF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具备一个得分要素，得到指标分值的50%。</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2E1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74FDF">
            <w:pPr>
              <w:jc w:val="center"/>
              <w:rPr>
                <w:rFonts w:hint="eastAsia" w:ascii="宋体" w:hAnsi="宋体" w:eastAsia="宋体" w:cs="宋体"/>
                <w:i w:val="0"/>
                <w:iCs w:val="0"/>
                <w:color w:val="000000"/>
                <w:sz w:val="18"/>
                <w:szCs w:val="18"/>
                <w:u w:val="none"/>
              </w:rPr>
            </w:pPr>
          </w:p>
        </w:tc>
      </w:tr>
      <w:tr w14:paraId="0CAA2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5C542">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356B9">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0D664">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2D2009">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A4EFB6">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D112D6">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BE7EF">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13B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①是否已制定或具有相应的项目资金管理办法；</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7DF115">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BD559">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7DA62">
            <w:pPr>
              <w:jc w:val="center"/>
              <w:rPr>
                <w:rFonts w:hint="eastAsia" w:ascii="宋体" w:hAnsi="宋体" w:eastAsia="宋体" w:cs="宋体"/>
                <w:i w:val="0"/>
                <w:iCs w:val="0"/>
                <w:color w:val="000000"/>
                <w:sz w:val="18"/>
                <w:szCs w:val="18"/>
                <w:u w:val="none"/>
              </w:rPr>
            </w:pPr>
          </w:p>
        </w:tc>
      </w:tr>
      <w:tr w14:paraId="1AE3F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C7427C">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068586">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56B84">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84317">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870C1">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6860A">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8BA363">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865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②项目资金管理办法是否符合相关财务会计制度的规定。</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B059DF">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2ABE2">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E1EC9">
            <w:pPr>
              <w:jc w:val="center"/>
              <w:rPr>
                <w:rFonts w:hint="eastAsia" w:ascii="宋体" w:hAnsi="宋体" w:eastAsia="宋体" w:cs="宋体"/>
                <w:i w:val="0"/>
                <w:iCs w:val="0"/>
                <w:color w:val="000000"/>
                <w:sz w:val="18"/>
                <w:szCs w:val="18"/>
                <w:u w:val="none"/>
              </w:rPr>
            </w:pPr>
          </w:p>
        </w:tc>
      </w:tr>
      <w:tr w14:paraId="07331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0AE3C5">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EA616">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7AF214">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FAA79">
            <w:pPr>
              <w:jc w:val="center"/>
              <w:rPr>
                <w:rFonts w:hint="eastAsia" w:ascii="宋体" w:hAnsi="宋体" w:eastAsia="宋体" w:cs="宋体"/>
                <w:i w:val="0"/>
                <w:iCs w:val="0"/>
                <w:color w:val="000000"/>
                <w:sz w:val="18"/>
                <w:szCs w:val="18"/>
                <w:u w:val="none"/>
              </w:rPr>
            </w:pP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6454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资金使用合规性</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7C7A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97307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项目资金使用是否符合相关的财务管理制度规定，用以反映和考核项目资金的规范运行情况。</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B32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35CE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具备一个得分要素，得到指标分值的20%。但如缺少要素④或⑤指标得分为0。</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B2A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0D1FD">
            <w:pPr>
              <w:jc w:val="center"/>
              <w:rPr>
                <w:rFonts w:hint="eastAsia" w:ascii="宋体" w:hAnsi="宋体" w:eastAsia="宋体" w:cs="宋体"/>
                <w:i w:val="0"/>
                <w:iCs w:val="0"/>
                <w:color w:val="000000"/>
                <w:sz w:val="18"/>
                <w:szCs w:val="18"/>
                <w:u w:val="none"/>
              </w:rPr>
            </w:pPr>
          </w:p>
        </w:tc>
      </w:tr>
      <w:tr w14:paraId="62956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8B5FF3">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46E77">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ECB97C">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56F17A">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1970E3">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B3B71">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B0161">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63B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①是否符合国家财经法规和财务管理制度以及有关专项资金管理办法的规定；</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4884FD">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DE00D">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7169E">
            <w:pPr>
              <w:jc w:val="center"/>
              <w:rPr>
                <w:rFonts w:hint="eastAsia" w:ascii="宋体" w:hAnsi="宋体" w:eastAsia="宋体" w:cs="宋体"/>
                <w:i w:val="0"/>
                <w:iCs w:val="0"/>
                <w:color w:val="000000"/>
                <w:sz w:val="18"/>
                <w:szCs w:val="18"/>
                <w:u w:val="none"/>
              </w:rPr>
            </w:pPr>
          </w:p>
        </w:tc>
      </w:tr>
      <w:tr w14:paraId="31818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663BD">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4B106">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1517E">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53C74A">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C68F2">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EDF2B">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DCAA53">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650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②资金的拨付是否有完整的审批程序和手续；</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B886EE">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FC4AE">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C27E5">
            <w:pPr>
              <w:jc w:val="center"/>
              <w:rPr>
                <w:rFonts w:hint="eastAsia" w:ascii="宋体" w:hAnsi="宋体" w:eastAsia="宋体" w:cs="宋体"/>
                <w:i w:val="0"/>
                <w:iCs w:val="0"/>
                <w:color w:val="000000"/>
                <w:sz w:val="18"/>
                <w:szCs w:val="18"/>
                <w:u w:val="none"/>
              </w:rPr>
            </w:pPr>
          </w:p>
        </w:tc>
      </w:tr>
      <w:tr w14:paraId="5366E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5798E">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FAA634">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53297">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73BA62">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708A6">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4A441">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70A12E">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B73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③项目开支是否符合政府采购管理要求；</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417594">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91F4D">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BEFA7">
            <w:pPr>
              <w:jc w:val="center"/>
              <w:rPr>
                <w:rFonts w:hint="eastAsia" w:ascii="宋体" w:hAnsi="宋体" w:eastAsia="宋体" w:cs="宋体"/>
                <w:i w:val="0"/>
                <w:iCs w:val="0"/>
                <w:color w:val="000000"/>
                <w:sz w:val="18"/>
                <w:szCs w:val="18"/>
                <w:u w:val="none"/>
              </w:rPr>
            </w:pPr>
          </w:p>
        </w:tc>
      </w:tr>
      <w:tr w14:paraId="3147C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868285">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62517">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702F6E">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5D4B8">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7CCB4">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F617F">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33975">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B3F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④是否符合项目预算批复或合同规定的用途；</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32B53C">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9EFC6">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D2E9D">
            <w:pPr>
              <w:jc w:val="center"/>
              <w:rPr>
                <w:rFonts w:hint="eastAsia" w:ascii="宋体" w:hAnsi="宋体" w:eastAsia="宋体" w:cs="宋体"/>
                <w:i w:val="0"/>
                <w:iCs w:val="0"/>
                <w:color w:val="000000"/>
                <w:sz w:val="18"/>
                <w:szCs w:val="18"/>
                <w:u w:val="none"/>
              </w:rPr>
            </w:pPr>
          </w:p>
        </w:tc>
      </w:tr>
      <w:tr w14:paraId="184DF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0F1A26">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9A972">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B5275">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20B477">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D441C6">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F5DF5">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748341">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9B3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⑤是否存在截留、挤占、挪用、虚列支出等情况。</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C7D4D">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C3306">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D2580">
            <w:pPr>
              <w:jc w:val="center"/>
              <w:rPr>
                <w:rFonts w:hint="eastAsia" w:ascii="宋体" w:hAnsi="宋体" w:eastAsia="宋体" w:cs="宋体"/>
                <w:i w:val="0"/>
                <w:iCs w:val="0"/>
                <w:color w:val="000000"/>
                <w:sz w:val="18"/>
                <w:szCs w:val="18"/>
                <w:u w:val="none"/>
              </w:rPr>
            </w:pPr>
          </w:p>
        </w:tc>
      </w:tr>
      <w:tr w14:paraId="666B9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082DD">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06482">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B6856">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48EF12">
            <w:pPr>
              <w:jc w:val="center"/>
              <w:rPr>
                <w:rFonts w:hint="eastAsia" w:ascii="宋体" w:hAnsi="宋体" w:eastAsia="宋体" w:cs="宋体"/>
                <w:i w:val="0"/>
                <w:iCs w:val="0"/>
                <w:color w:val="000000"/>
                <w:sz w:val="18"/>
                <w:szCs w:val="18"/>
                <w:u w:val="none"/>
              </w:rPr>
            </w:pP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F936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财务监控有效性</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37B8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33E4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项目实施单位是否为保障资金的安全、规范运行而采取了必要的监控措施，用以反映和考核项目实施单位对资金运行的控制情况。</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640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EA04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具备一个得分要素，得到指标分值的50%。</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421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1FD60">
            <w:pPr>
              <w:jc w:val="center"/>
              <w:rPr>
                <w:rFonts w:hint="eastAsia" w:ascii="宋体" w:hAnsi="宋体" w:eastAsia="宋体" w:cs="宋体"/>
                <w:i w:val="0"/>
                <w:iCs w:val="0"/>
                <w:color w:val="000000"/>
                <w:sz w:val="18"/>
                <w:szCs w:val="18"/>
                <w:u w:val="none"/>
              </w:rPr>
            </w:pPr>
          </w:p>
        </w:tc>
      </w:tr>
      <w:tr w14:paraId="57CA6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83112">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F589B2">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7E1C4">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02E57D">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7C0B6">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2BCFA">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E4329">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0CC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①是否已制定或具有相应的监控机制；</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A8D19">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9F29F">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6FC9F">
            <w:pPr>
              <w:jc w:val="center"/>
              <w:rPr>
                <w:rFonts w:hint="eastAsia" w:ascii="宋体" w:hAnsi="宋体" w:eastAsia="宋体" w:cs="宋体"/>
                <w:i w:val="0"/>
                <w:iCs w:val="0"/>
                <w:color w:val="000000"/>
                <w:sz w:val="18"/>
                <w:szCs w:val="18"/>
                <w:u w:val="none"/>
              </w:rPr>
            </w:pPr>
          </w:p>
        </w:tc>
      </w:tr>
      <w:tr w14:paraId="0A1FB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F67EF">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E0808C">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2195A2">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7F2A08">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5CAC23">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F11B0">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CABA0">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BF7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②是否采取了相应的财务检查等必要的监控措施或手段。</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A218C">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07268">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3BC65">
            <w:pPr>
              <w:jc w:val="center"/>
              <w:rPr>
                <w:rFonts w:hint="eastAsia" w:ascii="宋体" w:hAnsi="宋体" w:eastAsia="宋体" w:cs="宋体"/>
                <w:i w:val="0"/>
                <w:iCs w:val="0"/>
                <w:color w:val="000000"/>
                <w:sz w:val="18"/>
                <w:szCs w:val="18"/>
                <w:u w:val="none"/>
              </w:rPr>
            </w:pPr>
          </w:p>
        </w:tc>
      </w:tr>
      <w:tr w14:paraId="67512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BD6F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 出</w:t>
            </w:r>
          </w:p>
        </w:tc>
        <w:tc>
          <w:tcPr>
            <w:tcW w:w="1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99BA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2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19F0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产出数量</w:t>
            </w:r>
          </w:p>
        </w:tc>
        <w:tc>
          <w:tcPr>
            <w:tcW w:w="1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5CE9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C5B4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实际完成率</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BCCB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9FE50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项目实施的实际产出数与计划产出数的比率，用以反映和考核项目产出数量目标的实现程度。</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745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实际完成率=（实际产出数/计划产出数）×100%。</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FBBFC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得分等于指标分值*实际完成率；</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1A8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3246E">
            <w:pPr>
              <w:jc w:val="center"/>
              <w:rPr>
                <w:rFonts w:hint="eastAsia" w:ascii="宋体" w:hAnsi="宋体" w:eastAsia="宋体" w:cs="宋体"/>
                <w:i w:val="0"/>
                <w:iCs w:val="0"/>
                <w:color w:val="000000"/>
                <w:sz w:val="18"/>
                <w:szCs w:val="18"/>
                <w:u w:val="none"/>
              </w:rPr>
            </w:pPr>
          </w:p>
        </w:tc>
      </w:tr>
      <w:tr w14:paraId="5572D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0770A">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1A6E6D">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694CE">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7B37FA">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99E2A7">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F29BE0">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3DA48">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F07C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实际产出数：一定时期（本年度或项目期）内项目实际产出的产品或提供的服务数量。</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7A066">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75702">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9602B">
            <w:pPr>
              <w:jc w:val="center"/>
              <w:rPr>
                <w:rFonts w:hint="eastAsia" w:ascii="宋体" w:hAnsi="宋体" w:eastAsia="宋体" w:cs="宋体"/>
                <w:i w:val="0"/>
                <w:iCs w:val="0"/>
                <w:color w:val="000000"/>
                <w:sz w:val="18"/>
                <w:szCs w:val="18"/>
                <w:u w:val="none"/>
              </w:rPr>
            </w:pPr>
          </w:p>
        </w:tc>
      </w:tr>
      <w:tr w14:paraId="539FC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F9704">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2D9A2C">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D798F">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8A3030">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FB5C1D">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00A77">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B6EFA2">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862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计划产出数：项目绩效目标确定的在一定时期(年度或项目期)内计划产出的产品或提供的服务数量</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02DC8">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FA8E9">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9B258">
            <w:pPr>
              <w:jc w:val="center"/>
              <w:rPr>
                <w:rFonts w:hint="eastAsia" w:ascii="宋体" w:hAnsi="宋体" w:eastAsia="宋体" w:cs="宋体"/>
                <w:i w:val="0"/>
                <w:iCs w:val="0"/>
                <w:color w:val="000000"/>
                <w:sz w:val="18"/>
                <w:szCs w:val="18"/>
                <w:u w:val="none"/>
              </w:rPr>
            </w:pPr>
          </w:p>
        </w:tc>
      </w:tr>
      <w:tr w14:paraId="1E360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25F66">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386A8">
            <w:pPr>
              <w:jc w:val="center"/>
              <w:rPr>
                <w:rFonts w:hint="eastAsia" w:ascii="宋体" w:hAnsi="宋体" w:eastAsia="宋体" w:cs="宋体"/>
                <w:i w:val="0"/>
                <w:iCs w:val="0"/>
                <w:color w:val="000000"/>
                <w:sz w:val="18"/>
                <w:szCs w:val="18"/>
                <w:u w:val="none"/>
              </w:rPr>
            </w:pPr>
          </w:p>
        </w:tc>
        <w:tc>
          <w:tcPr>
            <w:tcW w:w="2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D6FD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产出时效</w:t>
            </w:r>
          </w:p>
        </w:tc>
        <w:tc>
          <w:tcPr>
            <w:tcW w:w="1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E400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FFC7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完成及时率</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6271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358F7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项目实际提前完成时间与计划完成时间的比率，用以反映和考核项目产出时效目标的实现程度。</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010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完成及时率=[（计划完成时间-实际完成时间）/计划完成时间]×100%。</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741F0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扣分分值=指标分值*完成及时率；</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A07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5.83</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7341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项目合同工期90日，2022年8月10日—2022年11月10日。实际2022年11月25日竣工，延期15日历天，实际工期105日，扣分分值（90-105）/90*7=1.17分</w:t>
            </w:r>
          </w:p>
        </w:tc>
      </w:tr>
      <w:tr w14:paraId="0AF13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99A97">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6515EE">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032769">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C0780">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86116">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E94B7">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FAF149">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50D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实际完成时间：项目实施单位完成该项目实际所耗用的时间。</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0F1578">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9C1B">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DB7F2">
            <w:pPr>
              <w:jc w:val="center"/>
              <w:rPr>
                <w:rFonts w:hint="eastAsia" w:ascii="宋体" w:hAnsi="宋体" w:eastAsia="宋体" w:cs="宋体"/>
                <w:i w:val="0"/>
                <w:iCs w:val="0"/>
                <w:color w:val="000000"/>
                <w:sz w:val="18"/>
                <w:szCs w:val="18"/>
                <w:u w:val="none"/>
              </w:rPr>
            </w:pPr>
          </w:p>
        </w:tc>
      </w:tr>
      <w:tr w14:paraId="0B1C4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1B7A5">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040B7">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F8C21">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944DFB">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00FF30">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9980D">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CB5D54">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3EE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计划完成时间：按照项目施工合同规定完成该项目所需的时间。</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B1D395">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307FF">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E60F93">
            <w:pPr>
              <w:jc w:val="center"/>
              <w:rPr>
                <w:rFonts w:hint="eastAsia" w:ascii="宋体" w:hAnsi="宋体" w:eastAsia="宋体" w:cs="宋体"/>
                <w:i w:val="0"/>
                <w:iCs w:val="0"/>
                <w:color w:val="000000"/>
                <w:sz w:val="18"/>
                <w:szCs w:val="18"/>
                <w:u w:val="none"/>
              </w:rPr>
            </w:pPr>
          </w:p>
        </w:tc>
      </w:tr>
      <w:tr w14:paraId="54FC9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13836">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25071">
            <w:pPr>
              <w:jc w:val="center"/>
              <w:rPr>
                <w:rFonts w:hint="eastAsia" w:ascii="宋体" w:hAnsi="宋体" w:eastAsia="宋体" w:cs="宋体"/>
                <w:i w:val="0"/>
                <w:iCs w:val="0"/>
                <w:color w:val="000000"/>
                <w:sz w:val="18"/>
                <w:szCs w:val="18"/>
                <w:u w:val="none"/>
              </w:rPr>
            </w:pPr>
          </w:p>
        </w:tc>
        <w:tc>
          <w:tcPr>
            <w:tcW w:w="2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C170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产出质量</w:t>
            </w:r>
          </w:p>
        </w:tc>
        <w:tc>
          <w:tcPr>
            <w:tcW w:w="1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B49A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D22E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质量达标率</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6C9E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7F68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项目完成的质量达标产出数与实际产出数的比率，用以反映和考核项目产出质量目标的实现程度。</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7DD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质量达标率=（质量达标产出数/实际产出数）×100%。</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7579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得分等于指标分值*质量达标率。</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113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F0A72">
            <w:pPr>
              <w:jc w:val="center"/>
              <w:rPr>
                <w:rFonts w:hint="eastAsia" w:ascii="宋体" w:hAnsi="宋体" w:eastAsia="宋体" w:cs="宋体"/>
                <w:i w:val="0"/>
                <w:iCs w:val="0"/>
                <w:color w:val="000000"/>
                <w:sz w:val="18"/>
                <w:szCs w:val="18"/>
                <w:u w:val="none"/>
              </w:rPr>
            </w:pPr>
          </w:p>
        </w:tc>
      </w:tr>
      <w:tr w14:paraId="3E120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979971">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5FCD55">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FF9254">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272D4F">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063FC">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FB9B8B">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CA1EF">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88F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质量达标产出数：一定时期（本年度或项目期）内实际达到既定质量标准的产品或服务数量。</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5CB93C">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6FFDE">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FA784">
            <w:pPr>
              <w:jc w:val="center"/>
              <w:rPr>
                <w:rFonts w:hint="eastAsia" w:ascii="宋体" w:hAnsi="宋体" w:eastAsia="宋体" w:cs="宋体"/>
                <w:i w:val="0"/>
                <w:iCs w:val="0"/>
                <w:color w:val="000000"/>
                <w:sz w:val="18"/>
                <w:szCs w:val="18"/>
                <w:u w:val="none"/>
              </w:rPr>
            </w:pPr>
          </w:p>
        </w:tc>
      </w:tr>
      <w:tr w14:paraId="69D47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A16CF">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C0C8F">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C7AD9">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3D51EF">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F08DEC">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D6530">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F8C35">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FBE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既定质量标准是指项目实施单位设立绩效目标时依据计划标准、行业标准、历史标准或其他标准而设定的绩效指标值。</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4F22B">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C3F9E">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9C2BC">
            <w:pPr>
              <w:jc w:val="center"/>
              <w:rPr>
                <w:rFonts w:hint="eastAsia" w:ascii="宋体" w:hAnsi="宋体" w:eastAsia="宋体" w:cs="宋体"/>
                <w:i w:val="0"/>
                <w:iCs w:val="0"/>
                <w:color w:val="000000"/>
                <w:sz w:val="18"/>
                <w:szCs w:val="18"/>
                <w:u w:val="none"/>
              </w:rPr>
            </w:pPr>
          </w:p>
        </w:tc>
      </w:tr>
      <w:tr w14:paraId="30B7B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57B54D">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E73DD">
            <w:pPr>
              <w:jc w:val="center"/>
              <w:rPr>
                <w:rFonts w:hint="eastAsia" w:ascii="宋体" w:hAnsi="宋体" w:eastAsia="宋体" w:cs="宋体"/>
                <w:i w:val="0"/>
                <w:iCs w:val="0"/>
                <w:color w:val="000000"/>
                <w:sz w:val="18"/>
                <w:szCs w:val="18"/>
                <w:u w:val="none"/>
              </w:rPr>
            </w:pPr>
          </w:p>
        </w:tc>
        <w:tc>
          <w:tcPr>
            <w:tcW w:w="2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46E7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产出成本</w:t>
            </w:r>
          </w:p>
        </w:tc>
        <w:tc>
          <w:tcPr>
            <w:tcW w:w="1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ABBA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9363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成本节约率</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DF05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E5A08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完成项目计划工作目标的实际节约成本与计划成本的比率，用以反映和考核项目的成本节约程度。</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0CA9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成本节约率=[（计划成本-实际成本）/计划成本]×100%。</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AC4E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得分等于指标分值*成本节约率/20%</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A08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8.72</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4C25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依据可研报告王寨桥工程款和监理费预计2,036.48+30.55=2,067.03万元，实际工程款和监理费1,643.77+22.69=1,666.46万元，本指标得分（2,067.03-1,666.46）/2,067.03/20%*9=8.72分</w:t>
            </w:r>
          </w:p>
        </w:tc>
      </w:tr>
      <w:tr w14:paraId="5F8EF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173C4A">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46B92">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88A92">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3E4A22">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CD7D2">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E1B142">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79FA3">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65F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实际成本：项目实施单位如期、保质、保量完成既定工作目标实际所耗费的支出。</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A9E7FB">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22121">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DC4271">
            <w:pPr>
              <w:jc w:val="center"/>
              <w:rPr>
                <w:rFonts w:hint="eastAsia" w:ascii="宋体" w:hAnsi="宋体" w:eastAsia="宋体" w:cs="宋体"/>
                <w:i w:val="0"/>
                <w:iCs w:val="0"/>
                <w:color w:val="000000"/>
                <w:sz w:val="18"/>
                <w:szCs w:val="18"/>
                <w:u w:val="none"/>
              </w:rPr>
            </w:pPr>
          </w:p>
        </w:tc>
      </w:tr>
      <w:tr w14:paraId="61695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FF91BE">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5A062">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BB39F">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3EE399">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FF9F1">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74899">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C6E1A">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0DCB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计划成本：项目实施单位为完成工作目标计划安排的支出，一般以项目预算为参考。</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07B9F">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03AAF">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DA1523">
            <w:pPr>
              <w:jc w:val="center"/>
              <w:rPr>
                <w:rFonts w:hint="eastAsia" w:ascii="宋体" w:hAnsi="宋体" w:eastAsia="宋体" w:cs="宋体"/>
                <w:i w:val="0"/>
                <w:iCs w:val="0"/>
                <w:color w:val="000000"/>
                <w:sz w:val="18"/>
                <w:szCs w:val="18"/>
                <w:u w:val="none"/>
              </w:rPr>
            </w:pPr>
          </w:p>
        </w:tc>
      </w:tr>
      <w:tr w14:paraId="75F25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1F51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 果</w:t>
            </w:r>
          </w:p>
        </w:tc>
        <w:tc>
          <w:tcPr>
            <w:tcW w:w="1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A88A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80E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经济效益</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5DD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2D6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经济效益</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603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821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项目实施对经济发展所带来的直接或间接影响情况。</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C3CB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项目为公共基础设施建设，经济效益采用定性指标和问卷调查相结合的方式。</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84C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桥梁运营通车得4分，问卷分值满分3分，问卷得分等于3*经济指标的问卷平均比例。若桥梁未运营，经济效益得0分。</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8C2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6.10 </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C38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调查问卷6、7题，为经济效益问卷，两个问题的综合满意度70.14%，问卷得分3*70.14%=2.10分。</w:t>
            </w:r>
          </w:p>
        </w:tc>
      </w:tr>
      <w:tr w14:paraId="1DD29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7050A4">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D70DF">
            <w:pPr>
              <w:jc w:val="center"/>
              <w:rPr>
                <w:rFonts w:hint="eastAsia" w:ascii="宋体" w:hAnsi="宋体" w:eastAsia="宋体" w:cs="宋体"/>
                <w:i w:val="0"/>
                <w:iCs w:val="0"/>
                <w:color w:val="000000"/>
                <w:sz w:val="18"/>
                <w:szCs w:val="18"/>
                <w:u w:val="none"/>
              </w:rPr>
            </w:pP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60B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BE8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738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4C0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E4B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项目实施对社会发展所带来的直接或间接影响情况。</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5EB2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项目为公共基础设施建设，社会效益采用定性指标和问卷调查相结合的方式。</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DF9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桥梁运营通车得4分，问卷分值满分3分，问卷得分等于3*经济指标的问卷平均比例。若桥梁未运营，社会效益得0分。</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5DD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6.15</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C14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调查问卷5、8、9、10、11题，为社会效益问卷，五个问题的综合满意度71.68%，问卷得分3*71.68%=2.15分</w:t>
            </w:r>
          </w:p>
        </w:tc>
      </w:tr>
      <w:tr w14:paraId="4D477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47B55">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5861D">
            <w:pPr>
              <w:jc w:val="center"/>
              <w:rPr>
                <w:rFonts w:hint="eastAsia" w:ascii="宋体" w:hAnsi="宋体" w:eastAsia="宋体" w:cs="宋体"/>
                <w:i w:val="0"/>
                <w:iCs w:val="0"/>
                <w:color w:val="000000"/>
                <w:sz w:val="18"/>
                <w:szCs w:val="18"/>
                <w:u w:val="none"/>
              </w:rPr>
            </w:pPr>
          </w:p>
        </w:tc>
        <w:tc>
          <w:tcPr>
            <w:tcW w:w="2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6AB2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w:t>
            </w:r>
          </w:p>
        </w:tc>
        <w:tc>
          <w:tcPr>
            <w:tcW w:w="1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8225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1218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23C5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82A2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项目后续运行及成效发挥的可持续影响情况。</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CCE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CCAD0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①、②各占3分；③查看验收报告，验收合格得3分，有一处质量缺陷扣1分，最多扣3分。</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3D5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59EB4">
            <w:pPr>
              <w:jc w:val="center"/>
              <w:rPr>
                <w:rFonts w:hint="eastAsia" w:ascii="宋体" w:hAnsi="宋体" w:eastAsia="宋体" w:cs="宋体"/>
                <w:i w:val="0"/>
                <w:iCs w:val="0"/>
                <w:color w:val="000000"/>
                <w:sz w:val="18"/>
                <w:szCs w:val="18"/>
                <w:u w:val="none"/>
              </w:rPr>
            </w:pPr>
          </w:p>
        </w:tc>
      </w:tr>
      <w:tr w14:paraId="6F2DC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0E683">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2E44D7">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4DA348">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0BD15D">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7798F">
            <w:pPr>
              <w:jc w:val="center"/>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1F981">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BFE3C3">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765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①是否有桩基承载力检测报告。</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7AF64C">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D7D5F">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A3ADE">
            <w:pPr>
              <w:jc w:val="center"/>
              <w:rPr>
                <w:rFonts w:hint="eastAsia" w:ascii="宋体" w:hAnsi="宋体" w:eastAsia="宋体" w:cs="宋体"/>
                <w:i w:val="0"/>
                <w:iCs w:val="0"/>
                <w:color w:val="000000"/>
                <w:sz w:val="18"/>
                <w:szCs w:val="18"/>
                <w:u w:val="none"/>
              </w:rPr>
            </w:pPr>
          </w:p>
        </w:tc>
      </w:tr>
      <w:tr w14:paraId="7820C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EF5021">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1314A5">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FD2D1">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49C69">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EC6BA">
            <w:pPr>
              <w:jc w:val="center"/>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06ED84">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52F4EE">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945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②是否有全部桥梁竣工承载力检测报告。</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F106D">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F7FD9">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45DC0">
            <w:pPr>
              <w:jc w:val="center"/>
              <w:rPr>
                <w:rFonts w:hint="eastAsia" w:ascii="宋体" w:hAnsi="宋体" w:eastAsia="宋体" w:cs="宋体"/>
                <w:i w:val="0"/>
                <w:iCs w:val="0"/>
                <w:color w:val="000000"/>
                <w:sz w:val="18"/>
                <w:szCs w:val="18"/>
                <w:u w:val="none"/>
              </w:rPr>
            </w:pPr>
          </w:p>
        </w:tc>
      </w:tr>
      <w:tr w14:paraId="5C747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C7E66">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FD0326">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13B0B">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A5A455">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15864A">
            <w:pPr>
              <w:jc w:val="center"/>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09FF6D">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C12C7A">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C58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③依据项目设计图，桥梁主体结构预计使用50年，栏杆、支座、伸缩缝等易损部件15年，结合项目验收有无质量缺陷酌情扣分。</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CB18B">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C4790">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F2144">
            <w:pPr>
              <w:jc w:val="center"/>
              <w:rPr>
                <w:rFonts w:hint="eastAsia" w:ascii="宋体" w:hAnsi="宋体" w:eastAsia="宋体" w:cs="宋体"/>
                <w:i w:val="0"/>
                <w:iCs w:val="0"/>
                <w:color w:val="000000"/>
                <w:sz w:val="18"/>
                <w:szCs w:val="18"/>
                <w:u w:val="none"/>
              </w:rPr>
            </w:pPr>
          </w:p>
        </w:tc>
      </w:tr>
      <w:tr w14:paraId="12AC2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45D63">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F0DC2F">
            <w:pPr>
              <w:jc w:val="center"/>
              <w:rPr>
                <w:rFonts w:hint="eastAsia" w:ascii="宋体" w:hAnsi="宋体" w:eastAsia="宋体" w:cs="宋体"/>
                <w:i w:val="0"/>
                <w:iCs w:val="0"/>
                <w:color w:val="000000"/>
                <w:sz w:val="18"/>
                <w:szCs w:val="18"/>
                <w:u w:val="none"/>
              </w:rPr>
            </w:pP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C6A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社会公众或服务对象满意度</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374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144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社会公众或服务对象满意度</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7A5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CDC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社会公众或服务对象对项目实施效果的满意程度。</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426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社会公众或服务对象是指因该项目实施而受到影响的部门（单位）、群体或个人。一般采取社会调查的方式。</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DCF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根据问卷调查</w:t>
            </w:r>
            <w:r>
              <w:rPr>
                <w:rFonts w:hint="eastAsia" w:ascii="宋体" w:hAnsi="宋体" w:cs="宋体"/>
                <w:i w:val="0"/>
                <w:iCs w:val="0"/>
                <w:color w:val="000000"/>
                <w:kern w:val="0"/>
                <w:sz w:val="18"/>
                <w:szCs w:val="18"/>
                <w:u w:val="none"/>
                <w:lang w:val="en-US" w:eastAsia="zh-CN" w:bidi="ar"/>
              </w:rPr>
              <w:t>的</w:t>
            </w:r>
            <w:r>
              <w:rPr>
                <w:rFonts w:hint="eastAsia" w:ascii="宋体" w:hAnsi="宋体" w:eastAsia="宋体" w:cs="宋体"/>
                <w:i w:val="0"/>
                <w:iCs w:val="0"/>
                <w:color w:val="000000"/>
                <w:kern w:val="0"/>
                <w:sz w:val="18"/>
                <w:szCs w:val="18"/>
                <w:u w:val="none"/>
                <w:lang w:val="en-US" w:eastAsia="zh-CN" w:bidi="ar"/>
              </w:rPr>
              <w:t>满意情况确定满意度得分，分值*问卷满意度。</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B32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5.16</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F8D3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问卷调查14题，为综合满意度调查，综合满意度73.66%，本指标得分7*73.66%=5.16分</w:t>
            </w:r>
          </w:p>
        </w:tc>
      </w:tr>
      <w:tr w14:paraId="0C1AB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2A37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整体评价</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9432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100</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8095C">
            <w:pPr>
              <w:jc w:val="center"/>
              <w:rPr>
                <w:rFonts w:hint="eastAsia" w:ascii="宋体" w:hAnsi="宋体" w:eastAsia="宋体" w:cs="宋体"/>
                <w:b/>
                <w:bCs/>
                <w:i w:val="0"/>
                <w:iCs w:val="0"/>
                <w:color w:val="000000"/>
                <w:sz w:val="18"/>
                <w:szCs w:val="18"/>
                <w:u w:val="none"/>
              </w:rPr>
            </w:pP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7951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100</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9C071">
            <w:pPr>
              <w:jc w:val="center"/>
              <w:rPr>
                <w:rFonts w:hint="eastAsia" w:ascii="宋体" w:hAnsi="宋体" w:eastAsia="宋体" w:cs="宋体"/>
                <w:b/>
                <w:bCs/>
                <w:i w:val="0"/>
                <w:iCs w:val="0"/>
                <w:color w:val="000000"/>
                <w:sz w:val="18"/>
                <w:szCs w:val="18"/>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53A0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100</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0749D">
            <w:pPr>
              <w:jc w:val="center"/>
              <w:rPr>
                <w:rFonts w:hint="eastAsia" w:ascii="宋体" w:hAnsi="宋体" w:eastAsia="宋体" w:cs="宋体"/>
                <w:b/>
                <w:bCs/>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F1851">
            <w:pPr>
              <w:jc w:val="center"/>
              <w:rPr>
                <w:rFonts w:hint="eastAsia" w:ascii="宋体" w:hAnsi="宋体" w:eastAsia="宋体" w:cs="宋体"/>
                <w:b/>
                <w:bCs/>
                <w:i w:val="0"/>
                <w:iCs w:val="0"/>
                <w:color w:val="000000"/>
                <w:sz w:val="18"/>
                <w:szCs w:val="18"/>
                <w:u w:val="none"/>
              </w:rPr>
            </w:pP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7E527">
            <w:pPr>
              <w:jc w:val="center"/>
              <w:rPr>
                <w:rFonts w:hint="eastAsia" w:ascii="宋体" w:hAnsi="宋体" w:eastAsia="宋体" w:cs="宋体"/>
                <w:b/>
                <w:bCs/>
                <w:i w:val="0"/>
                <w:iCs w:val="0"/>
                <w:color w:val="000000"/>
                <w:sz w:val="18"/>
                <w:szCs w:val="18"/>
                <w:u w:val="none"/>
              </w:rPr>
            </w:pP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824B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88.29</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EDC25">
            <w:pPr>
              <w:jc w:val="center"/>
              <w:rPr>
                <w:rFonts w:hint="eastAsia" w:ascii="宋体" w:hAnsi="宋体" w:eastAsia="宋体" w:cs="宋体"/>
                <w:b/>
                <w:bCs/>
                <w:i w:val="0"/>
                <w:iCs w:val="0"/>
                <w:color w:val="000000"/>
                <w:sz w:val="18"/>
                <w:szCs w:val="18"/>
                <w:u w:val="none"/>
              </w:rPr>
            </w:pPr>
          </w:p>
        </w:tc>
      </w:tr>
    </w:tbl>
    <w:p w14:paraId="4ABF6F9B">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sectPr>
          <w:pgSz w:w="16838" w:h="11906" w:orient="landscape"/>
          <w:pgMar w:top="1800" w:right="1440" w:bottom="1800" w:left="1440" w:header="851" w:footer="992" w:gutter="0"/>
          <w:pgNumType w:fmt="decimal"/>
          <w:cols w:space="425" w:num="1"/>
          <w:docGrid w:type="lines" w:linePitch="312" w:charSpace="0"/>
        </w:sectPr>
      </w:pPr>
    </w:p>
    <w:p w14:paraId="1EADF87D">
      <w:pPr>
        <w:numPr>
          <w:ilvl w:val="0"/>
          <w:numId w:val="24"/>
        </w:numPr>
        <w:spacing w:line="360" w:lineRule="auto"/>
        <w:ind w:left="0" w:leftChars="0" w:firstLine="283" w:firstLineChars="0"/>
        <w:jc w:val="left"/>
        <w:outlineLvl w:val="1"/>
        <w:rPr>
          <w:rFonts w:hint="eastAsia" w:ascii="宋体" w:hAnsi="宋体" w:eastAsia="宋体" w:cs="宋体"/>
          <w:color w:val="000000" w:themeColor="text1"/>
          <w:kern w:val="44"/>
          <w:sz w:val="28"/>
          <w:szCs w:val="28"/>
          <w:lang w:val="en-US" w:eastAsia="zh-CN"/>
          <w14:textFill>
            <w14:solidFill>
              <w14:schemeClr w14:val="tx1"/>
            </w14:solidFill>
          </w14:textFill>
        </w:rPr>
      </w:pPr>
      <w:bookmarkStart w:id="40" w:name="_Toc10341"/>
      <w:r>
        <w:rPr>
          <w:rFonts w:hint="eastAsia" w:ascii="宋体" w:hAnsi="宋体" w:eastAsia="宋体" w:cs="宋体"/>
          <w:color w:val="000000" w:themeColor="text1"/>
          <w:kern w:val="44"/>
          <w:sz w:val="28"/>
          <w:szCs w:val="28"/>
          <w:lang w:val="en-US" w:eastAsia="zh-CN"/>
          <w14:textFill>
            <w14:solidFill>
              <w14:schemeClr w14:val="tx1"/>
            </w14:solidFill>
          </w14:textFill>
        </w:rPr>
        <w:t>陕州区金华路道路工程绩效评价评分表</w:t>
      </w:r>
      <w:bookmarkEnd w:id="40"/>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6"/>
        <w:gridCol w:w="489"/>
        <w:gridCol w:w="708"/>
        <w:gridCol w:w="489"/>
        <w:gridCol w:w="651"/>
        <w:gridCol w:w="515"/>
        <w:gridCol w:w="1544"/>
        <w:gridCol w:w="4393"/>
        <w:gridCol w:w="1737"/>
        <w:gridCol w:w="576"/>
        <w:gridCol w:w="2376"/>
      </w:tblGrid>
      <w:tr w14:paraId="1B0D2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blHeader/>
        </w:trPr>
        <w:tc>
          <w:tcPr>
            <w:tcW w:w="5000" w:type="pct"/>
            <w:gridSpan w:val="11"/>
            <w:tcBorders>
              <w:top w:val="nil"/>
              <w:left w:val="nil"/>
              <w:bottom w:val="nil"/>
              <w:right w:val="nil"/>
            </w:tcBorders>
            <w:shd w:val="clear" w:color="auto" w:fill="auto"/>
            <w:noWrap/>
            <w:vAlign w:val="center"/>
          </w:tcPr>
          <w:p w14:paraId="604A1AFF">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陕州区金华路道路工程-绩效评价评分表</w:t>
            </w:r>
          </w:p>
        </w:tc>
      </w:tr>
      <w:tr w14:paraId="5F035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blHeader/>
        </w:trPr>
        <w:tc>
          <w:tcPr>
            <w:tcW w:w="2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C83C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一级指标</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D3C2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分值</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6E2E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二级指标</w:t>
            </w:r>
          </w:p>
        </w:tc>
        <w:tc>
          <w:tcPr>
            <w:tcW w:w="1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AC8B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分值</w:t>
            </w:r>
          </w:p>
        </w:tc>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1066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三级指标</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1B54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分值</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05DE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指标解释</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41F2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指标说明</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5AE5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评价标准及评分规则</w:t>
            </w:r>
          </w:p>
        </w:tc>
        <w:tc>
          <w:tcPr>
            <w:tcW w:w="1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3F19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得分</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4F6B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扣分详情</w:t>
            </w:r>
          </w:p>
        </w:tc>
      </w:tr>
      <w:tr w14:paraId="73A71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FFB0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决 策</w:t>
            </w:r>
          </w:p>
        </w:tc>
        <w:tc>
          <w:tcPr>
            <w:tcW w:w="1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4A38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38B9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项目立项</w:t>
            </w:r>
          </w:p>
        </w:tc>
        <w:tc>
          <w:tcPr>
            <w:tcW w:w="1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90EC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9A4C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立项依据充分性</w:t>
            </w:r>
          </w:p>
        </w:tc>
        <w:tc>
          <w:tcPr>
            <w:tcW w:w="1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EA7A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5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46EA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项目立项是否符合法律法规、相关政策、发展规划以及部门职责，用以反映和考核项目立项依据情况。</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455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6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75756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具备一个得分要素，得到指标分值的20%。</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250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8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78DFB">
            <w:pPr>
              <w:jc w:val="center"/>
              <w:rPr>
                <w:rFonts w:hint="eastAsia" w:ascii="宋体" w:hAnsi="宋体" w:eastAsia="宋体" w:cs="宋体"/>
                <w:i w:val="0"/>
                <w:iCs w:val="0"/>
                <w:color w:val="000000"/>
                <w:sz w:val="18"/>
                <w:szCs w:val="18"/>
                <w:u w:val="none"/>
              </w:rPr>
            </w:pPr>
          </w:p>
        </w:tc>
      </w:tr>
      <w:tr w14:paraId="339AC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6283B8">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F7219">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EFD9A3">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334F9D">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AD95D">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BCCE02">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D1C0AC">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DFA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①项目立项是否符合国家法律法规、国民经济发展规划和相关政策；</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F6B63">
            <w:pPr>
              <w:jc w:val="both"/>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DAA36">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859AF">
            <w:pPr>
              <w:jc w:val="center"/>
              <w:rPr>
                <w:rFonts w:hint="eastAsia" w:ascii="宋体" w:hAnsi="宋体" w:eastAsia="宋体" w:cs="宋体"/>
                <w:i w:val="0"/>
                <w:iCs w:val="0"/>
                <w:color w:val="000000"/>
                <w:sz w:val="18"/>
                <w:szCs w:val="18"/>
                <w:u w:val="none"/>
              </w:rPr>
            </w:pPr>
          </w:p>
        </w:tc>
      </w:tr>
      <w:tr w14:paraId="278A5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E7D35">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3B7444">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4061B1">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D29720">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37D6F">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A4B894">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0EEA4">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CAA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②项目立项是否符合行业发展规划和政策要求；</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90C1B8">
            <w:pPr>
              <w:jc w:val="both"/>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109F7">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A57FB">
            <w:pPr>
              <w:jc w:val="center"/>
              <w:rPr>
                <w:rFonts w:hint="eastAsia" w:ascii="宋体" w:hAnsi="宋体" w:eastAsia="宋体" w:cs="宋体"/>
                <w:i w:val="0"/>
                <w:iCs w:val="0"/>
                <w:color w:val="000000"/>
                <w:sz w:val="18"/>
                <w:szCs w:val="18"/>
                <w:u w:val="none"/>
              </w:rPr>
            </w:pPr>
          </w:p>
        </w:tc>
      </w:tr>
      <w:tr w14:paraId="51C5C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559724">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6F06B">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D025F4">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D2338">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939B4">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E86ABF">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CE408">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EE2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③项目立项是否与部门职责范围相符，属于部门履职所需；</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69EC0E">
            <w:pPr>
              <w:jc w:val="both"/>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B36AA">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58745">
            <w:pPr>
              <w:jc w:val="center"/>
              <w:rPr>
                <w:rFonts w:hint="eastAsia" w:ascii="宋体" w:hAnsi="宋体" w:eastAsia="宋体" w:cs="宋体"/>
                <w:i w:val="0"/>
                <w:iCs w:val="0"/>
                <w:color w:val="000000"/>
                <w:sz w:val="18"/>
                <w:szCs w:val="18"/>
                <w:u w:val="none"/>
              </w:rPr>
            </w:pPr>
          </w:p>
        </w:tc>
      </w:tr>
      <w:tr w14:paraId="3B8C6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EF4A23">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FDF3F">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EC4C58">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F5394">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35CF8">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BE4324">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F2F9D">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13C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④项目是否属于公共财政支持范围，是否符合中央、地方事权支出责任划分原则；</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384BFF">
            <w:pPr>
              <w:jc w:val="both"/>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70F9A">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E11C2">
            <w:pPr>
              <w:jc w:val="center"/>
              <w:rPr>
                <w:rFonts w:hint="eastAsia" w:ascii="宋体" w:hAnsi="宋体" w:eastAsia="宋体" w:cs="宋体"/>
                <w:i w:val="0"/>
                <w:iCs w:val="0"/>
                <w:color w:val="000000"/>
                <w:sz w:val="18"/>
                <w:szCs w:val="18"/>
                <w:u w:val="none"/>
              </w:rPr>
            </w:pPr>
          </w:p>
        </w:tc>
      </w:tr>
      <w:tr w14:paraId="774A4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BF590">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EEE6D8">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F5605">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7802F5">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2E960">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23F28">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95EF6">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9C2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⑤该项目是否与相关部门同类项目或者部门内部相关项目交叉重复。</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0EDEB6">
            <w:pPr>
              <w:jc w:val="both"/>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5AE8E">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25405">
            <w:pPr>
              <w:jc w:val="center"/>
              <w:rPr>
                <w:rFonts w:hint="eastAsia" w:ascii="宋体" w:hAnsi="宋体" w:eastAsia="宋体" w:cs="宋体"/>
                <w:i w:val="0"/>
                <w:iCs w:val="0"/>
                <w:color w:val="000000"/>
                <w:sz w:val="18"/>
                <w:szCs w:val="18"/>
                <w:u w:val="none"/>
              </w:rPr>
            </w:pPr>
          </w:p>
        </w:tc>
      </w:tr>
      <w:tr w14:paraId="2CE0A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844C5">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7088A">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DA3AB">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72DC8">
            <w:pPr>
              <w:jc w:val="center"/>
              <w:rPr>
                <w:rFonts w:hint="eastAsia" w:ascii="宋体" w:hAnsi="宋体" w:eastAsia="宋体" w:cs="宋体"/>
                <w:i w:val="0"/>
                <w:iCs w:val="0"/>
                <w:color w:val="000000"/>
                <w:sz w:val="18"/>
                <w:szCs w:val="18"/>
                <w:u w:val="none"/>
              </w:rPr>
            </w:pPr>
          </w:p>
        </w:tc>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B94D4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立项程序规范性</w:t>
            </w:r>
          </w:p>
        </w:tc>
        <w:tc>
          <w:tcPr>
            <w:tcW w:w="1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6821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5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D86F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项目的申请、设立过程是否符合相关要求，用以反映和考核项目立项的规范情况。</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CA9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6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E902A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具备要素①和②之一的，得到指标分值的30%；具备要素③，得到指标分值的40%。</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5D0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8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99C62">
            <w:pPr>
              <w:jc w:val="center"/>
              <w:rPr>
                <w:rFonts w:hint="eastAsia" w:ascii="宋体" w:hAnsi="宋体" w:eastAsia="宋体" w:cs="宋体"/>
                <w:i w:val="0"/>
                <w:iCs w:val="0"/>
                <w:color w:val="000000"/>
                <w:sz w:val="18"/>
                <w:szCs w:val="18"/>
                <w:u w:val="none"/>
              </w:rPr>
            </w:pPr>
          </w:p>
        </w:tc>
      </w:tr>
      <w:tr w14:paraId="25A7D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047DD">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E1A6EB">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617551">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65608B">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539CD2">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264C00">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4B83E">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A7A8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①项目是否按照规定的程序申请设立；</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240387">
            <w:pPr>
              <w:jc w:val="both"/>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4BFC8">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13EDE">
            <w:pPr>
              <w:jc w:val="center"/>
              <w:rPr>
                <w:rFonts w:hint="eastAsia" w:ascii="宋体" w:hAnsi="宋体" w:eastAsia="宋体" w:cs="宋体"/>
                <w:i w:val="0"/>
                <w:iCs w:val="0"/>
                <w:color w:val="000000"/>
                <w:sz w:val="18"/>
                <w:szCs w:val="18"/>
                <w:u w:val="none"/>
              </w:rPr>
            </w:pPr>
          </w:p>
        </w:tc>
      </w:tr>
      <w:tr w14:paraId="1EA0B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CC0D2">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82EDA">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52372">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F6F4E">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709C22">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8AFBC">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82571">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B49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②审批文件、材料是否符合相关要求；</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D0A415">
            <w:pPr>
              <w:jc w:val="both"/>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89DCE">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63860">
            <w:pPr>
              <w:jc w:val="center"/>
              <w:rPr>
                <w:rFonts w:hint="eastAsia" w:ascii="宋体" w:hAnsi="宋体" w:eastAsia="宋体" w:cs="宋体"/>
                <w:i w:val="0"/>
                <w:iCs w:val="0"/>
                <w:color w:val="000000"/>
                <w:sz w:val="18"/>
                <w:szCs w:val="18"/>
                <w:u w:val="none"/>
              </w:rPr>
            </w:pPr>
          </w:p>
        </w:tc>
      </w:tr>
      <w:tr w14:paraId="198F2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C274B">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1A7D2">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76C36">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117CFB">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CB16C4">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CA576">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75D6BD">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64D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③事前是否已经过必要的可行性研究、专家论证、风险评估、集体决策等。</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F071CC">
            <w:pPr>
              <w:jc w:val="both"/>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19178">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5D8EB">
            <w:pPr>
              <w:jc w:val="center"/>
              <w:rPr>
                <w:rFonts w:hint="eastAsia" w:ascii="宋体" w:hAnsi="宋体" w:eastAsia="宋体" w:cs="宋体"/>
                <w:i w:val="0"/>
                <w:iCs w:val="0"/>
                <w:color w:val="000000"/>
                <w:sz w:val="18"/>
                <w:szCs w:val="18"/>
                <w:u w:val="none"/>
              </w:rPr>
            </w:pPr>
          </w:p>
        </w:tc>
      </w:tr>
      <w:tr w14:paraId="42BF3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365A2E">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26CF3D">
            <w:pPr>
              <w:jc w:val="center"/>
              <w:rPr>
                <w:rFonts w:hint="eastAsia" w:ascii="宋体" w:hAnsi="宋体" w:eastAsia="宋体" w:cs="宋体"/>
                <w:i w:val="0"/>
                <w:iCs w:val="0"/>
                <w:color w:val="000000"/>
                <w:sz w:val="18"/>
                <w:szCs w:val="18"/>
                <w:u w:val="none"/>
              </w:rPr>
            </w:pP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31A9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绩效目标</w:t>
            </w:r>
          </w:p>
        </w:tc>
        <w:tc>
          <w:tcPr>
            <w:tcW w:w="1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0ED0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9503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绩效目标合理性</w:t>
            </w:r>
          </w:p>
        </w:tc>
        <w:tc>
          <w:tcPr>
            <w:tcW w:w="1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583D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5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E004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项目所设定的绩效目标是否符合实际、切实可行，用以反映和考核项目绩效目标与项目实施的相符情况。</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3B5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评价要点：（如未要求制定预算绩效目标，也可考核其他工作任务目标）</w:t>
            </w:r>
          </w:p>
        </w:tc>
        <w:tc>
          <w:tcPr>
            <w:tcW w:w="6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8F408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具备要素①，得到指标分值的50%；如不具备，该指标分值为0。具备要素②③，分别得到指标分值的25%。</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264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1.67</w:t>
            </w:r>
          </w:p>
        </w:tc>
        <w:tc>
          <w:tcPr>
            <w:tcW w:w="8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91D0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建设单位制定的绩效目标：按期开工建设，按照城建建设流程及规范实施，保证工程安全性、质量性、时效性。绩效目标中无预期产出及效果的表述，③不得分。</w:t>
            </w:r>
          </w:p>
        </w:tc>
      </w:tr>
      <w:tr w14:paraId="0DA66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B03AA">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B30D98">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F9F17">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1711F">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F601C4">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BDF3A2">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2799D7">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0D1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①项目是否有绩效目标；</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A00E8E">
            <w:pPr>
              <w:jc w:val="both"/>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86C43">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341AF4">
            <w:pPr>
              <w:jc w:val="center"/>
              <w:rPr>
                <w:rFonts w:hint="eastAsia" w:ascii="宋体" w:hAnsi="宋体" w:eastAsia="宋体" w:cs="宋体"/>
                <w:i w:val="0"/>
                <w:iCs w:val="0"/>
                <w:color w:val="000000"/>
                <w:sz w:val="18"/>
                <w:szCs w:val="18"/>
                <w:u w:val="none"/>
              </w:rPr>
            </w:pPr>
          </w:p>
        </w:tc>
      </w:tr>
      <w:tr w14:paraId="0DB89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04564">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67003">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A3425">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6DD793">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CE8BCA">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9DF3D">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31E4E">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F20B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②项目绩效目标与实际工作内容是否具有相关性；</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350A47">
            <w:pPr>
              <w:jc w:val="both"/>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5B2E6">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FD3D1">
            <w:pPr>
              <w:jc w:val="center"/>
              <w:rPr>
                <w:rFonts w:hint="eastAsia" w:ascii="宋体" w:hAnsi="宋体" w:eastAsia="宋体" w:cs="宋体"/>
                <w:i w:val="0"/>
                <w:iCs w:val="0"/>
                <w:color w:val="000000"/>
                <w:sz w:val="18"/>
                <w:szCs w:val="18"/>
                <w:u w:val="none"/>
              </w:rPr>
            </w:pPr>
          </w:p>
        </w:tc>
      </w:tr>
      <w:tr w14:paraId="646AB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58876F">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43F6D">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6D8E13">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518371">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2E19FA">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AC1E25">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02FCE6">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E6C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③项目预期产出和效果是否符合正常的业绩水平。</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B4AA3">
            <w:pPr>
              <w:jc w:val="both"/>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B0604">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208ED">
            <w:pPr>
              <w:jc w:val="center"/>
              <w:rPr>
                <w:rFonts w:hint="eastAsia" w:ascii="宋体" w:hAnsi="宋体" w:eastAsia="宋体" w:cs="宋体"/>
                <w:i w:val="0"/>
                <w:iCs w:val="0"/>
                <w:color w:val="000000"/>
                <w:sz w:val="18"/>
                <w:szCs w:val="18"/>
                <w:u w:val="none"/>
              </w:rPr>
            </w:pPr>
          </w:p>
        </w:tc>
      </w:tr>
      <w:tr w14:paraId="15ACB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A6F462">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08161E">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31842F">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7F5E7">
            <w:pPr>
              <w:jc w:val="center"/>
              <w:rPr>
                <w:rFonts w:hint="eastAsia" w:ascii="宋体" w:hAnsi="宋体" w:eastAsia="宋体" w:cs="宋体"/>
                <w:i w:val="0"/>
                <w:iCs w:val="0"/>
                <w:color w:val="000000"/>
                <w:sz w:val="18"/>
                <w:szCs w:val="18"/>
                <w:u w:val="none"/>
              </w:rPr>
            </w:pPr>
          </w:p>
        </w:tc>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C37C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绩效指标明确性</w:t>
            </w:r>
          </w:p>
        </w:tc>
        <w:tc>
          <w:tcPr>
            <w:tcW w:w="1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AEB2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5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6CA3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依据绩效目标设定的绩效指标是否清晰、细化、可衡量等，用以反映和考核项目绩效目标的明细化情况。</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2BD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6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9F05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具备得分要素①，得到指标分值的40%；具备得分要素②和③，各得到指标分值的30%。</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5DA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1.67</w:t>
            </w:r>
          </w:p>
        </w:tc>
        <w:tc>
          <w:tcPr>
            <w:tcW w:w="8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2FCC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建设单位制定的经济效益指标：决算报审核减率，不属于桥梁工程可以带动的经济效益。社会效益指标:对公共服务水平的改善或提高程度100%，未能提供指标值定量计算公式，建议采用定性指标。经济效益指标三级指标设置不恰当，社会效益指标三级指标未能提供指标值定量计算公式，指标无法考核，③不得分。</w:t>
            </w:r>
          </w:p>
        </w:tc>
      </w:tr>
      <w:tr w14:paraId="788BF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859878">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8807F5">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1ABE7C">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3E8758">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9380F">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097EB3">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A8E183">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08BD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①是否将项目绩效目标细化分解为具体的绩效指标；</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753BF4">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2B9FB">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215FB">
            <w:pPr>
              <w:jc w:val="center"/>
              <w:rPr>
                <w:rFonts w:hint="eastAsia" w:ascii="宋体" w:hAnsi="宋体" w:eastAsia="宋体" w:cs="宋体"/>
                <w:i w:val="0"/>
                <w:iCs w:val="0"/>
                <w:color w:val="000000"/>
                <w:sz w:val="18"/>
                <w:szCs w:val="18"/>
                <w:u w:val="none"/>
              </w:rPr>
            </w:pPr>
          </w:p>
        </w:tc>
      </w:tr>
      <w:tr w14:paraId="388D4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DA7A80">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AF6C2">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54121B">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B608F">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0AB3F">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9941C">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ADA714">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2CB3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②是否通过清晰、可衡量的指标值予以体现；</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CD6E2">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748C4">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EED91B">
            <w:pPr>
              <w:jc w:val="center"/>
              <w:rPr>
                <w:rFonts w:hint="eastAsia" w:ascii="宋体" w:hAnsi="宋体" w:eastAsia="宋体" w:cs="宋体"/>
                <w:i w:val="0"/>
                <w:iCs w:val="0"/>
                <w:color w:val="000000"/>
                <w:sz w:val="18"/>
                <w:szCs w:val="18"/>
                <w:u w:val="none"/>
              </w:rPr>
            </w:pPr>
          </w:p>
        </w:tc>
      </w:tr>
      <w:tr w14:paraId="29D37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B1A16C">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067546">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1A0949">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621496">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247A64">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8FC7E">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D843B">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A810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③是否与项目目标任务数或计划数相对应。</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29DBD7">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CCB46">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5A3346">
            <w:pPr>
              <w:jc w:val="center"/>
              <w:rPr>
                <w:rFonts w:hint="eastAsia" w:ascii="宋体" w:hAnsi="宋体" w:eastAsia="宋体" w:cs="宋体"/>
                <w:i w:val="0"/>
                <w:iCs w:val="0"/>
                <w:color w:val="000000"/>
                <w:sz w:val="18"/>
                <w:szCs w:val="18"/>
                <w:u w:val="none"/>
              </w:rPr>
            </w:pPr>
          </w:p>
        </w:tc>
      </w:tr>
      <w:tr w14:paraId="77D62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92621">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B50D9">
            <w:pPr>
              <w:jc w:val="center"/>
              <w:rPr>
                <w:rFonts w:hint="eastAsia" w:ascii="宋体" w:hAnsi="宋体" w:eastAsia="宋体" w:cs="宋体"/>
                <w:i w:val="0"/>
                <w:iCs w:val="0"/>
                <w:color w:val="000000"/>
                <w:sz w:val="18"/>
                <w:szCs w:val="18"/>
                <w:u w:val="none"/>
              </w:rPr>
            </w:pP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7131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资金安排</w:t>
            </w:r>
          </w:p>
        </w:tc>
        <w:tc>
          <w:tcPr>
            <w:tcW w:w="1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6F54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DD7E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预算编制合理性</w:t>
            </w:r>
          </w:p>
        </w:tc>
        <w:tc>
          <w:tcPr>
            <w:tcW w:w="1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63A6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5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D48C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项目预算编制是否经过科学论证、有明确标准，资金额度与年度目标是否相适应，用以反映和考核项目预算编制的科学性、合理性情况。</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35A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6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DF19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具备一个得分要素，得到指标分值的25%。</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9F6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8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D1B7D">
            <w:pPr>
              <w:jc w:val="center"/>
              <w:rPr>
                <w:rFonts w:hint="eastAsia" w:ascii="宋体" w:hAnsi="宋体" w:eastAsia="宋体" w:cs="宋体"/>
                <w:i w:val="0"/>
                <w:iCs w:val="0"/>
                <w:color w:val="000000"/>
                <w:sz w:val="18"/>
                <w:szCs w:val="18"/>
                <w:u w:val="none"/>
              </w:rPr>
            </w:pPr>
          </w:p>
        </w:tc>
      </w:tr>
      <w:tr w14:paraId="6B8E8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DFF8B7">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398E3">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ED0410">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EEBB4">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66A50D">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42BD4">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A6BE2">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F1E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①预算编制是否经过论证；</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0F218D">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668D3">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690EC">
            <w:pPr>
              <w:jc w:val="center"/>
              <w:rPr>
                <w:rFonts w:hint="eastAsia" w:ascii="宋体" w:hAnsi="宋体" w:eastAsia="宋体" w:cs="宋体"/>
                <w:i w:val="0"/>
                <w:iCs w:val="0"/>
                <w:color w:val="000000"/>
                <w:sz w:val="18"/>
                <w:szCs w:val="18"/>
                <w:u w:val="none"/>
              </w:rPr>
            </w:pPr>
          </w:p>
        </w:tc>
      </w:tr>
      <w:tr w14:paraId="75D5A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CA0AFA">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13CA3">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CE07D0">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C0724">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BA3ED">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E23E6">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589A91">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7CB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②预算内容与项目实际内容是否匹配；</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FCFD9">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95884">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59F1C">
            <w:pPr>
              <w:jc w:val="center"/>
              <w:rPr>
                <w:rFonts w:hint="eastAsia" w:ascii="宋体" w:hAnsi="宋体" w:eastAsia="宋体" w:cs="宋体"/>
                <w:i w:val="0"/>
                <w:iCs w:val="0"/>
                <w:color w:val="000000"/>
                <w:sz w:val="18"/>
                <w:szCs w:val="18"/>
                <w:u w:val="none"/>
              </w:rPr>
            </w:pPr>
          </w:p>
        </w:tc>
      </w:tr>
      <w:tr w14:paraId="37141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F263D5">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2C631B">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47DC2">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61429">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9B5F7F">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61AFD5">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0FD2D">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F05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③预算额度测算依据是否充分，是否按标准编制；</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10A97">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A0138">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75B7C">
            <w:pPr>
              <w:jc w:val="center"/>
              <w:rPr>
                <w:rFonts w:hint="eastAsia" w:ascii="宋体" w:hAnsi="宋体" w:eastAsia="宋体" w:cs="宋体"/>
                <w:i w:val="0"/>
                <w:iCs w:val="0"/>
                <w:color w:val="000000"/>
                <w:sz w:val="18"/>
                <w:szCs w:val="18"/>
                <w:u w:val="none"/>
              </w:rPr>
            </w:pPr>
          </w:p>
        </w:tc>
      </w:tr>
      <w:tr w14:paraId="24D17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46F99">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8C00A7">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A4A167">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684596">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7A283">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38FAE6">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1E0E1">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10E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④预算确定的项目投资额或资金量是否经过财政评审。</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70149">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06F28">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9AA43">
            <w:pPr>
              <w:jc w:val="center"/>
              <w:rPr>
                <w:rFonts w:hint="eastAsia" w:ascii="宋体" w:hAnsi="宋体" w:eastAsia="宋体" w:cs="宋体"/>
                <w:i w:val="0"/>
                <w:iCs w:val="0"/>
                <w:color w:val="000000"/>
                <w:sz w:val="18"/>
                <w:szCs w:val="18"/>
                <w:u w:val="none"/>
              </w:rPr>
            </w:pPr>
          </w:p>
        </w:tc>
      </w:tr>
      <w:tr w14:paraId="0B9AB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C5366">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7DF00">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A343F">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8E37CC">
            <w:pPr>
              <w:jc w:val="center"/>
              <w:rPr>
                <w:rFonts w:hint="eastAsia" w:ascii="宋体" w:hAnsi="宋体" w:eastAsia="宋体" w:cs="宋体"/>
                <w:i w:val="0"/>
                <w:iCs w:val="0"/>
                <w:color w:val="000000"/>
                <w:sz w:val="18"/>
                <w:szCs w:val="18"/>
                <w:u w:val="none"/>
              </w:rPr>
            </w:pPr>
          </w:p>
        </w:tc>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D1BB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资金分配合理性</w:t>
            </w:r>
          </w:p>
        </w:tc>
        <w:tc>
          <w:tcPr>
            <w:tcW w:w="1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C5D8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5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4DB3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项目预算资金分配是否有测算依据，与地方实际是否相适应，用以反映和考核项目预算资金分配的科学性、合理性情况。</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7F8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6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699B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具备一个得分要素，得到指标分值的50%。</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61A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8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CA25D5">
            <w:pPr>
              <w:jc w:val="center"/>
              <w:rPr>
                <w:rFonts w:hint="eastAsia" w:ascii="宋体" w:hAnsi="宋体" w:eastAsia="宋体" w:cs="宋体"/>
                <w:i w:val="0"/>
                <w:iCs w:val="0"/>
                <w:color w:val="000000"/>
                <w:sz w:val="18"/>
                <w:szCs w:val="18"/>
                <w:u w:val="none"/>
              </w:rPr>
            </w:pPr>
          </w:p>
        </w:tc>
      </w:tr>
      <w:tr w14:paraId="41277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BEF4C">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E3F0B9">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FD2CC">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A56207">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BE264">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6ACB7">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00CA2">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849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①预算资金分配依据是否充分；</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1D520D">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A8A39">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F27224">
            <w:pPr>
              <w:jc w:val="center"/>
              <w:rPr>
                <w:rFonts w:hint="eastAsia" w:ascii="宋体" w:hAnsi="宋体" w:eastAsia="宋体" w:cs="宋体"/>
                <w:i w:val="0"/>
                <w:iCs w:val="0"/>
                <w:color w:val="000000"/>
                <w:sz w:val="18"/>
                <w:szCs w:val="18"/>
                <w:u w:val="none"/>
              </w:rPr>
            </w:pPr>
          </w:p>
        </w:tc>
      </w:tr>
      <w:tr w14:paraId="2D60C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D9AD2">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BFB88">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05F0B">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D34C82">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D1C00F">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862DCB">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3A637">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29C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②资金分配额度是否合理，与地方实际是否相适应。</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0E9670">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EABA6">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4322DF">
            <w:pPr>
              <w:jc w:val="center"/>
              <w:rPr>
                <w:rFonts w:hint="eastAsia" w:ascii="宋体" w:hAnsi="宋体" w:eastAsia="宋体" w:cs="宋体"/>
                <w:i w:val="0"/>
                <w:iCs w:val="0"/>
                <w:color w:val="000000"/>
                <w:sz w:val="18"/>
                <w:szCs w:val="18"/>
                <w:u w:val="none"/>
              </w:rPr>
            </w:pPr>
          </w:p>
        </w:tc>
      </w:tr>
      <w:tr w14:paraId="61B25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6197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管理</w:t>
            </w:r>
          </w:p>
        </w:tc>
        <w:tc>
          <w:tcPr>
            <w:tcW w:w="1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6718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66A5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业务管理</w:t>
            </w:r>
          </w:p>
        </w:tc>
        <w:tc>
          <w:tcPr>
            <w:tcW w:w="1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C495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52C4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管理制度健全性</w:t>
            </w:r>
          </w:p>
        </w:tc>
        <w:tc>
          <w:tcPr>
            <w:tcW w:w="1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E54A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F3E7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项目实施单位的业务管理制度是否健全，用以反映和考核业务管理制度对项目顺利实施的保障情况。</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5CC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6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0620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具备一个得分要素，得到指标分值的50%。</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3B2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6C22D">
            <w:pPr>
              <w:jc w:val="center"/>
              <w:rPr>
                <w:rFonts w:hint="eastAsia" w:ascii="宋体" w:hAnsi="宋体" w:eastAsia="宋体" w:cs="宋体"/>
                <w:i w:val="0"/>
                <w:iCs w:val="0"/>
                <w:color w:val="000000"/>
                <w:sz w:val="18"/>
                <w:szCs w:val="18"/>
                <w:u w:val="none"/>
              </w:rPr>
            </w:pPr>
          </w:p>
        </w:tc>
      </w:tr>
      <w:tr w14:paraId="1ED55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45CF18">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6D1EB">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7882CC">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4589B6">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E41DDC">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5183B">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667EE0">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FB2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①是否已制定或具有相应的业务管理制度；</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160AC">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11A54">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EBFB1">
            <w:pPr>
              <w:jc w:val="center"/>
              <w:rPr>
                <w:rFonts w:hint="eastAsia" w:ascii="宋体" w:hAnsi="宋体" w:eastAsia="宋体" w:cs="宋体"/>
                <w:i w:val="0"/>
                <w:iCs w:val="0"/>
                <w:color w:val="000000"/>
                <w:sz w:val="18"/>
                <w:szCs w:val="18"/>
                <w:u w:val="none"/>
              </w:rPr>
            </w:pPr>
          </w:p>
        </w:tc>
      </w:tr>
      <w:tr w14:paraId="6D593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3E8A61">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8D55FE">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86205">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AA56F6">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949CFE">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8BE6A">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2F69D">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793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②业务管理制度是否合法、合规、完整。</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299613">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9AF68">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150B9">
            <w:pPr>
              <w:jc w:val="center"/>
              <w:rPr>
                <w:rFonts w:hint="eastAsia" w:ascii="宋体" w:hAnsi="宋体" w:eastAsia="宋体" w:cs="宋体"/>
                <w:i w:val="0"/>
                <w:iCs w:val="0"/>
                <w:color w:val="000000"/>
                <w:sz w:val="18"/>
                <w:szCs w:val="18"/>
                <w:u w:val="none"/>
              </w:rPr>
            </w:pPr>
          </w:p>
        </w:tc>
      </w:tr>
      <w:tr w14:paraId="12202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D01DB8">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16063">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3337A">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2208CC">
            <w:pPr>
              <w:jc w:val="center"/>
              <w:rPr>
                <w:rFonts w:hint="eastAsia" w:ascii="宋体" w:hAnsi="宋体" w:eastAsia="宋体" w:cs="宋体"/>
                <w:i w:val="0"/>
                <w:iCs w:val="0"/>
                <w:color w:val="000000"/>
                <w:sz w:val="18"/>
                <w:szCs w:val="18"/>
                <w:u w:val="none"/>
              </w:rPr>
            </w:pPr>
          </w:p>
        </w:tc>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890E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制度执行有效性</w:t>
            </w:r>
          </w:p>
        </w:tc>
        <w:tc>
          <w:tcPr>
            <w:tcW w:w="1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7197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2B7A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项目实施是否符合相关业务管理规定，用以反映和考核业务管理制度的有效执行情况。</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556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6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E796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具备一个得分要素，得到指标分值的25%。</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624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w:t>
            </w:r>
          </w:p>
        </w:tc>
        <w:tc>
          <w:tcPr>
            <w:tcW w:w="8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00FF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建设单位未能提供项目台账，项目档案资料未编制目录，未整理成册，未单独存放，③不得分。</w:t>
            </w:r>
          </w:p>
        </w:tc>
      </w:tr>
      <w:tr w14:paraId="3788B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3B4A04">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83EC4F">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75471">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D5121E">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056A5">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A395E">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D4B3F">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7DC9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①是否遵守相关法律法规和业务管理规定；</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8B6C36">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FE6B6">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59873A">
            <w:pPr>
              <w:jc w:val="center"/>
              <w:rPr>
                <w:rFonts w:hint="eastAsia" w:ascii="宋体" w:hAnsi="宋体" w:eastAsia="宋体" w:cs="宋体"/>
                <w:i w:val="0"/>
                <w:iCs w:val="0"/>
                <w:color w:val="000000"/>
                <w:sz w:val="18"/>
                <w:szCs w:val="18"/>
                <w:u w:val="none"/>
              </w:rPr>
            </w:pPr>
          </w:p>
        </w:tc>
      </w:tr>
      <w:tr w14:paraId="0CC75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F626C">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F64386">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60F31">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9D233C">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13993">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EEEEC">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F8F6D">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76AD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②项目调整及支出调整手续是否完备；</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E3801">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67815">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EACBC1">
            <w:pPr>
              <w:jc w:val="center"/>
              <w:rPr>
                <w:rFonts w:hint="eastAsia" w:ascii="宋体" w:hAnsi="宋体" w:eastAsia="宋体" w:cs="宋体"/>
                <w:i w:val="0"/>
                <w:iCs w:val="0"/>
                <w:color w:val="000000"/>
                <w:sz w:val="18"/>
                <w:szCs w:val="18"/>
                <w:u w:val="none"/>
              </w:rPr>
            </w:pPr>
          </w:p>
        </w:tc>
      </w:tr>
      <w:tr w14:paraId="40C2E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0FA11">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17652">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37D0CA">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49EF37">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244540">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507CE5">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EDDA1E">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963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③项目合同书、验收报告、技术鉴定等资料是否齐全并及时归档；</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ACF77">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A2525">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722F9">
            <w:pPr>
              <w:jc w:val="center"/>
              <w:rPr>
                <w:rFonts w:hint="eastAsia" w:ascii="宋体" w:hAnsi="宋体" w:eastAsia="宋体" w:cs="宋体"/>
                <w:i w:val="0"/>
                <w:iCs w:val="0"/>
                <w:color w:val="000000"/>
                <w:sz w:val="18"/>
                <w:szCs w:val="18"/>
                <w:u w:val="none"/>
              </w:rPr>
            </w:pPr>
          </w:p>
        </w:tc>
      </w:tr>
      <w:tr w14:paraId="40B27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0EC7D">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31A6FD">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FF27F8">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539E7">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28883">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FA9CF">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AA6E4">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4A7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④项目实施的人员条件、场地设备、信息支撑等是否落实到位。</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9D332">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9CA3D">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5BFD0D">
            <w:pPr>
              <w:jc w:val="center"/>
              <w:rPr>
                <w:rFonts w:hint="eastAsia" w:ascii="宋体" w:hAnsi="宋体" w:eastAsia="宋体" w:cs="宋体"/>
                <w:i w:val="0"/>
                <w:iCs w:val="0"/>
                <w:color w:val="000000"/>
                <w:sz w:val="18"/>
                <w:szCs w:val="18"/>
                <w:u w:val="none"/>
              </w:rPr>
            </w:pPr>
          </w:p>
        </w:tc>
      </w:tr>
      <w:tr w14:paraId="38534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97A92">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6678A0">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B65951">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6A0A90">
            <w:pPr>
              <w:jc w:val="center"/>
              <w:rPr>
                <w:rFonts w:hint="eastAsia" w:ascii="宋体" w:hAnsi="宋体" w:eastAsia="宋体" w:cs="宋体"/>
                <w:i w:val="0"/>
                <w:iCs w:val="0"/>
                <w:color w:val="000000"/>
                <w:sz w:val="18"/>
                <w:szCs w:val="18"/>
                <w:u w:val="none"/>
              </w:rPr>
            </w:pPr>
          </w:p>
        </w:tc>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94BA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项目质量可控性</w:t>
            </w:r>
          </w:p>
        </w:tc>
        <w:tc>
          <w:tcPr>
            <w:tcW w:w="1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A3B5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CF23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项目实施单位是否为达到项目质量要求而采取了必需的措施,用以反映和考核项目实施单位对项目质量的控制情况。</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C28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6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D1EFB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具备一个得分要素，得到指标分值的50%。</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0D8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9230A">
            <w:pPr>
              <w:jc w:val="center"/>
              <w:rPr>
                <w:rFonts w:hint="eastAsia" w:ascii="宋体" w:hAnsi="宋体" w:eastAsia="宋体" w:cs="宋体"/>
                <w:i w:val="0"/>
                <w:iCs w:val="0"/>
                <w:color w:val="000000"/>
                <w:sz w:val="18"/>
                <w:szCs w:val="18"/>
                <w:u w:val="none"/>
              </w:rPr>
            </w:pPr>
          </w:p>
        </w:tc>
      </w:tr>
      <w:tr w14:paraId="50406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C2D8E">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01CD6">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D3E60">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E0CFF">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D9D14">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8F54C">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34A595">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7FB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①是否已制定或具有相应的项目质量要求或标准；</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B3CF2">
            <w:pPr>
              <w:jc w:val="both"/>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7C018">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6489D">
            <w:pPr>
              <w:jc w:val="center"/>
              <w:rPr>
                <w:rFonts w:hint="eastAsia" w:ascii="宋体" w:hAnsi="宋体" w:eastAsia="宋体" w:cs="宋体"/>
                <w:i w:val="0"/>
                <w:iCs w:val="0"/>
                <w:color w:val="000000"/>
                <w:sz w:val="18"/>
                <w:szCs w:val="18"/>
                <w:u w:val="none"/>
              </w:rPr>
            </w:pPr>
          </w:p>
        </w:tc>
      </w:tr>
      <w:tr w14:paraId="14BD5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E759C">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65EB63">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C48868">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5BBD18">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6F679">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A0636">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DE1CD">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CC8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②是否采取了相应的项目质量检查、验收等必需的控制措施或手段。</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32EA3">
            <w:pPr>
              <w:jc w:val="both"/>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142A2">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56489">
            <w:pPr>
              <w:jc w:val="center"/>
              <w:rPr>
                <w:rFonts w:hint="eastAsia" w:ascii="宋体" w:hAnsi="宋体" w:eastAsia="宋体" w:cs="宋体"/>
                <w:i w:val="0"/>
                <w:iCs w:val="0"/>
                <w:color w:val="000000"/>
                <w:sz w:val="18"/>
                <w:szCs w:val="18"/>
                <w:u w:val="none"/>
              </w:rPr>
            </w:pPr>
          </w:p>
        </w:tc>
      </w:tr>
      <w:tr w14:paraId="3BDF0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6EC47">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12B565">
            <w:pPr>
              <w:jc w:val="center"/>
              <w:rPr>
                <w:rFonts w:hint="eastAsia" w:ascii="宋体" w:hAnsi="宋体" w:eastAsia="宋体" w:cs="宋体"/>
                <w:i w:val="0"/>
                <w:iCs w:val="0"/>
                <w:color w:val="000000"/>
                <w:sz w:val="18"/>
                <w:szCs w:val="18"/>
                <w:u w:val="none"/>
              </w:rPr>
            </w:pP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5D14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预算管理</w:t>
            </w:r>
          </w:p>
        </w:tc>
        <w:tc>
          <w:tcPr>
            <w:tcW w:w="1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1269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269F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资金到位率</w:t>
            </w:r>
          </w:p>
        </w:tc>
        <w:tc>
          <w:tcPr>
            <w:tcW w:w="1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ADDA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E92EF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实际到位资金与计划投入资金的比率，用以反映和考核资金落实情况对项目实施的总体保障程度。</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CCE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资金到位率=（实际到位资金/计划投入资金）×100%。</w:t>
            </w:r>
          </w:p>
        </w:tc>
        <w:tc>
          <w:tcPr>
            <w:tcW w:w="6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38BDC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资金到位率≦100%，且未对项目开展造成不良影响，得分等于指标分值*资金到位率；资金到位率﹤100%，且对项目开展造成不良影响，得分等于0。</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81F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1.71</w:t>
            </w:r>
          </w:p>
        </w:tc>
        <w:tc>
          <w:tcPr>
            <w:tcW w:w="8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C613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《关于申请对金华路桥梁工程进行施工及监理招标的请示》（三陕住建文【2022】86号）显示桥梁部分概算2200.00万元，实际到位资金1227+25.23=1252.23万元，本指标得分1252.23/2200*3=1.71分</w:t>
            </w:r>
          </w:p>
        </w:tc>
      </w:tr>
      <w:tr w14:paraId="62899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824F3">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B1346">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CA8B3">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E8753">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8E1D10">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204158">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584951">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9653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实际到位资金：一定时期（本年度或项目期）内实际落实到具体项目的资金。</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9F7517">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BD9B3">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5CC7A3">
            <w:pPr>
              <w:jc w:val="center"/>
              <w:rPr>
                <w:rFonts w:hint="eastAsia" w:ascii="宋体" w:hAnsi="宋体" w:eastAsia="宋体" w:cs="宋体"/>
                <w:i w:val="0"/>
                <w:iCs w:val="0"/>
                <w:color w:val="000000"/>
                <w:sz w:val="18"/>
                <w:szCs w:val="18"/>
                <w:u w:val="none"/>
              </w:rPr>
            </w:pPr>
          </w:p>
        </w:tc>
      </w:tr>
      <w:tr w14:paraId="62FBF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19D56">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EC837">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B6A6F">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3505B">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A22F0">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946E8">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BD0C0B">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F2D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计划投入资金：一定时期（本年度或项目期）内计划投入到具体项目的资金。</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57019">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856DF">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9377A8">
            <w:pPr>
              <w:jc w:val="center"/>
              <w:rPr>
                <w:rFonts w:hint="eastAsia" w:ascii="宋体" w:hAnsi="宋体" w:eastAsia="宋体" w:cs="宋体"/>
                <w:i w:val="0"/>
                <w:iCs w:val="0"/>
                <w:color w:val="000000"/>
                <w:sz w:val="18"/>
                <w:szCs w:val="18"/>
                <w:u w:val="none"/>
              </w:rPr>
            </w:pPr>
          </w:p>
        </w:tc>
      </w:tr>
      <w:tr w14:paraId="3CB98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AD633">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E508FB">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C17F6D">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ADDB67">
            <w:pPr>
              <w:jc w:val="center"/>
              <w:rPr>
                <w:rFonts w:hint="eastAsia" w:ascii="宋体" w:hAnsi="宋体" w:eastAsia="宋体" w:cs="宋体"/>
                <w:i w:val="0"/>
                <w:iCs w:val="0"/>
                <w:color w:val="000000"/>
                <w:sz w:val="18"/>
                <w:szCs w:val="18"/>
                <w:u w:val="none"/>
              </w:rPr>
            </w:pPr>
          </w:p>
        </w:tc>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91BED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到位及时率</w:t>
            </w:r>
          </w:p>
        </w:tc>
        <w:tc>
          <w:tcPr>
            <w:tcW w:w="1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BDB4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236D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及时到位资金与应到位资金的比率，用以反映和考核项目资金落实的及时性程度。</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448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到位及时率=（及时到位资金/应到位资金）×100%。</w:t>
            </w:r>
          </w:p>
        </w:tc>
        <w:tc>
          <w:tcPr>
            <w:tcW w:w="6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D67A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资金到位率≦100%，且未对项目开展造成不良影响，得分等于指标分值*资金到位率；资金到位率﹤100%，且对项目开展造成不良影响，得分等于0。</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5DF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8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029C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2022年11月28日，项目竣工，应支付监理费25.23*90%=22.71万元，资金未及时到位；2024年10月24日验收，此时应支付工程款合同价的70%，资金未及时到位；应支付监理费25.23*10%=2.52万元，支付完毕。2025年4月8日工程结算审核报告出具，工程款应支付至审计价的97%，资金未及时到位；质保期1年，2023年11月28日，应支付审计价的3%，资金未及时到位。综上仅有2.52万元及时到位。本指标得分2.52/(1747.61+25.23)*3=0分。</w:t>
            </w:r>
          </w:p>
        </w:tc>
      </w:tr>
      <w:tr w14:paraId="33BE4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04B2A">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D00D6E">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3708E">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709EC">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2C502">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74DF54">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C8FE3">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6D6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应到位资金：按照绩效办法、合同或项目进度要求截至规定时点应落实到具体项目的资金。</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E29648">
            <w:pPr>
              <w:jc w:val="center"/>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D4F15">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AE4A4">
            <w:pPr>
              <w:jc w:val="center"/>
              <w:rPr>
                <w:rFonts w:hint="eastAsia" w:ascii="宋体" w:hAnsi="宋体" w:eastAsia="宋体" w:cs="宋体"/>
                <w:i w:val="0"/>
                <w:iCs w:val="0"/>
                <w:color w:val="000000"/>
                <w:sz w:val="18"/>
                <w:szCs w:val="18"/>
                <w:u w:val="none"/>
              </w:rPr>
            </w:pPr>
          </w:p>
        </w:tc>
      </w:tr>
      <w:tr w14:paraId="7482A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816D31">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70C74">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2E1428">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7E81AD">
            <w:pPr>
              <w:jc w:val="center"/>
              <w:rPr>
                <w:rFonts w:hint="eastAsia" w:ascii="宋体" w:hAnsi="宋体" w:eastAsia="宋体" w:cs="宋体"/>
                <w:i w:val="0"/>
                <w:iCs w:val="0"/>
                <w:color w:val="000000"/>
                <w:sz w:val="18"/>
                <w:szCs w:val="18"/>
                <w:u w:val="none"/>
              </w:rPr>
            </w:pPr>
          </w:p>
        </w:tc>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2FA9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预算执行率</w:t>
            </w:r>
          </w:p>
        </w:tc>
        <w:tc>
          <w:tcPr>
            <w:tcW w:w="1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C8C3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36463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项目预算资金是否按照计划执行，用以反映和考核项目预算执行情况。</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98D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预算执行率=（实际支出资金/实际到位资金）×100%。</w:t>
            </w:r>
          </w:p>
        </w:tc>
        <w:tc>
          <w:tcPr>
            <w:tcW w:w="6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5B75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得分等于指标分值*预算执行率。</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276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FA963">
            <w:pPr>
              <w:jc w:val="center"/>
              <w:rPr>
                <w:rFonts w:hint="eastAsia" w:ascii="宋体" w:hAnsi="宋体" w:eastAsia="宋体" w:cs="宋体"/>
                <w:i w:val="0"/>
                <w:iCs w:val="0"/>
                <w:color w:val="000000"/>
                <w:sz w:val="18"/>
                <w:szCs w:val="18"/>
                <w:u w:val="none"/>
              </w:rPr>
            </w:pPr>
          </w:p>
        </w:tc>
      </w:tr>
      <w:tr w14:paraId="49450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624B53">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9D216">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C775A6">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F720EC">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343B9E">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8BB11">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957AF">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AAB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①实际支出资金：一定时期（本年度或项目期）内项目实际拨付的资金；</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F8B62F">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5512B">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2138C">
            <w:pPr>
              <w:jc w:val="center"/>
              <w:rPr>
                <w:rFonts w:hint="eastAsia" w:ascii="宋体" w:hAnsi="宋体" w:eastAsia="宋体" w:cs="宋体"/>
                <w:i w:val="0"/>
                <w:iCs w:val="0"/>
                <w:color w:val="000000"/>
                <w:sz w:val="18"/>
                <w:szCs w:val="18"/>
                <w:u w:val="none"/>
              </w:rPr>
            </w:pPr>
          </w:p>
        </w:tc>
      </w:tr>
      <w:tr w14:paraId="751BC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34567">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165E5A">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C64AB1">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DD91B3">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B2FBC1">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D06E8">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7E548D">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ABD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②实际到位资金：一定时期（本年度或项目期）内实际落实到具体项目的资金。</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27D342">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13D8B">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DF00A">
            <w:pPr>
              <w:jc w:val="center"/>
              <w:rPr>
                <w:rFonts w:hint="eastAsia" w:ascii="宋体" w:hAnsi="宋体" w:eastAsia="宋体" w:cs="宋体"/>
                <w:i w:val="0"/>
                <w:iCs w:val="0"/>
                <w:color w:val="000000"/>
                <w:sz w:val="18"/>
                <w:szCs w:val="18"/>
                <w:u w:val="none"/>
              </w:rPr>
            </w:pPr>
          </w:p>
        </w:tc>
      </w:tr>
      <w:tr w14:paraId="36B91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316CC">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7280D6">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53950">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877163">
            <w:pPr>
              <w:jc w:val="center"/>
              <w:rPr>
                <w:rFonts w:hint="eastAsia" w:ascii="宋体" w:hAnsi="宋体" w:eastAsia="宋体" w:cs="宋体"/>
                <w:i w:val="0"/>
                <w:iCs w:val="0"/>
                <w:color w:val="000000"/>
                <w:sz w:val="18"/>
                <w:szCs w:val="18"/>
                <w:u w:val="none"/>
              </w:rPr>
            </w:pPr>
          </w:p>
        </w:tc>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1370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管理制度健全性</w:t>
            </w:r>
          </w:p>
        </w:tc>
        <w:tc>
          <w:tcPr>
            <w:tcW w:w="1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C3C9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BEA7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项目实施单位的财务制度是否健全，用以反映和考核财务管理制度对资金规范、安全运行的保障情况。</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83FD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6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6AC9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具备一个得分要素，得到指标分值的50%。</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B1F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1906D">
            <w:pPr>
              <w:jc w:val="center"/>
              <w:rPr>
                <w:rFonts w:hint="eastAsia" w:ascii="宋体" w:hAnsi="宋体" w:eastAsia="宋体" w:cs="宋体"/>
                <w:i w:val="0"/>
                <w:iCs w:val="0"/>
                <w:color w:val="000000"/>
                <w:sz w:val="18"/>
                <w:szCs w:val="18"/>
                <w:u w:val="none"/>
              </w:rPr>
            </w:pPr>
          </w:p>
        </w:tc>
      </w:tr>
      <w:tr w14:paraId="6F907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71826">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463222">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C89BC5">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2C34E">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CACD85">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B21A9">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0409C">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E1C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①是否已制定或具有相应的项目资金管理办法；</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F7308">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2C53A">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4BA02">
            <w:pPr>
              <w:jc w:val="center"/>
              <w:rPr>
                <w:rFonts w:hint="eastAsia" w:ascii="宋体" w:hAnsi="宋体" w:eastAsia="宋体" w:cs="宋体"/>
                <w:i w:val="0"/>
                <w:iCs w:val="0"/>
                <w:color w:val="000000"/>
                <w:sz w:val="18"/>
                <w:szCs w:val="18"/>
                <w:u w:val="none"/>
              </w:rPr>
            </w:pPr>
          </w:p>
        </w:tc>
      </w:tr>
      <w:tr w14:paraId="2BA94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A6239">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526FC4">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8AF41">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DE842">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3FFBB6">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4B3BB6">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C4308">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02C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②项目资金管理办法是否符合相关财务会计制度的规定。</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5CC1D">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2CB91">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43BCA">
            <w:pPr>
              <w:jc w:val="center"/>
              <w:rPr>
                <w:rFonts w:hint="eastAsia" w:ascii="宋体" w:hAnsi="宋体" w:eastAsia="宋体" w:cs="宋体"/>
                <w:i w:val="0"/>
                <w:iCs w:val="0"/>
                <w:color w:val="000000"/>
                <w:sz w:val="18"/>
                <w:szCs w:val="18"/>
                <w:u w:val="none"/>
              </w:rPr>
            </w:pPr>
          </w:p>
        </w:tc>
      </w:tr>
      <w:tr w14:paraId="538EB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B94D8B">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B1725">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8BD19">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EF4EA7">
            <w:pPr>
              <w:jc w:val="center"/>
              <w:rPr>
                <w:rFonts w:hint="eastAsia" w:ascii="宋体" w:hAnsi="宋体" w:eastAsia="宋体" w:cs="宋体"/>
                <w:i w:val="0"/>
                <w:iCs w:val="0"/>
                <w:color w:val="000000"/>
                <w:sz w:val="18"/>
                <w:szCs w:val="18"/>
                <w:u w:val="none"/>
              </w:rPr>
            </w:pPr>
          </w:p>
        </w:tc>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6138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资金使用合规性</w:t>
            </w:r>
          </w:p>
        </w:tc>
        <w:tc>
          <w:tcPr>
            <w:tcW w:w="1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EA6C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2B48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项目资金使用是否符合相关的财务管理制度规定，用以反映和考核项目资金的规范运行情况。</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EF6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6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F692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具备一个得分要素，得到指标分值的20%。但如缺少要素④或⑤指标得分为0。</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75A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1A292">
            <w:pPr>
              <w:jc w:val="center"/>
              <w:rPr>
                <w:rFonts w:hint="eastAsia" w:ascii="宋体" w:hAnsi="宋体" w:eastAsia="宋体" w:cs="宋体"/>
                <w:i w:val="0"/>
                <w:iCs w:val="0"/>
                <w:color w:val="000000"/>
                <w:sz w:val="18"/>
                <w:szCs w:val="18"/>
                <w:u w:val="none"/>
              </w:rPr>
            </w:pPr>
          </w:p>
        </w:tc>
      </w:tr>
      <w:tr w14:paraId="7E839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E6F98">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26C487">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795794">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58AC0C">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4C07F">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64E77C">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42FEE">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FC9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①是否符合国家财经法规和财务管理制度以及有关专项资金管理办法的规定；</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A49A5">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4AF5F">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A90C7">
            <w:pPr>
              <w:jc w:val="center"/>
              <w:rPr>
                <w:rFonts w:hint="eastAsia" w:ascii="宋体" w:hAnsi="宋体" w:eastAsia="宋体" w:cs="宋体"/>
                <w:i w:val="0"/>
                <w:iCs w:val="0"/>
                <w:color w:val="000000"/>
                <w:sz w:val="18"/>
                <w:szCs w:val="18"/>
                <w:u w:val="none"/>
              </w:rPr>
            </w:pPr>
          </w:p>
        </w:tc>
      </w:tr>
      <w:tr w14:paraId="2901C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E2FA9">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4D25B9">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C83EAF">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ABF14">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CC531">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EB568A">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A23D9">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4D6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②资金的拨付是否有完整的审批程序和手续；</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3DD018">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5D963">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4BFCF">
            <w:pPr>
              <w:jc w:val="center"/>
              <w:rPr>
                <w:rFonts w:hint="eastAsia" w:ascii="宋体" w:hAnsi="宋体" w:eastAsia="宋体" w:cs="宋体"/>
                <w:i w:val="0"/>
                <w:iCs w:val="0"/>
                <w:color w:val="000000"/>
                <w:sz w:val="18"/>
                <w:szCs w:val="18"/>
                <w:u w:val="none"/>
              </w:rPr>
            </w:pPr>
          </w:p>
        </w:tc>
      </w:tr>
      <w:tr w14:paraId="4809B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BF7B2">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7D666">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6FBB95">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B9BB49">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781FE">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1D774D">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8F52EA">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96D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③项目开支是否符合政府采购管理要求；</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1AE8DB">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83DBA">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CBDF1">
            <w:pPr>
              <w:jc w:val="center"/>
              <w:rPr>
                <w:rFonts w:hint="eastAsia" w:ascii="宋体" w:hAnsi="宋体" w:eastAsia="宋体" w:cs="宋体"/>
                <w:i w:val="0"/>
                <w:iCs w:val="0"/>
                <w:color w:val="000000"/>
                <w:sz w:val="18"/>
                <w:szCs w:val="18"/>
                <w:u w:val="none"/>
              </w:rPr>
            </w:pPr>
          </w:p>
        </w:tc>
      </w:tr>
      <w:tr w14:paraId="1D245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C2B7C">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BD2D66">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5FC63">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3259E">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A1F36E">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0EF84">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3AA00">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163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④是否符合项目预算批复或合同规定的用途；</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34D587">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96383">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EB05D">
            <w:pPr>
              <w:jc w:val="center"/>
              <w:rPr>
                <w:rFonts w:hint="eastAsia" w:ascii="宋体" w:hAnsi="宋体" w:eastAsia="宋体" w:cs="宋体"/>
                <w:i w:val="0"/>
                <w:iCs w:val="0"/>
                <w:color w:val="000000"/>
                <w:sz w:val="18"/>
                <w:szCs w:val="18"/>
                <w:u w:val="none"/>
              </w:rPr>
            </w:pPr>
          </w:p>
        </w:tc>
      </w:tr>
      <w:tr w14:paraId="107D0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788D85">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369DD6">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FE440">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6AEDF8">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FC2759">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DD8215">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754B0">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0B2F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⑤是否存在截留、挤占、挪用、虚列支出等情况。</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BA559">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F3A06">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02E88">
            <w:pPr>
              <w:jc w:val="center"/>
              <w:rPr>
                <w:rFonts w:hint="eastAsia" w:ascii="宋体" w:hAnsi="宋体" w:eastAsia="宋体" w:cs="宋体"/>
                <w:i w:val="0"/>
                <w:iCs w:val="0"/>
                <w:color w:val="000000"/>
                <w:sz w:val="18"/>
                <w:szCs w:val="18"/>
                <w:u w:val="none"/>
              </w:rPr>
            </w:pPr>
          </w:p>
        </w:tc>
      </w:tr>
      <w:tr w14:paraId="4B5BE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C3862">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AC1A3">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5EFD0">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C7D5D">
            <w:pPr>
              <w:jc w:val="center"/>
              <w:rPr>
                <w:rFonts w:hint="eastAsia" w:ascii="宋体" w:hAnsi="宋体" w:eastAsia="宋体" w:cs="宋体"/>
                <w:i w:val="0"/>
                <w:iCs w:val="0"/>
                <w:color w:val="000000"/>
                <w:sz w:val="18"/>
                <w:szCs w:val="18"/>
                <w:u w:val="none"/>
              </w:rPr>
            </w:pPr>
          </w:p>
        </w:tc>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ED75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财务监控有效性</w:t>
            </w:r>
          </w:p>
        </w:tc>
        <w:tc>
          <w:tcPr>
            <w:tcW w:w="1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A9E2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8B137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项目实施单位是否为保障资金的安全、规范运行而采取了必要的监控措施，用以反映和考核项目实施单位对资金运行的控制情况。</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3F7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6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5DB7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具备一个得分要素，得到指标分值的50%。</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06C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3DA49">
            <w:pPr>
              <w:jc w:val="center"/>
              <w:rPr>
                <w:rFonts w:hint="eastAsia" w:ascii="宋体" w:hAnsi="宋体" w:eastAsia="宋体" w:cs="宋体"/>
                <w:i w:val="0"/>
                <w:iCs w:val="0"/>
                <w:color w:val="000000"/>
                <w:sz w:val="18"/>
                <w:szCs w:val="18"/>
                <w:u w:val="none"/>
              </w:rPr>
            </w:pPr>
          </w:p>
        </w:tc>
      </w:tr>
      <w:tr w14:paraId="63865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42A547">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C1D01D">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5DACDA">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7E6686">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59C265">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13A93">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680155">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C15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①是否已制定或具有相应的监控机制；</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7013B8">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E651E">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D6907">
            <w:pPr>
              <w:jc w:val="center"/>
              <w:rPr>
                <w:rFonts w:hint="eastAsia" w:ascii="宋体" w:hAnsi="宋体" w:eastAsia="宋体" w:cs="宋体"/>
                <w:i w:val="0"/>
                <w:iCs w:val="0"/>
                <w:color w:val="000000"/>
                <w:sz w:val="18"/>
                <w:szCs w:val="18"/>
                <w:u w:val="none"/>
              </w:rPr>
            </w:pPr>
          </w:p>
        </w:tc>
      </w:tr>
      <w:tr w14:paraId="20197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4A895">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27BAD">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310EC">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2F6CF">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EFB20">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49484">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18B8C6">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6E0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②是否采取了相应的财务检查等必要的监控措施或手段。</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C9584">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70463">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B7F40">
            <w:pPr>
              <w:jc w:val="center"/>
              <w:rPr>
                <w:rFonts w:hint="eastAsia" w:ascii="宋体" w:hAnsi="宋体" w:eastAsia="宋体" w:cs="宋体"/>
                <w:i w:val="0"/>
                <w:iCs w:val="0"/>
                <w:color w:val="000000"/>
                <w:sz w:val="18"/>
                <w:szCs w:val="18"/>
                <w:u w:val="none"/>
              </w:rPr>
            </w:pPr>
          </w:p>
        </w:tc>
      </w:tr>
      <w:tr w14:paraId="552AC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AE91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 出</w:t>
            </w:r>
          </w:p>
        </w:tc>
        <w:tc>
          <w:tcPr>
            <w:tcW w:w="1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2CA2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C019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产出数量</w:t>
            </w:r>
          </w:p>
        </w:tc>
        <w:tc>
          <w:tcPr>
            <w:tcW w:w="1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A449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E8F5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实际完成率</w:t>
            </w:r>
          </w:p>
        </w:tc>
        <w:tc>
          <w:tcPr>
            <w:tcW w:w="1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E363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5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E5EC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项目实施的实际产出数与计划产出数的比率，用以反映和考核项目产出数量目标的实现程度。</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3B8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实际完成率=（实际产出数/计划产出数）×100%。</w:t>
            </w:r>
          </w:p>
        </w:tc>
        <w:tc>
          <w:tcPr>
            <w:tcW w:w="6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28AA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得分等于指标分值*实际完成率；</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579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4.87</w:t>
            </w:r>
          </w:p>
        </w:tc>
        <w:tc>
          <w:tcPr>
            <w:tcW w:w="8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5FFA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建设内容包括金华桥及桥两端的道路建设，《关于金华路工程可行性研究报告的批复》（三陕发改[2018]97号）显示项目总投3160.87万元，《关于申请对金华路桥梁工程进行施工及监理招标的请示》（三陕住建文【2022】86号）显示桥梁部分概算2200.00万元，截止目前金华桥竣工验收，两端道路因征地问题未施工，指标得分2200/3160.87*7=4.87分</w:t>
            </w:r>
          </w:p>
        </w:tc>
      </w:tr>
      <w:tr w14:paraId="4FB6F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AB845">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D7A23">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FB977">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66B25">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4BA1C">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232307">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4E907">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553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实际产出数：一定时期（本年度或项目期）内项目实际产出的产品或提供的服务数量。</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3744E8">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CE901">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721AD">
            <w:pPr>
              <w:jc w:val="center"/>
              <w:rPr>
                <w:rFonts w:hint="eastAsia" w:ascii="宋体" w:hAnsi="宋体" w:eastAsia="宋体" w:cs="宋体"/>
                <w:i w:val="0"/>
                <w:iCs w:val="0"/>
                <w:color w:val="000000"/>
                <w:sz w:val="18"/>
                <w:szCs w:val="18"/>
                <w:u w:val="none"/>
              </w:rPr>
            </w:pPr>
          </w:p>
        </w:tc>
      </w:tr>
      <w:tr w14:paraId="53315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73DD2">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31763">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C7B7B9">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82AB3">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2B2E0F">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B5FAD8">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7FBE7">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878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计划产出数：项目绩效目标确定的在一定时期(年度或项目期)内计划产出的产品或提供的服务数量</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A30D5">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14F48">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D1F9E">
            <w:pPr>
              <w:jc w:val="center"/>
              <w:rPr>
                <w:rFonts w:hint="eastAsia" w:ascii="宋体" w:hAnsi="宋体" w:eastAsia="宋体" w:cs="宋体"/>
                <w:i w:val="0"/>
                <w:iCs w:val="0"/>
                <w:color w:val="000000"/>
                <w:sz w:val="18"/>
                <w:szCs w:val="18"/>
                <w:u w:val="none"/>
              </w:rPr>
            </w:pPr>
          </w:p>
        </w:tc>
      </w:tr>
      <w:tr w14:paraId="1D4EF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9B5182">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2C063">
            <w:pPr>
              <w:jc w:val="center"/>
              <w:rPr>
                <w:rFonts w:hint="eastAsia" w:ascii="宋体" w:hAnsi="宋体" w:eastAsia="宋体" w:cs="宋体"/>
                <w:i w:val="0"/>
                <w:iCs w:val="0"/>
                <w:color w:val="000000"/>
                <w:sz w:val="18"/>
                <w:szCs w:val="18"/>
                <w:u w:val="none"/>
              </w:rPr>
            </w:pP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D0BA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产出时效</w:t>
            </w:r>
          </w:p>
        </w:tc>
        <w:tc>
          <w:tcPr>
            <w:tcW w:w="1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031C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F3AF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完成及时率</w:t>
            </w:r>
          </w:p>
        </w:tc>
        <w:tc>
          <w:tcPr>
            <w:tcW w:w="1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5938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5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EF39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项目实际提前完成时间与计划完成时间的比率，用以反映和考核项目产出时效目标的实现程度。</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62B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完成及时率=[（计划完成时间-实际完成时间）/计划完成时间]×100%。</w:t>
            </w:r>
          </w:p>
        </w:tc>
        <w:tc>
          <w:tcPr>
            <w:tcW w:w="6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7685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扣分分值=指标分值*完成及时率；</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628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5.98</w:t>
            </w:r>
          </w:p>
        </w:tc>
        <w:tc>
          <w:tcPr>
            <w:tcW w:w="8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CF3D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项目合同工期60日，2022年8月16日—2022年10月15日，申请延期30日，完工日期2022年11月15日，整体工期90日。实际2022年11月28日竣工，延期13日，实际工期103日，扣分分值（90-103）/90*7=1.01分</w:t>
            </w:r>
          </w:p>
        </w:tc>
      </w:tr>
      <w:tr w14:paraId="64347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49BBC7">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993AF5">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8963D">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286BE7">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A709B">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529821">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F322B">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07A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实际完成时间：项目实施单位完成该项目实际所耗用的时间。</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AC06D">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F73B8">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DD5E90">
            <w:pPr>
              <w:jc w:val="center"/>
              <w:rPr>
                <w:rFonts w:hint="eastAsia" w:ascii="宋体" w:hAnsi="宋体" w:eastAsia="宋体" w:cs="宋体"/>
                <w:i w:val="0"/>
                <w:iCs w:val="0"/>
                <w:color w:val="000000"/>
                <w:sz w:val="18"/>
                <w:szCs w:val="18"/>
                <w:u w:val="none"/>
              </w:rPr>
            </w:pPr>
          </w:p>
        </w:tc>
      </w:tr>
      <w:tr w14:paraId="26680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00F91">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D904D">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8C6FFF">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998FA4">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7C3C1E">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A529FD">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F241F1">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91AD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计划完成时间：按照项目施工合同规定完成该项目所需的时间。</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AF61C">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24CD1">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F35655">
            <w:pPr>
              <w:jc w:val="center"/>
              <w:rPr>
                <w:rFonts w:hint="eastAsia" w:ascii="宋体" w:hAnsi="宋体" w:eastAsia="宋体" w:cs="宋体"/>
                <w:i w:val="0"/>
                <w:iCs w:val="0"/>
                <w:color w:val="000000"/>
                <w:sz w:val="18"/>
                <w:szCs w:val="18"/>
                <w:u w:val="none"/>
              </w:rPr>
            </w:pPr>
          </w:p>
        </w:tc>
      </w:tr>
      <w:tr w14:paraId="5C761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E1CE2A">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DEE5FC">
            <w:pPr>
              <w:jc w:val="center"/>
              <w:rPr>
                <w:rFonts w:hint="eastAsia" w:ascii="宋体" w:hAnsi="宋体" w:eastAsia="宋体" w:cs="宋体"/>
                <w:i w:val="0"/>
                <w:iCs w:val="0"/>
                <w:color w:val="000000"/>
                <w:sz w:val="18"/>
                <w:szCs w:val="18"/>
                <w:u w:val="none"/>
              </w:rPr>
            </w:pP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4A86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产出质量</w:t>
            </w:r>
          </w:p>
        </w:tc>
        <w:tc>
          <w:tcPr>
            <w:tcW w:w="1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3ED5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C7D7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质量达标率</w:t>
            </w:r>
          </w:p>
        </w:tc>
        <w:tc>
          <w:tcPr>
            <w:tcW w:w="1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049E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5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BA60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项目完成的质量达标产出数与实际产出数的比率，用以反映和考核项目产出质量目标的实现程度。</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80D9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质量达标率=（质量达标产出数/实际产出数）×100%。</w:t>
            </w:r>
          </w:p>
        </w:tc>
        <w:tc>
          <w:tcPr>
            <w:tcW w:w="6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889F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得分等于指标分值*质量达标率。</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C98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44E1F">
            <w:pPr>
              <w:jc w:val="center"/>
              <w:rPr>
                <w:rFonts w:hint="eastAsia" w:ascii="宋体" w:hAnsi="宋体" w:eastAsia="宋体" w:cs="宋体"/>
                <w:i w:val="0"/>
                <w:iCs w:val="0"/>
                <w:color w:val="000000"/>
                <w:sz w:val="18"/>
                <w:szCs w:val="18"/>
                <w:u w:val="none"/>
              </w:rPr>
            </w:pPr>
          </w:p>
        </w:tc>
      </w:tr>
      <w:tr w14:paraId="59C3B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62A5E">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52C88F">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DB011A">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E1C822">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2377D4">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937EA5">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AF99B">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72A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质量达标产出数：一定时期（本年度或项目期）内实际达到既定质量标准的产品或服务数量。</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F3F6F8">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1524D">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8C950">
            <w:pPr>
              <w:jc w:val="center"/>
              <w:rPr>
                <w:rFonts w:hint="eastAsia" w:ascii="宋体" w:hAnsi="宋体" w:eastAsia="宋体" w:cs="宋体"/>
                <w:i w:val="0"/>
                <w:iCs w:val="0"/>
                <w:color w:val="000000"/>
                <w:sz w:val="18"/>
                <w:szCs w:val="18"/>
                <w:u w:val="none"/>
              </w:rPr>
            </w:pPr>
          </w:p>
        </w:tc>
      </w:tr>
      <w:tr w14:paraId="2BAB7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153C4D">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48214">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656804">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5E5ECC">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E1D20">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6E69A">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391C29">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2784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既定质量标准是指项目实施单位设立绩效目标时依据计划标准、行业标准、历史标准或其他标准而设定的绩效指标值。</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54F8AD">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10B56">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8F27E">
            <w:pPr>
              <w:jc w:val="center"/>
              <w:rPr>
                <w:rFonts w:hint="eastAsia" w:ascii="宋体" w:hAnsi="宋体" w:eastAsia="宋体" w:cs="宋体"/>
                <w:i w:val="0"/>
                <w:iCs w:val="0"/>
                <w:color w:val="000000"/>
                <w:sz w:val="18"/>
                <w:szCs w:val="18"/>
                <w:u w:val="none"/>
              </w:rPr>
            </w:pPr>
          </w:p>
        </w:tc>
      </w:tr>
      <w:tr w14:paraId="748A1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CD1C06">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C492D7">
            <w:pPr>
              <w:jc w:val="center"/>
              <w:rPr>
                <w:rFonts w:hint="eastAsia" w:ascii="宋体" w:hAnsi="宋体" w:eastAsia="宋体" w:cs="宋体"/>
                <w:i w:val="0"/>
                <w:iCs w:val="0"/>
                <w:color w:val="000000"/>
                <w:sz w:val="18"/>
                <w:szCs w:val="18"/>
                <w:u w:val="none"/>
              </w:rPr>
            </w:pP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E7CA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产出成本</w:t>
            </w:r>
          </w:p>
        </w:tc>
        <w:tc>
          <w:tcPr>
            <w:tcW w:w="1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3EC2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68BD4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成本节约率</w:t>
            </w:r>
          </w:p>
        </w:tc>
        <w:tc>
          <w:tcPr>
            <w:tcW w:w="1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4380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5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D6D0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完成项目计划工作目标的实际节约成本与计划成本的比率，用以反映和考核项目的成本节约程度。</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454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成本节约率=[（计划成本-实际成本）/计划成本]×100%。</w:t>
            </w:r>
          </w:p>
        </w:tc>
        <w:tc>
          <w:tcPr>
            <w:tcW w:w="6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F5AA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得分等于指标分值*成本节约率/20%</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F46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8.74</w:t>
            </w:r>
          </w:p>
        </w:tc>
        <w:tc>
          <w:tcPr>
            <w:tcW w:w="8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4980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关于申请对金华路桥梁工程进行施工及监理招标的请示》（三陕住建文【2022】86号）显示桥梁部分概算2200.00万元，实际发生建设工程款1747.61万元，监理费25.23万元。本指标得分9*（2200-1747.61+25.23）/2200.00/20%=8.74分</w:t>
            </w:r>
          </w:p>
        </w:tc>
      </w:tr>
      <w:tr w14:paraId="74C92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4A452B">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E7F601">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0BDC43">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F0281">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373328">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46F8C">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C6246D">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69B0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实际成本：项目实施单位如期、保质、保量完成既定工作目标实际所耗费的支出。</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648C7">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9C217">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1F75D">
            <w:pPr>
              <w:jc w:val="center"/>
              <w:rPr>
                <w:rFonts w:hint="eastAsia" w:ascii="宋体" w:hAnsi="宋体" w:eastAsia="宋体" w:cs="宋体"/>
                <w:i w:val="0"/>
                <w:iCs w:val="0"/>
                <w:color w:val="000000"/>
                <w:sz w:val="18"/>
                <w:szCs w:val="18"/>
                <w:u w:val="none"/>
              </w:rPr>
            </w:pPr>
          </w:p>
        </w:tc>
      </w:tr>
      <w:tr w14:paraId="6C203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14E29B">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330E26">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8F64A">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E726C8">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53FB5">
            <w:pPr>
              <w:jc w:val="left"/>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0BA00">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0F4D0">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9C7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计划成本：项目实施单位为完成工作目标计划安排的支出，一般以项目预算为参考。</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A8991">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6B697">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0D189">
            <w:pPr>
              <w:jc w:val="center"/>
              <w:rPr>
                <w:rFonts w:hint="eastAsia" w:ascii="宋体" w:hAnsi="宋体" w:eastAsia="宋体" w:cs="宋体"/>
                <w:i w:val="0"/>
                <w:iCs w:val="0"/>
                <w:color w:val="000000"/>
                <w:sz w:val="18"/>
                <w:szCs w:val="18"/>
                <w:u w:val="none"/>
              </w:rPr>
            </w:pPr>
          </w:p>
        </w:tc>
      </w:tr>
      <w:tr w14:paraId="37062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79F4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 果</w:t>
            </w:r>
          </w:p>
        </w:tc>
        <w:tc>
          <w:tcPr>
            <w:tcW w:w="1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CE02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95A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经济效益</w:t>
            </w:r>
          </w:p>
        </w:tc>
        <w:tc>
          <w:tcPr>
            <w:tcW w:w="1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55D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F39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经济效益</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45B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D85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项目实施对经济发展所带来的直接或间接影响情况。</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B9FA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项目为公共基础设施建设，经济效益采用定性指标和问卷调查相结合的方式。</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5D26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桥梁运营通车得4分，问卷分值满分3分，问卷得分等于3*经济指标的问卷平均比例。若桥梁未运营，经济效益得0分。</w:t>
            </w:r>
          </w:p>
        </w:tc>
        <w:tc>
          <w:tcPr>
            <w:tcW w:w="1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3D2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A52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金华桥建成未运营通车，无法产生经济效益，本指标不得分。</w:t>
            </w:r>
          </w:p>
        </w:tc>
      </w:tr>
      <w:tr w14:paraId="0085E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2C49C">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62CE1B">
            <w:pPr>
              <w:jc w:val="center"/>
              <w:rPr>
                <w:rFonts w:hint="eastAsia" w:ascii="宋体" w:hAnsi="宋体" w:eastAsia="宋体" w:cs="宋体"/>
                <w:i w:val="0"/>
                <w:iCs w:val="0"/>
                <w:color w:val="000000"/>
                <w:sz w:val="18"/>
                <w:szCs w:val="18"/>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201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w:t>
            </w:r>
          </w:p>
        </w:tc>
        <w:tc>
          <w:tcPr>
            <w:tcW w:w="1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F54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6F7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22F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BA8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项目实施对社会发展所带来的直接或间接影响情况。</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9165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项目为公共基础设施建设，社会效益采用定性指标和问卷调查相结合的方式。</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6C4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桥梁运营通车得4分，问卷分值满分3分，问卷得分等于3*经济指标的问卷平均比例。若桥梁未运营，社会效益得0分。</w:t>
            </w:r>
          </w:p>
        </w:tc>
        <w:tc>
          <w:tcPr>
            <w:tcW w:w="1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3C4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C21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金华桥建成未运营通车，无法产生社会效益，本指标不得分。</w:t>
            </w:r>
          </w:p>
        </w:tc>
      </w:tr>
      <w:tr w14:paraId="7F174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BF9D4E">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96C7D">
            <w:pPr>
              <w:jc w:val="center"/>
              <w:rPr>
                <w:rFonts w:hint="eastAsia" w:ascii="宋体" w:hAnsi="宋体" w:eastAsia="宋体" w:cs="宋体"/>
                <w:i w:val="0"/>
                <w:iCs w:val="0"/>
                <w:color w:val="000000"/>
                <w:sz w:val="18"/>
                <w:szCs w:val="18"/>
                <w:u w:val="none"/>
              </w:rPr>
            </w:pP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2423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w:t>
            </w:r>
          </w:p>
        </w:tc>
        <w:tc>
          <w:tcPr>
            <w:tcW w:w="1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9E03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15F5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w:t>
            </w:r>
          </w:p>
        </w:tc>
        <w:tc>
          <w:tcPr>
            <w:tcW w:w="1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18FE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5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1B91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项目后续运行及成效发挥的可持续影响情况。</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B06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6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B5B1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①、②各占3分；③查看验收报告，验收合格得3分，有一处质量缺陷扣1分，最多扣3分。</w:t>
            </w:r>
          </w:p>
        </w:tc>
        <w:tc>
          <w:tcPr>
            <w:tcW w:w="1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049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4FF61">
            <w:pPr>
              <w:jc w:val="center"/>
              <w:rPr>
                <w:rFonts w:hint="eastAsia" w:ascii="宋体" w:hAnsi="宋体" w:eastAsia="宋体" w:cs="宋体"/>
                <w:i w:val="0"/>
                <w:iCs w:val="0"/>
                <w:color w:val="000000"/>
                <w:sz w:val="18"/>
                <w:szCs w:val="18"/>
                <w:u w:val="none"/>
              </w:rPr>
            </w:pPr>
          </w:p>
        </w:tc>
      </w:tr>
      <w:tr w14:paraId="6BB77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D6961F">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D4C31A">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73B19">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944061">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EE50DB">
            <w:pPr>
              <w:jc w:val="center"/>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05E047">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470CB">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C57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①是否有桩基承载力检测报告。</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0F6C35">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84F62">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C8466">
            <w:pPr>
              <w:jc w:val="center"/>
              <w:rPr>
                <w:rFonts w:hint="eastAsia" w:ascii="宋体" w:hAnsi="宋体" w:eastAsia="宋体" w:cs="宋体"/>
                <w:i w:val="0"/>
                <w:iCs w:val="0"/>
                <w:color w:val="000000"/>
                <w:sz w:val="18"/>
                <w:szCs w:val="18"/>
                <w:u w:val="none"/>
              </w:rPr>
            </w:pPr>
          </w:p>
        </w:tc>
      </w:tr>
      <w:tr w14:paraId="432BC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23502">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5B74D7">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0CDBE">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EB78F5">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05C85">
            <w:pPr>
              <w:jc w:val="center"/>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34EDD2">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DB980">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56C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②是否有全部桥梁竣工承载力检测报告。</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9D4C7">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8325A">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3AC9E">
            <w:pPr>
              <w:jc w:val="center"/>
              <w:rPr>
                <w:rFonts w:hint="eastAsia" w:ascii="宋体" w:hAnsi="宋体" w:eastAsia="宋体" w:cs="宋体"/>
                <w:i w:val="0"/>
                <w:iCs w:val="0"/>
                <w:color w:val="000000"/>
                <w:sz w:val="18"/>
                <w:szCs w:val="18"/>
                <w:u w:val="none"/>
              </w:rPr>
            </w:pPr>
          </w:p>
        </w:tc>
      </w:tr>
      <w:tr w14:paraId="2C6C2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8A855A">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1F2ECD">
            <w:pPr>
              <w:jc w:val="center"/>
              <w:rPr>
                <w:rFonts w:hint="eastAsia" w:ascii="宋体" w:hAnsi="宋体" w:eastAsia="宋体" w:cs="宋体"/>
                <w:i w:val="0"/>
                <w:iCs w:val="0"/>
                <w:color w:val="000000"/>
                <w:sz w:val="18"/>
                <w:szCs w:val="18"/>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1D13A2">
            <w:pPr>
              <w:jc w:val="center"/>
              <w:rPr>
                <w:rFonts w:hint="eastAsia" w:ascii="宋体" w:hAnsi="宋体" w:eastAsia="宋体" w:cs="宋体"/>
                <w:i w:val="0"/>
                <w:iCs w:val="0"/>
                <w:color w:val="000000"/>
                <w:sz w:val="18"/>
                <w:szCs w:val="18"/>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99BBB">
            <w:pPr>
              <w:jc w:val="center"/>
              <w:rPr>
                <w:rFonts w:hint="eastAsia" w:ascii="宋体" w:hAnsi="宋体" w:eastAsia="宋体" w:cs="宋体"/>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BBB5E">
            <w:pPr>
              <w:jc w:val="center"/>
              <w:rPr>
                <w:rFonts w:hint="eastAsia" w:ascii="宋体" w:hAnsi="宋体" w:eastAsia="宋体" w:cs="宋体"/>
                <w:i w:val="0"/>
                <w:iCs w:val="0"/>
                <w:color w:val="000000"/>
                <w:sz w:val="18"/>
                <w:szCs w:val="18"/>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AD94F">
            <w:pPr>
              <w:jc w:val="center"/>
              <w:rPr>
                <w:rFonts w:hint="eastAsia" w:ascii="宋体" w:hAnsi="宋体" w:eastAsia="宋体" w:cs="宋体"/>
                <w:i w:val="0"/>
                <w:iCs w:val="0"/>
                <w:color w:val="000000"/>
                <w:sz w:val="18"/>
                <w:szCs w:val="18"/>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521B7">
            <w:pPr>
              <w:jc w:val="left"/>
              <w:rPr>
                <w:rFonts w:hint="eastAsia" w:ascii="宋体" w:hAnsi="宋体" w:eastAsia="宋体" w:cs="宋体"/>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0C1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③依据项目设计图，桥梁主体结构预计使用50年，栏杆、支座、伸缩缝等易损部件15年，结合项目验收有无质量缺陷酌情扣分。</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036B8D">
            <w:pPr>
              <w:jc w:val="left"/>
              <w:rPr>
                <w:rFonts w:hint="eastAsia" w:ascii="宋体" w:hAnsi="宋体" w:eastAsia="宋体" w:cs="宋体"/>
                <w:i w:val="0"/>
                <w:iCs w:val="0"/>
                <w:color w:val="000000"/>
                <w:sz w:val="18"/>
                <w:szCs w:val="18"/>
                <w:u w:val="none"/>
              </w:rPr>
            </w:pPr>
          </w:p>
        </w:tc>
        <w:tc>
          <w:tcPr>
            <w:tcW w:w="1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D585F">
            <w:pPr>
              <w:jc w:val="center"/>
              <w:rPr>
                <w:rFonts w:hint="eastAsia" w:ascii="宋体" w:hAnsi="宋体" w:eastAsia="宋体" w:cs="宋体"/>
                <w:i w:val="0"/>
                <w:iCs w:val="0"/>
                <w:color w:val="000000"/>
                <w:sz w:val="18"/>
                <w:szCs w:val="18"/>
                <w:u w:val="none"/>
              </w:rPr>
            </w:pPr>
          </w:p>
        </w:tc>
        <w:tc>
          <w:tcPr>
            <w:tcW w:w="8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1D28E">
            <w:pPr>
              <w:jc w:val="center"/>
              <w:rPr>
                <w:rFonts w:hint="eastAsia" w:ascii="宋体" w:hAnsi="宋体" w:eastAsia="宋体" w:cs="宋体"/>
                <w:i w:val="0"/>
                <w:iCs w:val="0"/>
                <w:color w:val="000000"/>
                <w:sz w:val="18"/>
                <w:szCs w:val="18"/>
                <w:u w:val="none"/>
              </w:rPr>
            </w:pPr>
          </w:p>
        </w:tc>
      </w:tr>
      <w:tr w14:paraId="1A276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79E84">
            <w:pPr>
              <w:jc w:val="center"/>
              <w:rPr>
                <w:rFonts w:hint="eastAsia" w:ascii="宋体" w:hAnsi="宋体" w:eastAsia="宋体" w:cs="宋体"/>
                <w:i w:val="0"/>
                <w:iCs w:val="0"/>
                <w:color w:val="000000"/>
                <w:sz w:val="18"/>
                <w:szCs w:val="18"/>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242CBE">
            <w:pPr>
              <w:jc w:val="center"/>
              <w:rPr>
                <w:rFonts w:hint="eastAsia" w:ascii="宋体" w:hAnsi="宋体" w:eastAsia="宋体" w:cs="宋体"/>
                <w:i w:val="0"/>
                <w:iCs w:val="0"/>
                <w:color w:val="000000"/>
                <w:sz w:val="18"/>
                <w:szCs w:val="18"/>
                <w:u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330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社会公众或服务对象满意度</w:t>
            </w:r>
          </w:p>
        </w:tc>
        <w:tc>
          <w:tcPr>
            <w:tcW w:w="1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131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77D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社会公众或服务对象满意度</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BE1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21E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社会公众或服务对象对项目实施效果的满意程度。</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872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社会公众或服务对象是指因该项目实施而受到影响的部门（单位）、群体或个人。一般采取社会调查的方式。</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F2A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根据问卷调查</w:t>
            </w:r>
            <w:r>
              <w:rPr>
                <w:rFonts w:hint="eastAsia" w:ascii="宋体" w:hAnsi="宋体" w:cs="宋体"/>
                <w:i w:val="0"/>
                <w:iCs w:val="0"/>
                <w:color w:val="000000"/>
                <w:kern w:val="0"/>
                <w:sz w:val="18"/>
                <w:szCs w:val="18"/>
                <w:u w:val="none"/>
                <w:lang w:val="en-US" w:eastAsia="zh-CN" w:bidi="ar"/>
              </w:rPr>
              <w:t>的</w:t>
            </w:r>
            <w:r>
              <w:rPr>
                <w:rFonts w:hint="eastAsia" w:ascii="宋体" w:hAnsi="宋体" w:eastAsia="宋体" w:cs="宋体"/>
                <w:i w:val="0"/>
                <w:iCs w:val="0"/>
                <w:color w:val="000000"/>
                <w:kern w:val="0"/>
                <w:sz w:val="18"/>
                <w:szCs w:val="18"/>
                <w:u w:val="none"/>
                <w:lang w:val="en-US" w:eastAsia="zh-CN" w:bidi="ar"/>
              </w:rPr>
              <w:t>满意情况确定满意度得分，分值*问卷满意度。</w:t>
            </w:r>
          </w:p>
        </w:tc>
        <w:tc>
          <w:tcPr>
            <w:tcW w:w="1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E8A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5.11</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3B3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问卷调查4题，为综合满意度调查，综合满意度73.05%，本指标得分7*73.05%=5.11分</w:t>
            </w:r>
          </w:p>
        </w:tc>
      </w:tr>
      <w:tr w14:paraId="23B5B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BCA9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整体评价</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99E6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100</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A19DC">
            <w:pPr>
              <w:jc w:val="center"/>
              <w:rPr>
                <w:rFonts w:hint="eastAsia" w:ascii="宋体" w:hAnsi="宋体" w:eastAsia="宋体" w:cs="宋体"/>
                <w:b/>
                <w:bCs/>
                <w:i w:val="0"/>
                <w:iCs w:val="0"/>
                <w:color w:val="000000"/>
                <w:sz w:val="18"/>
                <w:szCs w:val="18"/>
                <w:u w:val="none"/>
              </w:rPr>
            </w:pPr>
          </w:p>
        </w:tc>
        <w:tc>
          <w:tcPr>
            <w:tcW w:w="1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144B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100</w:t>
            </w:r>
          </w:p>
        </w:tc>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B0BF0">
            <w:pPr>
              <w:jc w:val="center"/>
              <w:rPr>
                <w:rFonts w:hint="eastAsia" w:ascii="宋体" w:hAnsi="宋体" w:eastAsia="宋体" w:cs="宋体"/>
                <w:b/>
                <w:bCs/>
                <w:i w:val="0"/>
                <w:iCs w:val="0"/>
                <w:color w:val="000000"/>
                <w:sz w:val="18"/>
                <w:szCs w:val="18"/>
                <w:u w:val="none"/>
              </w:rPr>
            </w:pP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3310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100</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F53D9">
            <w:pPr>
              <w:jc w:val="center"/>
              <w:rPr>
                <w:rFonts w:hint="eastAsia" w:ascii="宋体" w:hAnsi="宋体" w:eastAsia="宋体" w:cs="宋体"/>
                <w:b/>
                <w:bCs/>
                <w:i w:val="0"/>
                <w:iCs w:val="0"/>
                <w:color w:val="000000"/>
                <w:sz w:val="18"/>
                <w:szCs w:val="18"/>
                <w:u w:val="none"/>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5743E">
            <w:pPr>
              <w:jc w:val="center"/>
              <w:rPr>
                <w:rFonts w:hint="eastAsia" w:ascii="宋体" w:hAnsi="宋体" w:eastAsia="宋体" w:cs="宋体"/>
                <w:b/>
                <w:bCs/>
                <w:i w:val="0"/>
                <w:iCs w:val="0"/>
                <w:color w:val="000000"/>
                <w:sz w:val="18"/>
                <w:szCs w:val="18"/>
                <w:u w:val="none"/>
              </w:rPr>
            </w:pP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D6D63">
            <w:pPr>
              <w:jc w:val="center"/>
              <w:rPr>
                <w:rFonts w:hint="eastAsia" w:ascii="宋体" w:hAnsi="宋体" w:eastAsia="宋体" w:cs="宋体"/>
                <w:b/>
                <w:bCs/>
                <w:i w:val="0"/>
                <w:iCs w:val="0"/>
                <w:color w:val="000000"/>
                <w:sz w:val="18"/>
                <w:szCs w:val="18"/>
                <w:u w:val="none"/>
              </w:rPr>
            </w:pPr>
          </w:p>
        </w:tc>
        <w:tc>
          <w:tcPr>
            <w:tcW w:w="1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B9E4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74</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C51F9">
            <w:pPr>
              <w:jc w:val="center"/>
              <w:rPr>
                <w:rFonts w:hint="eastAsia" w:ascii="宋体" w:hAnsi="宋体" w:eastAsia="宋体" w:cs="宋体"/>
                <w:b/>
                <w:bCs/>
                <w:i w:val="0"/>
                <w:iCs w:val="0"/>
                <w:color w:val="000000"/>
                <w:sz w:val="18"/>
                <w:szCs w:val="18"/>
                <w:u w:val="none"/>
              </w:rPr>
            </w:pPr>
          </w:p>
        </w:tc>
      </w:tr>
    </w:tbl>
    <w:p w14:paraId="6C2D81EC">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sectPr>
          <w:pgSz w:w="16838" w:h="11906" w:orient="landscape"/>
          <w:pgMar w:top="1800" w:right="1440" w:bottom="1800" w:left="1440" w:header="851" w:footer="992" w:gutter="0"/>
          <w:pgNumType w:fmt="decimal"/>
          <w:cols w:space="425" w:num="1"/>
          <w:docGrid w:type="lines" w:linePitch="312" w:charSpace="0"/>
        </w:sectPr>
      </w:pPr>
    </w:p>
    <w:p w14:paraId="30F968EF">
      <w:pPr>
        <w:numPr>
          <w:ilvl w:val="0"/>
          <w:numId w:val="24"/>
        </w:numPr>
        <w:spacing w:line="360" w:lineRule="auto"/>
        <w:ind w:left="0" w:leftChars="0" w:firstLine="283" w:firstLineChars="0"/>
        <w:jc w:val="left"/>
        <w:outlineLvl w:val="1"/>
        <w:rPr>
          <w:rFonts w:hint="default" w:ascii="宋体" w:hAnsi="宋体" w:eastAsia="宋体" w:cs="宋体"/>
          <w:color w:val="000000" w:themeColor="text1"/>
          <w:kern w:val="44"/>
          <w:sz w:val="28"/>
          <w:szCs w:val="28"/>
          <w:lang w:val="en-US" w:eastAsia="zh-CN"/>
          <w14:textFill>
            <w14:solidFill>
              <w14:schemeClr w14:val="tx1"/>
            </w14:solidFill>
          </w14:textFill>
        </w:rPr>
      </w:pPr>
      <w:bookmarkStart w:id="41" w:name="_Toc13613"/>
      <w:r>
        <w:rPr>
          <w:rFonts w:hint="eastAsia" w:ascii="宋体" w:hAnsi="宋体" w:eastAsia="宋体" w:cs="宋体"/>
          <w:color w:val="000000" w:themeColor="text1"/>
          <w:kern w:val="44"/>
          <w:sz w:val="28"/>
          <w:szCs w:val="28"/>
          <w:lang w:val="en-US" w:eastAsia="zh-CN"/>
          <w14:textFill>
            <w14:solidFill>
              <w14:schemeClr w14:val="tx1"/>
            </w14:solidFill>
          </w14:textFill>
        </w:rPr>
        <w:t>项目组成员资质证书</w:t>
      </w:r>
      <w:bookmarkEnd w:id="41"/>
    </w:p>
    <w:p w14:paraId="6FAE7940">
      <w:pPr>
        <w:spacing w:line="360" w:lineRule="auto"/>
        <w:jc w:val="center"/>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576955" cy="5106670"/>
            <wp:effectExtent l="0" t="0" r="17780" b="4445"/>
            <wp:docPr id="67" name="图片 2" descr="2b465f7ac7dcde05bfdf5d9ee87d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descr="2b465f7ac7dcde05bfdf5d9ee87d756"/>
                    <pic:cNvPicPr>
                      <a:picLocks noChangeAspect="1"/>
                    </pic:cNvPicPr>
                  </pic:nvPicPr>
                  <pic:blipFill>
                    <a:blip r:embed="rId24"/>
                    <a:stretch>
                      <a:fillRect/>
                    </a:stretch>
                  </pic:blipFill>
                  <pic:spPr>
                    <a:xfrm rot="-5400000">
                      <a:off x="0" y="0"/>
                      <a:ext cx="3576955" cy="5106670"/>
                    </a:xfrm>
                    <a:prstGeom prst="rect">
                      <a:avLst/>
                    </a:prstGeom>
                    <a:noFill/>
                    <a:ln>
                      <a:noFill/>
                    </a:ln>
                  </pic:spPr>
                </pic:pic>
              </a:graphicData>
            </a:graphic>
          </wp:inline>
        </w:drawing>
      </w:r>
    </w:p>
    <w:p w14:paraId="5AA5F94B">
      <w:pPr>
        <w:numPr>
          <w:ilvl w:val="0"/>
          <w:numId w:val="0"/>
        </w:numPr>
        <w:spacing w:line="360" w:lineRule="auto"/>
        <w:jc w:val="left"/>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575560" cy="3831590"/>
            <wp:effectExtent l="0" t="0" r="15240" b="16510"/>
            <wp:docPr id="68" name="图片 3" descr="501cf3141d7c1d8284f10e41fa1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descr="501cf3141d7c1d8284f10e41fa14496"/>
                    <pic:cNvPicPr>
                      <a:picLocks noChangeAspect="1"/>
                    </pic:cNvPicPr>
                  </pic:nvPicPr>
                  <pic:blipFill>
                    <a:blip r:embed="rId25"/>
                    <a:stretch>
                      <a:fillRect/>
                    </a:stretch>
                  </pic:blipFill>
                  <pic:spPr>
                    <a:xfrm>
                      <a:off x="0" y="0"/>
                      <a:ext cx="2575560" cy="3831590"/>
                    </a:xfrm>
                    <a:prstGeom prst="rect">
                      <a:avLst/>
                    </a:prstGeom>
                    <a:noFill/>
                    <a:ln>
                      <a:noFill/>
                    </a:ln>
                  </pic:spPr>
                </pic:pic>
              </a:graphicData>
            </a:graphic>
          </wp:inline>
        </w:drawing>
      </w:r>
      <w:r>
        <w:rPr>
          <w:rFonts w:hint="eastAsia" w:ascii="宋体" w:hAnsi="宋体" w:eastAsia="宋体" w:cs="宋体"/>
          <w:sz w:val="24"/>
          <w:szCs w:val="24"/>
          <w:lang w:eastAsia="zh-CN"/>
        </w:rPr>
        <w:drawing>
          <wp:inline distT="0" distB="0" distL="114300" distR="114300">
            <wp:extent cx="2592070" cy="3904615"/>
            <wp:effectExtent l="0" t="0" r="17780" b="635"/>
            <wp:docPr id="63" name="图片 4" descr="a93d88bd9ad8371bfe4ab05caa2c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descr="a93d88bd9ad8371bfe4ab05caa2c31a"/>
                    <pic:cNvPicPr>
                      <a:picLocks noChangeAspect="1"/>
                    </pic:cNvPicPr>
                  </pic:nvPicPr>
                  <pic:blipFill>
                    <a:blip r:embed="rId26"/>
                    <a:stretch>
                      <a:fillRect/>
                    </a:stretch>
                  </pic:blipFill>
                  <pic:spPr>
                    <a:xfrm>
                      <a:off x="0" y="0"/>
                      <a:ext cx="2592070" cy="3904615"/>
                    </a:xfrm>
                    <a:prstGeom prst="rect">
                      <a:avLst/>
                    </a:prstGeom>
                    <a:noFill/>
                    <a:ln>
                      <a:noFill/>
                    </a:ln>
                  </pic:spPr>
                </pic:pic>
              </a:graphicData>
            </a:graphic>
          </wp:inline>
        </w:drawing>
      </w:r>
    </w:p>
    <w:p w14:paraId="2565D9EA">
      <w:pPr>
        <w:numPr>
          <w:ilvl w:val="0"/>
          <w:numId w:val="0"/>
        </w:numPr>
        <w:spacing w:line="360" w:lineRule="auto"/>
        <w:jc w:val="left"/>
        <w:outlineLvl w:val="9"/>
        <w:rPr>
          <w:rFonts w:hint="eastAsia" w:ascii="宋体" w:hAnsi="宋体" w:eastAsia="宋体" w:cs="宋体"/>
          <w:sz w:val="24"/>
          <w:szCs w:val="24"/>
          <w:lang w:eastAsia="zh-CN"/>
        </w:rPr>
      </w:pPr>
    </w:p>
    <w:p w14:paraId="5DD8A53A">
      <w:pPr>
        <w:numPr>
          <w:ilvl w:val="0"/>
          <w:numId w:val="0"/>
        </w:numPr>
        <w:spacing w:line="360" w:lineRule="auto"/>
        <w:jc w:val="left"/>
        <w:outlineLvl w:val="9"/>
        <w:rPr>
          <w:rFonts w:hint="eastAsia" w:ascii="宋体" w:hAnsi="宋体" w:eastAsia="宋体" w:cs="宋体"/>
          <w:sz w:val="24"/>
          <w:szCs w:val="24"/>
          <w:lang w:eastAsia="zh-CN"/>
        </w:rPr>
      </w:pPr>
    </w:p>
    <w:p w14:paraId="29FB2AC1">
      <w:pPr>
        <w:numPr>
          <w:ilvl w:val="0"/>
          <w:numId w:val="0"/>
        </w:numPr>
        <w:spacing w:line="360" w:lineRule="auto"/>
        <w:jc w:val="left"/>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344670" cy="5310505"/>
            <wp:effectExtent l="0" t="0" r="4445" b="17780"/>
            <wp:docPr id="70" name="图片 6" descr="赵桥职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 descr="赵桥职称"/>
                    <pic:cNvPicPr>
                      <a:picLocks noChangeAspect="1"/>
                    </pic:cNvPicPr>
                  </pic:nvPicPr>
                  <pic:blipFill>
                    <a:blip r:embed="rId27"/>
                    <a:stretch>
                      <a:fillRect/>
                    </a:stretch>
                  </pic:blipFill>
                  <pic:spPr>
                    <a:xfrm rot="-5400000">
                      <a:off x="0" y="0"/>
                      <a:ext cx="4344670" cy="5310505"/>
                    </a:xfrm>
                    <a:prstGeom prst="rect">
                      <a:avLst/>
                    </a:prstGeom>
                    <a:noFill/>
                    <a:ln>
                      <a:noFill/>
                    </a:ln>
                  </pic:spPr>
                </pic:pic>
              </a:graphicData>
            </a:graphic>
          </wp:inline>
        </w:drawing>
      </w:r>
    </w:p>
    <w:p w14:paraId="6E525E76">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3E3FF81C">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77FB0959">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0D0837A3">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1A7C0800">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1ACF6080">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5FBC3AFD">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737E8256">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4604444F">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51E57CEE">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7801DCB5">
      <w:pPr>
        <w:numPr>
          <w:ilvl w:val="0"/>
          <w:numId w:val="0"/>
        </w:numPr>
        <w:spacing w:line="360" w:lineRule="auto"/>
        <w:jc w:val="left"/>
        <w:outlineLvl w:val="9"/>
        <w:rPr>
          <w:rFonts w:hint="eastAsia" w:eastAsia="宋体"/>
          <w:lang w:eastAsia="zh-CN"/>
        </w:rPr>
      </w:pPr>
      <w:r>
        <w:rPr>
          <w:rFonts w:hint="eastAsia" w:eastAsia="宋体"/>
          <w:lang w:eastAsia="zh-CN"/>
        </w:rPr>
        <w:drawing>
          <wp:inline distT="0" distB="0" distL="114300" distR="114300">
            <wp:extent cx="3226435" cy="5266055"/>
            <wp:effectExtent l="0" t="0" r="10795" b="12065"/>
            <wp:docPr id="32" name="图片 1" descr="5055b8796ec6e6294cc55eeb8b82c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5055b8796ec6e6294cc55eeb8b82c6c"/>
                    <pic:cNvPicPr>
                      <a:picLocks noChangeAspect="1"/>
                    </pic:cNvPicPr>
                  </pic:nvPicPr>
                  <pic:blipFill>
                    <a:blip r:embed="rId28"/>
                    <a:stretch>
                      <a:fillRect/>
                    </a:stretch>
                  </pic:blipFill>
                  <pic:spPr>
                    <a:xfrm rot="-5400000">
                      <a:off x="0" y="0"/>
                      <a:ext cx="3226435" cy="5266055"/>
                    </a:xfrm>
                    <a:prstGeom prst="rect">
                      <a:avLst/>
                    </a:prstGeom>
                    <a:noFill/>
                    <a:ln>
                      <a:noFill/>
                    </a:ln>
                  </pic:spPr>
                </pic:pic>
              </a:graphicData>
            </a:graphic>
          </wp:inline>
        </w:drawing>
      </w:r>
    </w:p>
    <w:p w14:paraId="605143F6">
      <w:pPr>
        <w:numPr>
          <w:ilvl w:val="0"/>
          <w:numId w:val="0"/>
        </w:numPr>
        <w:spacing w:line="360" w:lineRule="auto"/>
        <w:jc w:val="left"/>
        <w:outlineLvl w:val="9"/>
        <w:rPr>
          <w:rFonts w:hint="eastAsia" w:eastAsia="宋体"/>
          <w:lang w:eastAsia="zh-CN"/>
        </w:rPr>
      </w:pPr>
      <w:r>
        <w:rPr>
          <w:rFonts w:hint="eastAsia" w:eastAsia="宋体"/>
          <w:lang w:eastAsia="zh-CN"/>
        </w:rPr>
        <w:drawing>
          <wp:inline distT="0" distB="0" distL="114300" distR="114300">
            <wp:extent cx="2649855" cy="2983865"/>
            <wp:effectExtent l="0" t="0" r="17145" b="6985"/>
            <wp:docPr id="33" name="图片 2" descr="0ef91e4498e4866cc9176bc7be18a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0ef91e4498e4866cc9176bc7be18a61"/>
                    <pic:cNvPicPr>
                      <a:picLocks noChangeAspect="1"/>
                    </pic:cNvPicPr>
                  </pic:nvPicPr>
                  <pic:blipFill>
                    <a:blip r:embed="rId29"/>
                    <a:stretch>
                      <a:fillRect/>
                    </a:stretch>
                  </pic:blipFill>
                  <pic:spPr>
                    <a:xfrm>
                      <a:off x="0" y="0"/>
                      <a:ext cx="2649855" cy="2983865"/>
                    </a:xfrm>
                    <a:prstGeom prst="rect">
                      <a:avLst/>
                    </a:prstGeom>
                    <a:noFill/>
                    <a:ln>
                      <a:noFill/>
                    </a:ln>
                  </pic:spPr>
                </pic:pic>
              </a:graphicData>
            </a:graphic>
          </wp:inline>
        </w:drawing>
      </w:r>
      <w:r>
        <w:rPr>
          <w:rFonts w:hint="eastAsia" w:eastAsia="宋体"/>
          <w:lang w:eastAsia="zh-CN"/>
        </w:rPr>
        <w:drawing>
          <wp:inline distT="0" distB="0" distL="114300" distR="114300">
            <wp:extent cx="2588895" cy="2986405"/>
            <wp:effectExtent l="0" t="0" r="1905" b="4445"/>
            <wp:docPr id="35" name="图片 3" descr="df33aed5cabfe0984a0c4d23d9c96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df33aed5cabfe0984a0c4d23d9c965d"/>
                    <pic:cNvPicPr>
                      <a:picLocks noChangeAspect="1"/>
                    </pic:cNvPicPr>
                  </pic:nvPicPr>
                  <pic:blipFill>
                    <a:blip r:embed="rId30"/>
                    <a:stretch>
                      <a:fillRect/>
                    </a:stretch>
                  </pic:blipFill>
                  <pic:spPr>
                    <a:xfrm>
                      <a:off x="0" y="0"/>
                      <a:ext cx="2588895" cy="2986405"/>
                    </a:xfrm>
                    <a:prstGeom prst="rect">
                      <a:avLst/>
                    </a:prstGeom>
                    <a:noFill/>
                    <a:ln>
                      <a:noFill/>
                    </a:ln>
                  </pic:spPr>
                </pic:pic>
              </a:graphicData>
            </a:graphic>
          </wp:inline>
        </w:drawing>
      </w:r>
    </w:p>
    <w:p w14:paraId="339F3D0C">
      <w:pPr>
        <w:numPr>
          <w:ilvl w:val="0"/>
          <w:numId w:val="0"/>
        </w:numPr>
        <w:spacing w:line="360" w:lineRule="auto"/>
        <w:jc w:val="left"/>
        <w:outlineLvl w:val="9"/>
        <w:rPr>
          <w:rFonts w:hint="eastAsia" w:eastAsia="宋体"/>
          <w:lang w:eastAsia="zh-CN"/>
        </w:rPr>
      </w:pPr>
      <w:r>
        <w:rPr>
          <w:rFonts w:hint="eastAsia" w:eastAsia="宋体"/>
          <w:lang w:eastAsia="zh-CN"/>
        </w:rPr>
        <w:drawing>
          <wp:inline distT="0" distB="0" distL="114300" distR="114300">
            <wp:extent cx="2675255" cy="1765300"/>
            <wp:effectExtent l="0" t="0" r="10795" b="6350"/>
            <wp:docPr id="36" name="图片 4" descr="b33484f4f2280ae76d3c075bcb175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descr="b33484f4f2280ae76d3c075bcb175d2"/>
                    <pic:cNvPicPr>
                      <a:picLocks noChangeAspect="1"/>
                    </pic:cNvPicPr>
                  </pic:nvPicPr>
                  <pic:blipFill>
                    <a:blip r:embed="rId31"/>
                    <a:stretch>
                      <a:fillRect/>
                    </a:stretch>
                  </pic:blipFill>
                  <pic:spPr>
                    <a:xfrm rot="10800000">
                      <a:off x="0" y="0"/>
                      <a:ext cx="2675255" cy="1765300"/>
                    </a:xfrm>
                    <a:prstGeom prst="rect">
                      <a:avLst/>
                    </a:prstGeom>
                    <a:noFill/>
                    <a:ln>
                      <a:noFill/>
                    </a:ln>
                  </pic:spPr>
                </pic:pic>
              </a:graphicData>
            </a:graphic>
          </wp:inline>
        </w:drawing>
      </w:r>
    </w:p>
    <w:p w14:paraId="395FD5BB">
      <w:pPr>
        <w:numPr>
          <w:ilvl w:val="0"/>
          <w:numId w:val="0"/>
        </w:numPr>
        <w:spacing w:line="360" w:lineRule="auto"/>
        <w:jc w:val="left"/>
        <w:outlineLvl w:val="9"/>
        <w:rPr>
          <w:rFonts w:hint="eastAsia" w:eastAsia="宋体"/>
          <w:lang w:eastAsia="zh-CN"/>
        </w:rPr>
      </w:pPr>
    </w:p>
    <w:p w14:paraId="034A363F">
      <w:pPr>
        <w:numPr>
          <w:ilvl w:val="0"/>
          <w:numId w:val="0"/>
        </w:numPr>
        <w:spacing w:line="360" w:lineRule="auto"/>
        <w:jc w:val="left"/>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447415" cy="5238115"/>
            <wp:effectExtent l="0" t="0" r="635" b="635"/>
            <wp:docPr id="74" name="图片 16" descr="898b818cf7f59918872665d6968ce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6" descr="898b818cf7f59918872665d6968ceec"/>
                    <pic:cNvPicPr>
                      <a:picLocks noChangeAspect="1"/>
                    </pic:cNvPicPr>
                  </pic:nvPicPr>
                  <pic:blipFill>
                    <a:blip r:embed="rId32"/>
                    <a:stretch>
                      <a:fillRect/>
                    </a:stretch>
                  </pic:blipFill>
                  <pic:spPr>
                    <a:xfrm rot="-5400000">
                      <a:off x="0" y="0"/>
                      <a:ext cx="3447415" cy="5238115"/>
                    </a:xfrm>
                    <a:prstGeom prst="rect">
                      <a:avLst/>
                    </a:prstGeom>
                    <a:noFill/>
                    <a:ln>
                      <a:noFill/>
                    </a:ln>
                  </pic:spPr>
                </pic:pic>
              </a:graphicData>
            </a:graphic>
          </wp:inline>
        </w:drawing>
      </w:r>
    </w:p>
    <w:p w14:paraId="46788674">
      <w:pPr>
        <w:numPr>
          <w:ilvl w:val="0"/>
          <w:numId w:val="0"/>
        </w:numPr>
        <w:spacing w:line="360" w:lineRule="auto"/>
        <w:jc w:val="left"/>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4553585" cy="5293995"/>
            <wp:effectExtent l="0" t="0" r="1905" b="18415"/>
            <wp:docPr id="78" name="图片 17" descr="09a1b8064ccccf720451d3f45f22d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7" descr="09a1b8064ccccf720451d3f45f22dd2"/>
                    <pic:cNvPicPr>
                      <a:picLocks noChangeAspect="1"/>
                    </pic:cNvPicPr>
                  </pic:nvPicPr>
                  <pic:blipFill>
                    <a:blip r:embed="rId33"/>
                    <a:stretch>
                      <a:fillRect/>
                    </a:stretch>
                  </pic:blipFill>
                  <pic:spPr>
                    <a:xfrm rot="-5400000">
                      <a:off x="0" y="0"/>
                      <a:ext cx="4553585" cy="5293995"/>
                    </a:xfrm>
                    <a:prstGeom prst="rect">
                      <a:avLst/>
                    </a:prstGeom>
                    <a:noFill/>
                    <a:ln>
                      <a:noFill/>
                    </a:ln>
                  </pic:spPr>
                </pic:pic>
              </a:graphicData>
            </a:graphic>
          </wp:inline>
        </w:drawing>
      </w:r>
    </w:p>
    <w:p w14:paraId="2F6E0D0D">
      <w:pPr>
        <w:numPr>
          <w:ilvl w:val="0"/>
          <w:numId w:val="0"/>
        </w:numPr>
        <w:spacing w:line="360" w:lineRule="auto"/>
        <w:jc w:val="left"/>
        <w:outlineLvl w:val="9"/>
        <w:rPr>
          <w:rFonts w:hint="eastAsia" w:ascii="宋体" w:hAnsi="宋体" w:eastAsia="宋体" w:cs="宋体"/>
          <w:sz w:val="24"/>
          <w:szCs w:val="24"/>
          <w:lang w:eastAsia="zh-CN"/>
        </w:rPr>
      </w:pPr>
    </w:p>
    <w:p w14:paraId="1EA72831">
      <w:pPr>
        <w:numPr>
          <w:ilvl w:val="0"/>
          <w:numId w:val="0"/>
        </w:numPr>
        <w:spacing w:line="360" w:lineRule="auto"/>
        <w:jc w:val="left"/>
        <w:outlineLvl w:val="9"/>
        <w:rPr>
          <w:rFonts w:hint="eastAsia" w:eastAsiaTheme="minorEastAsia"/>
          <w:lang w:eastAsia="zh-CN"/>
        </w:rPr>
      </w:pPr>
      <w:r>
        <w:rPr>
          <w:rFonts w:hint="eastAsia" w:eastAsiaTheme="minorEastAsia"/>
          <w:lang w:eastAsia="zh-CN"/>
        </w:rPr>
        <w:drawing>
          <wp:inline distT="0" distB="0" distL="114300" distR="114300">
            <wp:extent cx="3684905" cy="5198745"/>
            <wp:effectExtent l="0" t="0" r="1905" b="10795"/>
            <wp:docPr id="38" name="图片 38" descr="292534d9dc7db1b32e20571e54e2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92534d9dc7db1b32e20571e54e2c20"/>
                    <pic:cNvPicPr>
                      <a:picLocks noChangeAspect="1"/>
                    </pic:cNvPicPr>
                  </pic:nvPicPr>
                  <pic:blipFill>
                    <a:blip r:embed="rId34"/>
                    <a:stretch>
                      <a:fillRect/>
                    </a:stretch>
                  </pic:blipFill>
                  <pic:spPr>
                    <a:xfrm rot="16200000">
                      <a:off x="0" y="0"/>
                      <a:ext cx="3684905" cy="5198745"/>
                    </a:xfrm>
                    <a:prstGeom prst="rect">
                      <a:avLst/>
                    </a:prstGeom>
                  </pic:spPr>
                </pic:pic>
              </a:graphicData>
            </a:graphic>
          </wp:inline>
        </w:drawing>
      </w:r>
    </w:p>
    <w:p w14:paraId="63A9E832">
      <w:pPr>
        <w:jc w:val="center"/>
        <w:outlineLvl w:val="9"/>
        <w:rPr>
          <w:rFonts w:hint="eastAsia" w:eastAsiaTheme="minorEastAsia"/>
          <w:lang w:eastAsia="zh-CN"/>
        </w:rPr>
      </w:pPr>
      <w:r>
        <w:rPr>
          <w:rFonts w:hint="eastAsia" w:eastAsiaTheme="minorEastAsia"/>
          <w:lang w:eastAsia="zh-CN"/>
        </w:rPr>
        <w:drawing>
          <wp:inline distT="0" distB="0" distL="114300" distR="114300">
            <wp:extent cx="2568575" cy="3456305"/>
            <wp:effectExtent l="0" t="0" r="3175" b="10795"/>
            <wp:docPr id="39" name="图片 39" descr="041b553e665faa83f33f0b57a6d0f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041b553e665faa83f33f0b57a6d0f31"/>
                    <pic:cNvPicPr>
                      <a:picLocks noChangeAspect="1"/>
                    </pic:cNvPicPr>
                  </pic:nvPicPr>
                  <pic:blipFill>
                    <a:blip r:embed="rId35"/>
                    <a:stretch>
                      <a:fillRect/>
                    </a:stretch>
                  </pic:blipFill>
                  <pic:spPr>
                    <a:xfrm>
                      <a:off x="0" y="0"/>
                      <a:ext cx="2568575" cy="3456305"/>
                    </a:xfrm>
                    <a:prstGeom prst="rect">
                      <a:avLst/>
                    </a:prstGeom>
                  </pic:spPr>
                </pic:pic>
              </a:graphicData>
            </a:graphic>
          </wp:inline>
        </w:drawing>
      </w:r>
      <w:r>
        <w:rPr>
          <w:rFonts w:hint="eastAsia" w:eastAsiaTheme="minorEastAsia"/>
          <w:lang w:eastAsia="zh-CN"/>
        </w:rPr>
        <w:drawing>
          <wp:inline distT="0" distB="0" distL="114300" distR="114300">
            <wp:extent cx="2570480" cy="3470275"/>
            <wp:effectExtent l="0" t="0" r="1270" b="15875"/>
            <wp:docPr id="40" name="图片 40" descr="29eee05590b9700258fd1421940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9eee05590b9700258fd14219404262"/>
                    <pic:cNvPicPr>
                      <a:picLocks noChangeAspect="1"/>
                    </pic:cNvPicPr>
                  </pic:nvPicPr>
                  <pic:blipFill>
                    <a:blip r:embed="rId36"/>
                    <a:stretch>
                      <a:fillRect/>
                    </a:stretch>
                  </pic:blipFill>
                  <pic:spPr>
                    <a:xfrm>
                      <a:off x="0" y="0"/>
                      <a:ext cx="2570480" cy="3470275"/>
                    </a:xfrm>
                    <a:prstGeom prst="rect">
                      <a:avLst/>
                    </a:prstGeom>
                  </pic:spPr>
                </pic:pic>
              </a:graphicData>
            </a:graphic>
          </wp:inline>
        </w:drawing>
      </w:r>
    </w:p>
    <w:p w14:paraId="526B454C">
      <w:pPr>
        <w:jc w:val="center"/>
        <w:outlineLvl w:val="9"/>
        <w:rPr>
          <w:rFonts w:hint="eastAsia" w:eastAsiaTheme="minorEastAsia"/>
          <w:lang w:eastAsia="zh-CN"/>
        </w:rPr>
      </w:pPr>
    </w:p>
    <w:p w14:paraId="48B8B11A">
      <w:pPr>
        <w:jc w:val="center"/>
        <w:outlineLvl w:val="9"/>
        <w:rPr>
          <w:rFonts w:hint="eastAsia" w:eastAsiaTheme="minorEastAsia"/>
          <w:lang w:eastAsia="zh-CN"/>
        </w:rPr>
      </w:pPr>
    </w:p>
    <w:p w14:paraId="3F7B35AE">
      <w:pPr>
        <w:jc w:val="center"/>
        <w:outlineLvl w:val="9"/>
        <w:rPr>
          <w:rFonts w:hint="eastAsia" w:eastAsiaTheme="minorEastAsia"/>
          <w:lang w:eastAsia="zh-CN"/>
        </w:rPr>
      </w:pPr>
    </w:p>
    <w:p w14:paraId="785573D9">
      <w:pPr>
        <w:jc w:val="center"/>
        <w:outlineLvl w:val="9"/>
        <w:rPr>
          <w:rFonts w:hint="eastAsia" w:eastAsiaTheme="minorEastAsia"/>
          <w:lang w:eastAsia="zh-CN"/>
        </w:rPr>
      </w:pPr>
    </w:p>
    <w:p w14:paraId="6F5D35D8">
      <w:pPr>
        <w:jc w:val="center"/>
        <w:outlineLvl w:val="9"/>
        <w:rPr>
          <w:rFonts w:hint="eastAsia" w:eastAsiaTheme="minorEastAsia"/>
          <w:lang w:eastAsia="zh-CN"/>
        </w:rPr>
      </w:pPr>
    </w:p>
    <w:p w14:paraId="0713A205">
      <w:pPr>
        <w:jc w:val="center"/>
        <w:outlineLvl w:val="9"/>
        <w:rPr>
          <w:rFonts w:hint="eastAsia" w:eastAsiaTheme="minorEastAsia"/>
          <w:lang w:eastAsia="zh-CN"/>
        </w:rPr>
      </w:pPr>
    </w:p>
    <w:p w14:paraId="5F2F9086">
      <w:pPr>
        <w:jc w:val="center"/>
        <w:outlineLvl w:val="9"/>
        <w:rPr>
          <w:rFonts w:hint="eastAsia" w:eastAsiaTheme="minorEastAsia"/>
          <w:lang w:eastAsia="zh-CN"/>
        </w:rPr>
      </w:pPr>
    </w:p>
    <w:p w14:paraId="7BF0A1D4">
      <w:pPr>
        <w:jc w:val="both"/>
        <w:outlineLvl w:val="9"/>
        <w:rPr>
          <w:rFonts w:hint="eastAsia" w:eastAsiaTheme="minorEastAsia"/>
          <w:lang w:eastAsia="zh-CN"/>
        </w:rPr>
      </w:pPr>
      <w:r>
        <w:rPr>
          <w:rFonts w:hint="eastAsia" w:ascii="宋体" w:hAnsi="宋体" w:eastAsia="宋体" w:cs="宋体"/>
          <w:b/>
          <w:bCs/>
          <w:sz w:val="24"/>
          <w:szCs w:val="24"/>
          <w:lang w:val="en-US" w:eastAsia="zh-CN"/>
        </w:rPr>
        <w:drawing>
          <wp:inline distT="0" distB="0" distL="114300" distR="114300">
            <wp:extent cx="5828030" cy="5228590"/>
            <wp:effectExtent l="0" t="0" r="10160" b="1270"/>
            <wp:docPr id="49" name="图片 49" descr="175212422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752124229272"/>
                    <pic:cNvPicPr>
                      <a:picLocks noChangeAspect="1"/>
                    </pic:cNvPicPr>
                  </pic:nvPicPr>
                  <pic:blipFill>
                    <a:blip r:embed="rId37"/>
                    <a:stretch>
                      <a:fillRect/>
                    </a:stretch>
                  </pic:blipFill>
                  <pic:spPr>
                    <a:xfrm rot="16200000">
                      <a:off x="0" y="0"/>
                      <a:ext cx="5828030" cy="5228590"/>
                    </a:xfrm>
                    <a:prstGeom prst="rect">
                      <a:avLst/>
                    </a:prstGeom>
                  </pic:spPr>
                </pic:pic>
              </a:graphicData>
            </a:graphic>
          </wp:inline>
        </w:drawing>
      </w:r>
    </w:p>
    <w:p w14:paraId="5A223736">
      <w:pPr>
        <w:jc w:val="center"/>
        <w:outlineLvl w:val="9"/>
        <w:rPr>
          <w:rFonts w:hint="eastAsia" w:eastAsiaTheme="minorEastAsia"/>
          <w:lang w:eastAsia="zh-CN"/>
        </w:rPr>
      </w:pPr>
    </w:p>
    <w:p w14:paraId="47808836">
      <w:pPr>
        <w:jc w:val="both"/>
        <w:outlineLvl w:val="9"/>
        <w:rPr>
          <w:rFonts w:hint="eastAsia" w:eastAsiaTheme="minorEastAsia"/>
          <w:lang w:eastAsia="zh-CN"/>
        </w:rPr>
      </w:pPr>
    </w:p>
    <w:p w14:paraId="0EDCFA57">
      <w:pPr>
        <w:jc w:val="both"/>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625215" cy="5114290"/>
            <wp:effectExtent l="0" t="0" r="10160" b="13335"/>
            <wp:docPr id="58" name="图片 29" descr="e9e7ddf61e519d9e1f6c01aec90f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9" descr="e9e7ddf61e519d9e1f6c01aec90fdca"/>
                    <pic:cNvPicPr>
                      <a:picLocks noChangeAspect="1"/>
                    </pic:cNvPicPr>
                  </pic:nvPicPr>
                  <pic:blipFill>
                    <a:blip r:embed="rId38"/>
                    <a:stretch>
                      <a:fillRect/>
                    </a:stretch>
                  </pic:blipFill>
                  <pic:spPr>
                    <a:xfrm rot="-5400000">
                      <a:off x="0" y="0"/>
                      <a:ext cx="3625215" cy="5114290"/>
                    </a:xfrm>
                    <a:prstGeom prst="rect">
                      <a:avLst/>
                    </a:prstGeom>
                    <a:noFill/>
                    <a:ln>
                      <a:noFill/>
                    </a:ln>
                  </pic:spPr>
                </pic:pic>
              </a:graphicData>
            </a:graphic>
          </wp:inline>
        </w:drawing>
      </w:r>
    </w:p>
    <w:p w14:paraId="603A1DBB">
      <w:pPr>
        <w:jc w:val="both"/>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546350" cy="3830955"/>
            <wp:effectExtent l="0" t="0" r="6350" b="17145"/>
            <wp:docPr id="46" name="图片 30" descr="d5687206c0f253ecc77d1c2c0c5ae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0" descr="d5687206c0f253ecc77d1c2c0c5ae4d"/>
                    <pic:cNvPicPr>
                      <a:picLocks noChangeAspect="1"/>
                    </pic:cNvPicPr>
                  </pic:nvPicPr>
                  <pic:blipFill>
                    <a:blip r:embed="rId39"/>
                    <a:stretch>
                      <a:fillRect/>
                    </a:stretch>
                  </pic:blipFill>
                  <pic:spPr>
                    <a:xfrm>
                      <a:off x="0" y="0"/>
                      <a:ext cx="2546350" cy="3830955"/>
                    </a:xfrm>
                    <a:prstGeom prst="rect">
                      <a:avLst/>
                    </a:prstGeom>
                    <a:noFill/>
                    <a:ln>
                      <a:noFill/>
                    </a:ln>
                  </pic:spPr>
                </pic:pic>
              </a:graphicData>
            </a:graphic>
          </wp:inline>
        </w:drawing>
      </w:r>
      <w:r>
        <w:rPr>
          <w:rFonts w:hint="eastAsia" w:ascii="宋体" w:hAnsi="宋体" w:eastAsia="宋体" w:cs="宋体"/>
          <w:sz w:val="24"/>
          <w:szCs w:val="24"/>
          <w:lang w:eastAsia="zh-CN"/>
        </w:rPr>
        <w:drawing>
          <wp:inline distT="0" distB="0" distL="114300" distR="114300">
            <wp:extent cx="2637790" cy="3813810"/>
            <wp:effectExtent l="0" t="0" r="10160" b="15240"/>
            <wp:docPr id="42" name="图片 31" descr="373abdbdc6c621c56ec9c55ce6da2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1" descr="373abdbdc6c621c56ec9c55ce6da2be"/>
                    <pic:cNvPicPr>
                      <a:picLocks noChangeAspect="1"/>
                    </pic:cNvPicPr>
                  </pic:nvPicPr>
                  <pic:blipFill>
                    <a:blip r:embed="rId40"/>
                    <a:stretch>
                      <a:fillRect/>
                    </a:stretch>
                  </pic:blipFill>
                  <pic:spPr>
                    <a:xfrm>
                      <a:off x="0" y="0"/>
                      <a:ext cx="2637790" cy="3813810"/>
                    </a:xfrm>
                    <a:prstGeom prst="rect">
                      <a:avLst/>
                    </a:prstGeom>
                    <a:noFill/>
                    <a:ln>
                      <a:noFill/>
                    </a:ln>
                  </pic:spPr>
                </pic:pic>
              </a:graphicData>
            </a:graphic>
          </wp:inline>
        </w:drawing>
      </w:r>
    </w:p>
    <w:p w14:paraId="5F2D34AC">
      <w:pPr>
        <w:numPr>
          <w:ilvl w:val="0"/>
          <w:numId w:val="0"/>
        </w:numPr>
        <w:spacing w:line="360" w:lineRule="auto"/>
        <w:jc w:val="left"/>
        <w:outlineLvl w:val="9"/>
        <w:rPr>
          <w:rFonts w:hint="eastAsia" w:eastAsiaTheme="minorEastAsia"/>
          <w:lang w:eastAsia="zh-CN"/>
        </w:rPr>
      </w:pPr>
    </w:p>
    <w:p w14:paraId="39452A6A">
      <w:pPr>
        <w:numPr>
          <w:ilvl w:val="0"/>
          <w:numId w:val="0"/>
        </w:numPr>
        <w:spacing w:line="360" w:lineRule="auto"/>
        <w:jc w:val="left"/>
        <w:outlineLvl w:val="9"/>
        <w:rPr>
          <w:rFonts w:hint="eastAsia" w:ascii="宋体" w:hAnsi="宋体" w:eastAsia="宋体" w:cs="宋体"/>
          <w:sz w:val="24"/>
          <w:szCs w:val="24"/>
          <w:lang w:eastAsia="zh-CN"/>
        </w:rPr>
      </w:pPr>
    </w:p>
    <w:p w14:paraId="39CB5860">
      <w:pPr>
        <w:numPr>
          <w:ilvl w:val="0"/>
          <w:numId w:val="0"/>
        </w:numPr>
        <w:spacing w:line="360" w:lineRule="auto"/>
        <w:jc w:val="left"/>
        <w:outlineLvl w:val="9"/>
        <w:rPr>
          <w:rFonts w:hint="eastAsia" w:eastAsia="宋体"/>
          <w:lang w:eastAsia="zh-CN"/>
        </w:rPr>
      </w:pPr>
    </w:p>
    <w:p w14:paraId="056F026B">
      <w:pPr>
        <w:numPr>
          <w:ilvl w:val="0"/>
          <w:numId w:val="0"/>
        </w:numPr>
        <w:spacing w:line="360" w:lineRule="auto"/>
        <w:jc w:val="left"/>
        <w:outlineLvl w:val="9"/>
        <w:rPr>
          <w:rFonts w:hint="eastAsia" w:eastAsia="宋体"/>
          <w:lang w:eastAsia="zh-CN"/>
        </w:rPr>
      </w:pPr>
      <w:r>
        <w:rPr>
          <w:rFonts w:hint="eastAsia" w:ascii="宋体" w:hAnsi="宋体" w:eastAsia="宋体" w:cs="宋体"/>
          <w:sz w:val="24"/>
          <w:szCs w:val="24"/>
          <w:lang w:val="en-US" w:eastAsia="zh-CN"/>
        </w:rPr>
        <w:drawing>
          <wp:inline distT="0" distB="0" distL="114300" distR="114300">
            <wp:extent cx="5257800" cy="7000875"/>
            <wp:effectExtent l="0" t="0" r="0" b="9525"/>
            <wp:docPr id="37" name="图片 37" descr="9c11eab3faa52557f4d6ed9813488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9c11eab3faa52557f4d6ed98134887df"/>
                    <pic:cNvPicPr>
                      <a:picLocks noChangeAspect="1"/>
                    </pic:cNvPicPr>
                  </pic:nvPicPr>
                  <pic:blipFill>
                    <a:blip r:embed="rId41"/>
                    <a:stretch>
                      <a:fillRect/>
                    </a:stretch>
                  </pic:blipFill>
                  <pic:spPr>
                    <a:xfrm rot="10800000">
                      <a:off x="0" y="0"/>
                      <a:ext cx="5257800" cy="7000875"/>
                    </a:xfrm>
                    <a:prstGeom prst="rect">
                      <a:avLst/>
                    </a:prstGeom>
                  </pic:spPr>
                </pic:pic>
              </a:graphicData>
            </a:graphic>
          </wp:inline>
        </w:drawing>
      </w:r>
    </w:p>
    <w:p w14:paraId="30481CBD">
      <w:pPr>
        <w:numPr>
          <w:ilvl w:val="0"/>
          <w:numId w:val="0"/>
        </w:numPr>
        <w:spacing w:line="360" w:lineRule="auto"/>
        <w:jc w:val="left"/>
        <w:outlineLvl w:val="9"/>
        <w:rPr>
          <w:rFonts w:hint="eastAsia" w:eastAsia="宋体"/>
          <w:lang w:eastAsia="zh-CN"/>
        </w:rPr>
      </w:pPr>
    </w:p>
    <w:p w14:paraId="18D23FF2">
      <w:pPr>
        <w:numPr>
          <w:ilvl w:val="0"/>
          <w:numId w:val="0"/>
        </w:numPr>
        <w:spacing w:line="360" w:lineRule="auto"/>
        <w:jc w:val="left"/>
        <w:outlineLvl w:val="9"/>
        <w:rPr>
          <w:rFonts w:hint="eastAsia" w:eastAsia="宋体"/>
          <w:lang w:eastAsia="zh-CN"/>
        </w:rPr>
      </w:pPr>
    </w:p>
    <w:p w14:paraId="0B6D1AB9">
      <w:pPr>
        <w:numPr>
          <w:ilvl w:val="0"/>
          <w:numId w:val="0"/>
        </w:numPr>
        <w:spacing w:line="360" w:lineRule="auto"/>
        <w:jc w:val="left"/>
        <w:outlineLvl w:val="9"/>
        <w:rPr>
          <w:rFonts w:hint="eastAsia" w:eastAsia="宋体"/>
          <w:lang w:eastAsia="zh-CN"/>
        </w:rPr>
      </w:pPr>
    </w:p>
    <w:p w14:paraId="0D017FE0">
      <w:pPr>
        <w:numPr>
          <w:ilvl w:val="0"/>
          <w:numId w:val="0"/>
        </w:numPr>
        <w:spacing w:line="360" w:lineRule="auto"/>
        <w:jc w:val="left"/>
        <w:outlineLvl w:val="9"/>
        <w:rPr>
          <w:rFonts w:hint="eastAsia" w:eastAsia="宋体"/>
          <w:lang w:eastAsia="zh-CN"/>
        </w:rPr>
      </w:pPr>
    </w:p>
    <w:p w14:paraId="623075F6">
      <w:pPr>
        <w:numPr>
          <w:ilvl w:val="0"/>
          <w:numId w:val="0"/>
        </w:numPr>
        <w:spacing w:line="360" w:lineRule="auto"/>
        <w:jc w:val="left"/>
        <w:outlineLvl w:val="9"/>
        <w:rPr>
          <w:rFonts w:hint="eastAsia" w:eastAsia="宋体"/>
          <w:lang w:eastAsia="zh-CN"/>
        </w:rPr>
      </w:pPr>
    </w:p>
    <w:p w14:paraId="105E5BEF">
      <w:pPr>
        <w:numPr>
          <w:ilvl w:val="0"/>
          <w:numId w:val="0"/>
        </w:numPr>
        <w:spacing w:line="360" w:lineRule="auto"/>
        <w:jc w:val="left"/>
        <w:outlineLvl w:val="9"/>
        <w:rPr>
          <w:rFonts w:hint="eastAsia" w:eastAsia="宋体"/>
          <w:lang w:eastAsia="zh-CN"/>
        </w:rPr>
      </w:pPr>
    </w:p>
    <w:p w14:paraId="7251DDD1">
      <w:pPr>
        <w:numPr>
          <w:ilvl w:val="0"/>
          <w:numId w:val="0"/>
        </w:numPr>
        <w:spacing w:line="360" w:lineRule="auto"/>
        <w:jc w:val="left"/>
        <w:outlineLvl w:val="9"/>
        <w:rPr>
          <w:rFonts w:hint="default"/>
          <w:lang w:val="en-US" w:eastAsia="zh-CN"/>
        </w:rPr>
      </w:pPr>
      <w:r>
        <w:rPr>
          <w:rFonts w:hint="default"/>
          <w:lang w:val="en-US" w:eastAsia="zh-CN"/>
        </w:rPr>
        <w:drawing>
          <wp:inline distT="0" distB="0" distL="114300" distR="114300">
            <wp:extent cx="5267960" cy="7451090"/>
            <wp:effectExtent l="0" t="0" r="8890" b="16510"/>
            <wp:docPr id="142" name="图片 142" descr="649d74c4-2302-48dd-801e-ff16fd4a66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649d74c4-2302-48dd-801e-ff16fd4a66c6"/>
                    <pic:cNvPicPr>
                      <a:picLocks noChangeAspect="1"/>
                    </pic:cNvPicPr>
                  </pic:nvPicPr>
                  <pic:blipFill>
                    <a:blip r:embed="rId42"/>
                    <a:stretch>
                      <a:fillRect/>
                    </a:stretch>
                  </pic:blipFill>
                  <pic:spPr>
                    <a:xfrm>
                      <a:off x="0" y="0"/>
                      <a:ext cx="5267960" cy="7451090"/>
                    </a:xfrm>
                    <a:prstGeom prst="rect">
                      <a:avLst/>
                    </a:prstGeom>
                  </pic:spPr>
                </pic:pic>
              </a:graphicData>
            </a:graphic>
          </wp:inline>
        </w:drawing>
      </w:r>
    </w:p>
    <w:p w14:paraId="6D283842">
      <w:pPr>
        <w:numPr>
          <w:ilvl w:val="0"/>
          <w:numId w:val="0"/>
        </w:numPr>
        <w:spacing w:line="360" w:lineRule="auto"/>
        <w:jc w:val="left"/>
        <w:outlineLvl w:val="9"/>
        <w:rPr>
          <w:rFonts w:hint="default"/>
          <w:lang w:val="en-US" w:eastAsia="zh-CN"/>
        </w:rPr>
      </w:pPr>
    </w:p>
    <w:p w14:paraId="3236B508">
      <w:pPr>
        <w:numPr>
          <w:ilvl w:val="0"/>
          <w:numId w:val="0"/>
        </w:numPr>
        <w:spacing w:line="360" w:lineRule="auto"/>
        <w:jc w:val="left"/>
        <w:outlineLvl w:val="9"/>
        <w:rPr>
          <w:rFonts w:hint="default"/>
          <w:lang w:val="en-US" w:eastAsia="zh-CN"/>
        </w:rPr>
      </w:pPr>
    </w:p>
    <w:p w14:paraId="06444264">
      <w:pPr>
        <w:numPr>
          <w:ilvl w:val="0"/>
          <w:numId w:val="0"/>
        </w:numPr>
        <w:spacing w:line="360" w:lineRule="auto"/>
        <w:jc w:val="left"/>
        <w:outlineLvl w:val="9"/>
        <w:rPr>
          <w:rFonts w:hint="default"/>
          <w:lang w:val="en-US" w:eastAsia="zh-CN"/>
        </w:rPr>
      </w:pPr>
    </w:p>
    <w:p w14:paraId="2FB61165">
      <w:pPr>
        <w:numPr>
          <w:ilvl w:val="0"/>
          <w:numId w:val="0"/>
        </w:numPr>
        <w:spacing w:line="360" w:lineRule="auto"/>
        <w:jc w:val="left"/>
        <w:outlineLvl w:val="9"/>
        <w:rPr>
          <w:rFonts w:hint="eastAsia"/>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70859">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5F8226">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35F8226">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792749"/>
    <w:multiLevelType w:val="singleLevel"/>
    <w:tmpl w:val="84792749"/>
    <w:lvl w:ilvl="0" w:tentative="0">
      <w:start w:val="1"/>
      <w:numFmt w:val="decimal"/>
      <w:suff w:val="nothing"/>
      <w:lvlText w:val="(%1)"/>
      <w:lvlJc w:val="left"/>
      <w:pPr>
        <w:tabs>
          <w:tab w:val="left" w:pos="0"/>
        </w:tabs>
        <w:ind w:left="454" w:leftChars="0" w:firstLine="113" w:firstLineChars="0"/>
      </w:pPr>
      <w:rPr>
        <w:rFonts w:hint="default"/>
      </w:rPr>
    </w:lvl>
  </w:abstractNum>
  <w:abstractNum w:abstractNumId="1">
    <w:nsid w:val="8E75E98F"/>
    <w:multiLevelType w:val="singleLevel"/>
    <w:tmpl w:val="8E75E98F"/>
    <w:lvl w:ilvl="0" w:tentative="0">
      <w:start w:val="1"/>
      <w:numFmt w:val="decimal"/>
      <w:suff w:val="nothing"/>
      <w:lvlText w:val="%1．"/>
      <w:lvlJc w:val="left"/>
      <w:pPr>
        <w:ind w:left="0" w:firstLine="283"/>
      </w:pPr>
      <w:rPr>
        <w:rFonts w:hint="default"/>
      </w:rPr>
    </w:lvl>
  </w:abstractNum>
  <w:abstractNum w:abstractNumId="2">
    <w:nsid w:val="9120A770"/>
    <w:multiLevelType w:val="singleLevel"/>
    <w:tmpl w:val="9120A770"/>
    <w:lvl w:ilvl="0" w:tentative="0">
      <w:start w:val="1"/>
      <w:numFmt w:val="decimal"/>
      <w:suff w:val="nothing"/>
      <w:lvlText w:val="(%1)"/>
      <w:lvlJc w:val="left"/>
      <w:pPr>
        <w:tabs>
          <w:tab w:val="left" w:pos="0"/>
        </w:tabs>
        <w:ind w:left="454" w:leftChars="0" w:firstLine="113" w:firstLineChars="0"/>
      </w:pPr>
      <w:rPr>
        <w:rFonts w:hint="default"/>
      </w:rPr>
    </w:lvl>
  </w:abstractNum>
  <w:abstractNum w:abstractNumId="3">
    <w:nsid w:val="B096B1F2"/>
    <w:multiLevelType w:val="singleLevel"/>
    <w:tmpl w:val="B096B1F2"/>
    <w:lvl w:ilvl="0" w:tentative="0">
      <w:start w:val="1"/>
      <w:numFmt w:val="decimal"/>
      <w:suff w:val="nothing"/>
      <w:lvlText w:val="%1．"/>
      <w:lvlJc w:val="left"/>
      <w:pPr>
        <w:ind w:left="0" w:firstLine="283"/>
      </w:pPr>
      <w:rPr>
        <w:rFonts w:hint="default"/>
      </w:rPr>
    </w:lvl>
  </w:abstractNum>
  <w:abstractNum w:abstractNumId="4">
    <w:nsid w:val="BEB2DF72"/>
    <w:multiLevelType w:val="singleLevel"/>
    <w:tmpl w:val="BEB2DF72"/>
    <w:lvl w:ilvl="0" w:tentative="0">
      <w:start w:val="1"/>
      <w:numFmt w:val="decimal"/>
      <w:suff w:val="nothing"/>
      <w:lvlText w:val="%1．"/>
      <w:lvlJc w:val="left"/>
      <w:pPr>
        <w:ind w:left="0" w:firstLine="283"/>
      </w:pPr>
      <w:rPr>
        <w:rFonts w:hint="default"/>
      </w:rPr>
    </w:lvl>
  </w:abstractNum>
  <w:abstractNum w:abstractNumId="5">
    <w:nsid w:val="C61BCA5F"/>
    <w:multiLevelType w:val="singleLevel"/>
    <w:tmpl w:val="C61BCA5F"/>
    <w:lvl w:ilvl="0" w:tentative="0">
      <w:start w:val="1"/>
      <w:numFmt w:val="chineseCounting"/>
      <w:suff w:val="nothing"/>
      <w:lvlText w:val="（%1）"/>
      <w:lvlJc w:val="left"/>
      <w:pPr>
        <w:ind w:left="0" w:firstLine="283"/>
      </w:pPr>
      <w:rPr>
        <w:rFonts w:hint="eastAsia"/>
      </w:rPr>
    </w:lvl>
  </w:abstractNum>
  <w:abstractNum w:abstractNumId="6">
    <w:nsid w:val="C638FE0C"/>
    <w:multiLevelType w:val="singleLevel"/>
    <w:tmpl w:val="C638FE0C"/>
    <w:lvl w:ilvl="0" w:tentative="0">
      <w:start w:val="1"/>
      <w:numFmt w:val="chineseCounting"/>
      <w:suff w:val="nothing"/>
      <w:lvlText w:val="（%1）"/>
      <w:lvlJc w:val="left"/>
      <w:pPr>
        <w:ind w:left="0" w:firstLine="283"/>
      </w:pPr>
      <w:rPr>
        <w:rFonts w:hint="eastAsia"/>
        <w:b w:val="0"/>
        <w:bCs w:val="0"/>
      </w:rPr>
    </w:lvl>
  </w:abstractNum>
  <w:abstractNum w:abstractNumId="7">
    <w:nsid w:val="D1A11A07"/>
    <w:multiLevelType w:val="singleLevel"/>
    <w:tmpl w:val="D1A11A07"/>
    <w:lvl w:ilvl="0" w:tentative="0">
      <w:start w:val="1"/>
      <w:numFmt w:val="decimal"/>
      <w:suff w:val="nothing"/>
      <w:lvlText w:val="(%1)"/>
      <w:lvlJc w:val="left"/>
      <w:pPr>
        <w:tabs>
          <w:tab w:val="left" w:pos="0"/>
        </w:tabs>
        <w:ind w:left="454" w:leftChars="0" w:firstLine="113" w:firstLineChars="0"/>
      </w:pPr>
      <w:rPr>
        <w:rFonts w:hint="default"/>
      </w:rPr>
    </w:lvl>
  </w:abstractNum>
  <w:abstractNum w:abstractNumId="8">
    <w:nsid w:val="D80349D9"/>
    <w:multiLevelType w:val="singleLevel"/>
    <w:tmpl w:val="D80349D9"/>
    <w:lvl w:ilvl="0" w:tentative="0">
      <w:start w:val="1"/>
      <w:numFmt w:val="decimal"/>
      <w:suff w:val="nothing"/>
      <w:lvlText w:val="(%1)"/>
      <w:lvlJc w:val="left"/>
      <w:pPr>
        <w:tabs>
          <w:tab w:val="left" w:pos="0"/>
        </w:tabs>
        <w:ind w:left="454" w:leftChars="0" w:firstLine="113" w:firstLineChars="0"/>
      </w:pPr>
      <w:rPr>
        <w:rFonts w:hint="default"/>
      </w:rPr>
    </w:lvl>
  </w:abstractNum>
  <w:abstractNum w:abstractNumId="9">
    <w:nsid w:val="F21E3029"/>
    <w:multiLevelType w:val="singleLevel"/>
    <w:tmpl w:val="F21E3029"/>
    <w:lvl w:ilvl="0" w:tentative="0">
      <w:start w:val="1"/>
      <w:numFmt w:val="decimal"/>
      <w:suff w:val="nothing"/>
      <w:lvlText w:val="%1．"/>
      <w:lvlJc w:val="left"/>
      <w:pPr>
        <w:ind w:left="0" w:firstLine="283"/>
      </w:pPr>
      <w:rPr>
        <w:rFonts w:hint="default"/>
      </w:rPr>
    </w:lvl>
  </w:abstractNum>
  <w:abstractNum w:abstractNumId="10">
    <w:nsid w:val="F5E200A9"/>
    <w:multiLevelType w:val="singleLevel"/>
    <w:tmpl w:val="F5E200A9"/>
    <w:lvl w:ilvl="0" w:tentative="0">
      <w:start w:val="1"/>
      <w:numFmt w:val="decimal"/>
      <w:suff w:val="nothing"/>
      <w:lvlText w:val="(%1)"/>
      <w:lvlJc w:val="left"/>
      <w:pPr>
        <w:ind w:left="454" w:leftChars="0" w:firstLine="113" w:firstLineChars="0"/>
      </w:pPr>
      <w:rPr>
        <w:rFonts w:hint="default"/>
      </w:rPr>
    </w:lvl>
  </w:abstractNum>
  <w:abstractNum w:abstractNumId="11">
    <w:nsid w:val="120109EC"/>
    <w:multiLevelType w:val="singleLevel"/>
    <w:tmpl w:val="120109EC"/>
    <w:lvl w:ilvl="0" w:tentative="0">
      <w:start w:val="1"/>
      <w:numFmt w:val="decimal"/>
      <w:suff w:val="nothing"/>
      <w:lvlText w:val="%1．"/>
      <w:lvlJc w:val="left"/>
      <w:pPr>
        <w:ind w:left="0" w:firstLine="283"/>
      </w:pPr>
      <w:rPr>
        <w:rFonts w:hint="default"/>
      </w:rPr>
    </w:lvl>
  </w:abstractNum>
  <w:abstractNum w:abstractNumId="12">
    <w:nsid w:val="217B06E1"/>
    <w:multiLevelType w:val="singleLevel"/>
    <w:tmpl w:val="217B06E1"/>
    <w:lvl w:ilvl="0" w:tentative="0">
      <w:start w:val="1"/>
      <w:numFmt w:val="decimal"/>
      <w:suff w:val="nothing"/>
      <w:lvlText w:val="%1．"/>
      <w:lvlJc w:val="left"/>
      <w:pPr>
        <w:ind w:left="0" w:firstLine="283"/>
      </w:pPr>
      <w:rPr>
        <w:rFonts w:hint="default"/>
      </w:rPr>
    </w:lvl>
  </w:abstractNum>
  <w:abstractNum w:abstractNumId="13">
    <w:nsid w:val="32E3D016"/>
    <w:multiLevelType w:val="singleLevel"/>
    <w:tmpl w:val="32E3D016"/>
    <w:lvl w:ilvl="0" w:tentative="0">
      <w:start w:val="1"/>
      <w:numFmt w:val="decimal"/>
      <w:suff w:val="nothing"/>
      <w:lvlText w:val="%1．"/>
      <w:lvlJc w:val="left"/>
      <w:pPr>
        <w:ind w:left="0" w:firstLine="283"/>
      </w:pPr>
      <w:rPr>
        <w:rFonts w:hint="default"/>
      </w:rPr>
    </w:lvl>
  </w:abstractNum>
  <w:abstractNum w:abstractNumId="14">
    <w:nsid w:val="3C189590"/>
    <w:multiLevelType w:val="singleLevel"/>
    <w:tmpl w:val="3C189590"/>
    <w:lvl w:ilvl="0" w:tentative="0">
      <w:start w:val="1"/>
      <w:numFmt w:val="chineseCounting"/>
      <w:suff w:val="nothing"/>
      <w:lvlText w:val="（%1）"/>
      <w:lvlJc w:val="left"/>
      <w:pPr>
        <w:ind w:left="0" w:firstLine="420"/>
      </w:pPr>
      <w:rPr>
        <w:rFonts w:hint="eastAsia"/>
      </w:rPr>
    </w:lvl>
  </w:abstractNum>
  <w:abstractNum w:abstractNumId="15">
    <w:nsid w:val="4562E2C1"/>
    <w:multiLevelType w:val="singleLevel"/>
    <w:tmpl w:val="4562E2C1"/>
    <w:lvl w:ilvl="0" w:tentative="0">
      <w:start w:val="1"/>
      <w:numFmt w:val="decimal"/>
      <w:suff w:val="nothing"/>
      <w:lvlText w:val="(%1)"/>
      <w:lvlJc w:val="left"/>
      <w:pPr>
        <w:tabs>
          <w:tab w:val="left" w:pos="0"/>
        </w:tabs>
        <w:ind w:left="454" w:leftChars="0" w:firstLine="113" w:firstLineChars="0"/>
      </w:pPr>
      <w:rPr>
        <w:rFonts w:hint="default"/>
      </w:rPr>
    </w:lvl>
  </w:abstractNum>
  <w:abstractNum w:abstractNumId="16">
    <w:nsid w:val="470DB356"/>
    <w:multiLevelType w:val="singleLevel"/>
    <w:tmpl w:val="470DB356"/>
    <w:lvl w:ilvl="0" w:tentative="0">
      <w:start w:val="1"/>
      <w:numFmt w:val="chineseCounting"/>
      <w:suff w:val="nothing"/>
      <w:lvlText w:val="（%1）"/>
      <w:lvlJc w:val="left"/>
      <w:pPr>
        <w:ind w:left="0" w:firstLine="283"/>
      </w:pPr>
      <w:rPr>
        <w:rFonts w:hint="eastAsia"/>
      </w:rPr>
    </w:lvl>
  </w:abstractNum>
  <w:abstractNum w:abstractNumId="17">
    <w:nsid w:val="4D88FC89"/>
    <w:multiLevelType w:val="singleLevel"/>
    <w:tmpl w:val="4D88FC89"/>
    <w:lvl w:ilvl="0" w:tentative="0">
      <w:start w:val="1"/>
      <w:numFmt w:val="decimal"/>
      <w:suff w:val="nothing"/>
      <w:lvlText w:val="%1．"/>
      <w:lvlJc w:val="left"/>
      <w:pPr>
        <w:ind w:left="0" w:firstLine="283"/>
      </w:pPr>
      <w:rPr>
        <w:rFonts w:hint="default"/>
      </w:rPr>
    </w:lvl>
  </w:abstractNum>
  <w:abstractNum w:abstractNumId="18">
    <w:nsid w:val="579D219F"/>
    <w:multiLevelType w:val="singleLevel"/>
    <w:tmpl w:val="579D219F"/>
    <w:lvl w:ilvl="0" w:tentative="0">
      <w:start w:val="1"/>
      <w:numFmt w:val="decimal"/>
      <w:suff w:val="nothing"/>
      <w:lvlText w:val="%1．"/>
      <w:lvlJc w:val="left"/>
      <w:pPr>
        <w:ind w:left="0" w:firstLine="283"/>
      </w:pPr>
      <w:rPr>
        <w:rFonts w:hint="default"/>
      </w:rPr>
    </w:lvl>
  </w:abstractNum>
  <w:abstractNum w:abstractNumId="19">
    <w:nsid w:val="6BDD7988"/>
    <w:multiLevelType w:val="singleLevel"/>
    <w:tmpl w:val="6BDD7988"/>
    <w:lvl w:ilvl="0" w:tentative="0">
      <w:start w:val="1"/>
      <w:numFmt w:val="chineseCounting"/>
      <w:suff w:val="nothing"/>
      <w:lvlText w:val="（%1）"/>
      <w:lvlJc w:val="left"/>
      <w:pPr>
        <w:ind w:left="0" w:firstLine="283"/>
      </w:pPr>
      <w:rPr>
        <w:rFonts w:hint="eastAsia"/>
      </w:rPr>
    </w:lvl>
  </w:abstractNum>
  <w:abstractNum w:abstractNumId="20">
    <w:nsid w:val="6EE15D8B"/>
    <w:multiLevelType w:val="singleLevel"/>
    <w:tmpl w:val="6EE15D8B"/>
    <w:lvl w:ilvl="0" w:tentative="0">
      <w:start w:val="1"/>
      <w:numFmt w:val="chineseCounting"/>
      <w:suff w:val="nothing"/>
      <w:lvlText w:val="%1、"/>
      <w:lvlJc w:val="left"/>
      <w:pPr>
        <w:ind w:left="0" w:firstLine="283"/>
      </w:pPr>
      <w:rPr>
        <w:rFonts w:hint="eastAsia"/>
      </w:rPr>
    </w:lvl>
  </w:abstractNum>
  <w:abstractNum w:abstractNumId="21">
    <w:nsid w:val="723565B8"/>
    <w:multiLevelType w:val="singleLevel"/>
    <w:tmpl w:val="723565B8"/>
    <w:lvl w:ilvl="0" w:tentative="0">
      <w:start w:val="1"/>
      <w:numFmt w:val="decimal"/>
      <w:suff w:val="nothing"/>
      <w:lvlText w:val="(%1)"/>
      <w:lvlJc w:val="left"/>
      <w:pPr>
        <w:ind w:left="454" w:leftChars="0" w:firstLine="113" w:firstLineChars="0"/>
      </w:pPr>
      <w:rPr>
        <w:rFonts w:hint="default"/>
      </w:rPr>
    </w:lvl>
  </w:abstractNum>
  <w:abstractNum w:abstractNumId="22">
    <w:nsid w:val="76C1D838"/>
    <w:multiLevelType w:val="singleLevel"/>
    <w:tmpl w:val="76C1D838"/>
    <w:lvl w:ilvl="0" w:tentative="0">
      <w:start w:val="1"/>
      <w:numFmt w:val="decimal"/>
      <w:suff w:val="nothing"/>
      <w:lvlText w:val="(%1)"/>
      <w:lvlJc w:val="left"/>
      <w:pPr>
        <w:ind w:left="454" w:leftChars="0" w:firstLine="113" w:firstLineChars="0"/>
      </w:pPr>
      <w:rPr>
        <w:rFonts w:hint="default"/>
      </w:rPr>
    </w:lvl>
  </w:abstractNum>
  <w:abstractNum w:abstractNumId="23">
    <w:nsid w:val="7D0C4EC2"/>
    <w:multiLevelType w:val="singleLevel"/>
    <w:tmpl w:val="7D0C4EC2"/>
    <w:lvl w:ilvl="0" w:tentative="0">
      <w:start w:val="1"/>
      <w:numFmt w:val="chineseCounting"/>
      <w:suff w:val="nothing"/>
      <w:lvlText w:val="（%1）"/>
      <w:lvlJc w:val="left"/>
      <w:pPr>
        <w:ind w:left="0" w:firstLine="283"/>
      </w:pPr>
      <w:rPr>
        <w:rFonts w:hint="eastAsia"/>
      </w:rPr>
    </w:lvl>
  </w:abstractNum>
  <w:num w:numId="1">
    <w:abstractNumId w:val="20"/>
  </w:num>
  <w:num w:numId="2">
    <w:abstractNumId w:val="23"/>
  </w:num>
  <w:num w:numId="3">
    <w:abstractNumId w:val="3"/>
  </w:num>
  <w:num w:numId="4">
    <w:abstractNumId w:val="9"/>
  </w:num>
  <w:num w:numId="5">
    <w:abstractNumId w:val="4"/>
  </w:num>
  <w:num w:numId="6">
    <w:abstractNumId w:val="14"/>
  </w:num>
  <w:num w:numId="7">
    <w:abstractNumId w:val="12"/>
  </w:num>
  <w:num w:numId="8">
    <w:abstractNumId w:val="10"/>
  </w:num>
  <w:num w:numId="9">
    <w:abstractNumId w:val="2"/>
  </w:num>
  <w:num w:numId="10">
    <w:abstractNumId w:val="8"/>
  </w:num>
  <w:num w:numId="11">
    <w:abstractNumId w:val="18"/>
  </w:num>
  <w:num w:numId="12">
    <w:abstractNumId w:val="0"/>
  </w:num>
  <w:num w:numId="13">
    <w:abstractNumId w:val="15"/>
  </w:num>
  <w:num w:numId="14">
    <w:abstractNumId w:val="7"/>
  </w:num>
  <w:num w:numId="15">
    <w:abstractNumId w:val="5"/>
  </w:num>
  <w:num w:numId="16">
    <w:abstractNumId w:val="1"/>
  </w:num>
  <w:num w:numId="17">
    <w:abstractNumId w:val="22"/>
  </w:num>
  <w:num w:numId="18">
    <w:abstractNumId w:val="21"/>
  </w:num>
  <w:num w:numId="19">
    <w:abstractNumId w:val="19"/>
  </w:num>
  <w:num w:numId="20">
    <w:abstractNumId w:val="11"/>
  </w:num>
  <w:num w:numId="21">
    <w:abstractNumId w:val="17"/>
  </w:num>
  <w:num w:numId="22">
    <w:abstractNumId w:val="13"/>
  </w:num>
  <w:num w:numId="23">
    <w:abstractNumId w:val="16"/>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867"/>
    <w:rsid w:val="000C0867"/>
    <w:rsid w:val="000C1FF9"/>
    <w:rsid w:val="000F0B30"/>
    <w:rsid w:val="001C66E0"/>
    <w:rsid w:val="002B6923"/>
    <w:rsid w:val="00337586"/>
    <w:rsid w:val="006140F3"/>
    <w:rsid w:val="007402CA"/>
    <w:rsid w:val="00A81D22"/>
    <w:rsid w:val="00D64AE1"/>
    <w:rsid w:val="01113D6B"/>
    <w:rsid w:val="01147F82"/>
    <w:rsid w:val="01213882"/>
    <w:rsid w:val="014A7E1C"/>
    <w:rsid w:val="01671CF5"/>
    <w:rsid w:val="01714809"/>
    <w:rsid w:val="018067FB"/>
    <w:rsid w:val="018F2EE2"/>
    <w:rsid w:val="01A85D51"/>
    <w:rsid w:val="01B670FD"/>
    <w:rsid w:val="01C34939"/>
    <w:rsid w:val="01C74429"/>
    <w:rsid w:val="01CC5EE4"/>
    <w:rsid w:val="01E90844"/>
    <w:rsid w:val="01F66ABD"/>
    <w:rsid w:val="02025461"/>
    <w:rsid w:val="02056D00"/>
    <w:rsid w:val="020B6A0C"/>
    <w:rsid w:val="020C008E"/>
    <w:rsid w:val="02205A33"/>
    <w:rsid w:val="02317AF5"/>
    <w:rsid w:val="0281282A"/>
    <w:rsid w:val="02AB3D4B"/>
    <w:rsid w:val="02BD75DA"/>
    <w:rsid w:val="02C170CB"/>
    <w:rsid w:val="02E37041"/>
    <w:rsid w:val="02F74159"/>
    <w:rsid w:val="036C7E22"/>
    <w:rsid w:val="0381685A"/>
    <w:rsid w:val="038E6361"/>
    <w:rsid w:val="03AA6683"/>
    <w:rsid w:val="03C42E7B"/>
    <w:rsid w:val="03C52BEB"/>
    <w:rsid w:val="03D64DF8"/>
    <w:rsid w:val="03F51722"/>
    <w:rsid w:val="03F90AE6"/>
    <w:rsid w:val="040A684F"/>
    <w:rsid w:val="041B0A5C"/>
    <w:rsid w:val="043D6C25"/>
    <w:rsid w:val="04C9495C"/>
    <w:rsid w:val="04D56E5D"/>
    <w:rsid w:val="04DD5D12"/>
    <w:rsid w:val="04FA4B16"/>
    <w:rsid w:val="04FD0162"/>
    <w:rsid w:val="051A0D14"/>
    <w:rsid w:val="05263B5D"/>
    <w:rsid w:val="05341DD6"/>
    <w:rsid w:val="05404C1F"/>
    <w:rsid w:val="05444DBA"/>
    <w:rsid w:val="05500BDA"/>
    <w:rsid w:val="0579711A"/>
    <w:rsid w:val="058434AC"/>
    <w:rsid w:val="05942874"/>
    <w:rsid w:val="0596483F"/>
    <w:rsid w:val="05EA2DDC"/>
    <w:rsid w:val="05EF21A1"/>
    <w:rsid w:val="062416F2"/>
    <w:rsid w:val="062E69A3"/>
    <w:rsid w:val="06563FCE"/>
    <w:rsid w:val="065F7326"/>
    <w:rsid w:val="067B57E2"/>
    <w:rsid w:val="067D3568"/>
    <w:rsid w:val="06A50AB1"/>
    <w:rsid w:val="06A92350"/>
    <w:rsid w:val="06A92994"/>
    <w:rsid w:val="06AA0E3B"/>
    <w:rsid w:val="06C3547C"/>
    <w:rsid w:val="06DA075B"/>
    <w:rsid w:val="06EB0BBA"/>
    <w:rsid w:val="07001B9F"/>
    <w:rsid w:val="070752C8"/>
    <w:rsid w:val="0721638A"/>
    <w:rsid w:val="072E6CF9"/>
    <w:rsid w:val="073B0764"/>
    <w:rsid w:val="07560BB3"/>
    <w:rsid w:val="07577FFE"/>
    <w:rsid w:val="075D3328"/>
    <w:rsid w:val="076B1CFB"/>
    <w:rsid w:val="076D719D"/>
    <w:rsid w:val="07724E37"/>
    <w:rsid w:val="07A67CEE"/>
    <w:rsid w:val="07B0770E"/>
    <w:rsid w:val="07DE7496"/>
    <w:rsid w:val="07EA2C20"/>
    <w:rsid w:val="0822060B"/>
    <w:rsid w:val="083E3B3E"/>
    <w:rsid w:val="086329D2"/>
    <w:rsid w:val="088C1544"/>
    <w:rsid w:val="08BB636A"/>
    <w:rsid w:val="08F61060"/>
    <w:rsid w:val="08F71A98"/>
    <w:rsid w:val="091C2D23"/>
    <w:rsid w:val="091D0DD3"/>
    <w:rsid w:val="09526CCE"/>
    <w:rsid w:val="095A5B83"/>
    <w:rsid w:val="09622C8A"/>
    <w:rsid w:val="097D1872"/>
    <w:rsid w:val="09840E52"/>
    <w:rsid w:val="09A129E2"/>
    <w:rsid w:val="09B44D0D"/>
    <w:rsid w:val="09C37574"/>
    <w:rsid w:val="0A110938"/>
    <w:rsid w:val="0A391C3C"/>
    <w:rsid w:val="0A3B43C5"/>
    <w:rsid w:val="0A4B68D5"/>
    <w:rsid w:val="0A4C0BBE"/>
    <w:rsid w:val="0A8F7AAE"/>
    <w:rsid w:val="0A92134D"/>
    <w:rsid w:val="0AA92B28"/>
    <w:rsid w:val="0AB45767"/>
    <w:rsid w:val="0AC91212"/>
    <w:rsid w:val="0AD41965"/>
    <w:rsid w:val="0AD61B81"/>
    <w:rsid w:val="0B1701D0"/>
    <w:rsid w:val="0B1A1A6E"/>
    <w:rsid w:val="0B1F7084"/>
    <w:rsid w:val="0B275F39"/>
    <w:rsid w:val="0B420FC5"/>
    <w:rsid w:val="0B50723E"/>
    <w:rsid w:val="0B8B471A"/>
    <w:rsid w:val="0BAD28F8"/>
    <w:rsid w:val="0BAE0408"/>
    <w:rsid w:val="0BB91287"/>
    <w:rsid w:val="0BE81B6C"/>
    <w:rsid w:val="0BEE5C76"/>
    <w:rsid w:val="0C116D7F"/>
    <w:rsid w:val="0C237283"/>
    <w:rsid w:val="0C4D19CF"/>
    <w:rsid w:val="0C5745FC"/>
    <w:rsid w:val="0C5E1E3B"/>
    <w:rsid w:val="0CAF4DB7"/>
    <w:rsid w:val="0CCC323C"/>
    <w:rsid w:val="0CF14A50"/>
    <w:rsid w:val="0CF54541"/>
    <w:rsid w:val="0CF85DDF"/>
    <w:rsid w:val="0D002EE5"/>
    <w:rsid w:val="0D076022"/>
    <w:rsid w:val="0D183D8B"/>
    <w:rsid w:val="0D1B387B"/>
    <w:rsid w:val="0D4C1C87"/>
    <w:rsid w:val="0D755681"/>
    <w:rsid w:val="0D935B07"/>
    <w:rsid w:val="0DC9777B"/>
    <w:rsid w:val="0DF62C9E"/>
    <w:rsid w:val="0E0A5DCA"/>
    <w:rsid w:val="0E107158"/>
    <w:rsid w:val="0E172E1A"/>
    <w:rsid w:val="0E1F739B"/>
    <w:rsid w:val="0E344BF5"/>
    <w:rsid w:val="0E407A3D"/>
    <w:rsid w:val="0E460DCC"/>
    <w:rsid w:val="0E52151F"/>
    <w:rsid w:val="0E7B4E57"/>
    <w:rsid w:val="0E807E3A"/>
    <w:rsid w:val="0EA37FCC"/>
    <w:rsid w:val="0EC67FEA"/>
    <w:rsid w:val="0EC95C85"/>
    <w:rsid w:val="0F113188"/>
    <w:rsid w:val="0F1D151B"/>
    <w:rsid w:val="0F1D7D7F"/>
    <w:rsid w:val="0F307AB2"/>
    <w:rsid w:val="0F476BAA"/>
    <w:rsid w:val="0F53507C"/>
    <w:rsid w:val="0F7A0D2D"/>
    <w:rsid w:val="0FAE09D7"/>
    <w:rsid w:val="0FC41FA8"/>
    <w:rsid w:val="0FDF7A3C"/>
    <w:rsid w:val="0FE73EE9"/>
    <w:rsid w:val="0FEF171B"/>
    <w:rsid w:val="100E76C7"/>
    <w:rsid w:val="101160FE"/>
    <w:rsid w:val="10433815"/>
    <w:rsid w:val="1074577C"/>
    <w:rsid w:val="1088747A"/>
    <w:rsid w:val="10A5002C"/>
    <w:rsid w:val="10AC0267"/>
    <w:rsid w:val="10AF4A06"/>
    <w:rsid w:val="10B244F7"/>
    <w:rsid w:val="10CD7582"/>
    <w:rsid w:val="10D66437"/>
    <w:rsid w:val="10D91A83"/>
    <w:rsid w:val="10E024DA"/>
    <w:rsid w:val="10EA0134"/>
    <w:rsid w:val="10F60887"/>
    <w:rsid w:val="11276C93"/>
    <w:rsid w:val="112F5B47"/>
    <w:rsid w:val="114A0BD3"/>
    <w:rsid w:val="117543FD"/>
    <w:rsid w:val="11967974"/>
    <w:rsid w:val="119F6ECC"/>
    <w:rsid w:val="11B04EDA"/>
    <w:rsid w:val="1226519C"/>
    <w:rsid w:val="12851EC3"/>
    <w:rsid w:val="129739A4"/>
    <w:rsid w:val="12ED1816"/>
    <w:rsid w:val="13255454"/>
    <w:rsid w:val="13257202"/>
    <w:rsid w:val="13637D2A"/>
    <w:rsid w:val="13887774"/>
    <w:rsid w:val="13914897"/>
    <w:rsid w:val="13B16CE7"/>
    <w:rsid w:val="13C62793"/>
    <w:rsid w:val="13CE33F5"/>
    <w:rsid w:val="13DD188A"/>
    <w:rsid w:val="13E0137B"/>
    <w:rsid w:val="13E97311"/>
    <w:rsid w:val="13EC7D20"/>
    <w:rsid w:val="14072DAB"/>
    <w:rsid w:val="14074B59"/>
    <w:rsid w:val="140C2170"/>
    <w:rsid w:val="14157276"/>
    <w:rsid w:val="141A488D"/>
    <w:rsid w:val="141D14AB"/>
    <w:rsid w:val="1424570B"/>
    <w:rsid w:val="1433594E"/>
    <w:rsid w:val="14343DE1"/>
    <w:rsid w:val="143C0B97"/>
    <w:rsid w:val="144933C4"/>
    <w:rsid w:val="147C10A3"/>
    <w:rsid w:val="148B12E6"/>
    <w:rsid w:val="149C34F4"/>
    <w:rsid w:val="14AE7A5B"/>
    <w:rsid w:val="14CB5B87"/>
    <w:rsid w:val="14D62EA9"/>
    <w:rsid w:val="14DE1D5E"/>
    <w:rsid w:val="14E86739"/>
    <w:rsid w:val="14ED3D4F"/>
    <w:rsid w:val="14EF7AC7"/>
    <w:rsid w:val="15035321"/>
    <w:rsid w:val="150D2643"/>
    <w:rsid w:val="152359C3"/>
    <w:rsid w:val="1528122B"/>
    <w:rsid w:val="153B4ABB"/>
    <w:rsid w:val="154F0566"/>
    <w:rsid w:val="155E4C4D"/>
    <w:rsid w:val="156E1ACB"/>
    <w:rsid w:val="159863B1"/>
    <w:rsid w:val="15CC1BB7"/>
    <w:rsid w:val="15E05662"/>
    <w:rsid w:val="15EA0BE7"/>
    <w:rsid w:val="161D2B21"/>
    <w:rsid w:val="16270B89"/>
    <w:rsid w:val="16380D23"/>
    <w:rsid w:val="164976AB"/>
    <w:rsid w:val="165825D9"/>
    <w:rsid w:val="169C3C7F"/>
    <w:rsid w:val="16AE5760"/>
    <w:rsid w:val="16DA6555"/>
    <w:rsid w:val="16F05D79"/>
    <w:rsid w:val="16F07B27"/>
    <w:rsid w:val="16F5513D"/>
    <w:rsid w:val="1700420E"/>
    <w:rsid w:val="17125CEF"/>
    <w:rsid w:val="171E28E6"/>
    <w:rsid w:val="172779EC"/>
    <w:rsid w:val="1732013F"/>
    <w:rsid w:val="17326502"/>
    <w:rsid w:val="175E6B6A"/>
    <w:rsid w:val="176A5B2B"/>
    <w:rsid w:val="17780248"/>
    <w:rsid w:val="17855360"/>
    <w:rsid w:val="17885FB1"/>
    <w:rsid w:val="17C074F9"/>
    <w:rsid w:val="17E21B65"/>
    <w:rsid w:val="17E551B2"/>
    <w:rsid w:val="182061EA"/>
    <w:rsid w:val="183C74C7"/>
    <w:rsid w:val="184B14B9"/>
    <w:rsid w:val="186055AA"/>
    <w:rsid w:val="186662F2"/>
    <w:rsid w:val="189A41EE"/>
    <w:rsid w:val="189C1D14"/>
    <w:rsid w:val="18D53478"/>
    <w:rsid w:val="18D55226"/>
    <w:rsid w:val="18D56FD4"/>
    <w:rsid w:val="18E54BB3"/>
    <w:rsid w:val="190873AA"/>
    <w:rsid w:val="1921046B"/>
    <w:rsid w:val="192166BD"/>
    <w:rsid w:val="192F0DDA"/>
    <w:rsid w:val="19306900"/>
    <w:rsid w:val="194D74B2"/>
    <w:rsid w:val="195C664E"/>
    <w:rsid w:val="195E6FCA"/>
    <w:rsid w:val="199C5D44"/>
    <w:rsid w:val="19BB08C0"/>
    <w:rsid w:val="19E020D4"/>
    <w:rsid w:val="1A1D6E85"/>
    <w:rsid w:val="1A1F2BFD"/>
    <w:rsid w:val="1A3B730B"/>
    <w:rsid w:val="1A400DC5"/>
    <w:rsid w:val="1A703458"/>
    <w:rsid w:val="1A7078A3"/>
    <w:rsid w:val="1A7171D0"/>
    <w:rsid w:val="1A734CF7"/>
    <w:rsid w:val="1A8A3DEE"/>
    <w:rsid w:val="1A8B0292"/>
    <w:rsid w:val="1A9D7FC6"/>
    <w:rsid w:val="1AC217DA"/>
    <w:rsid w:val="1AD02149"/>
    <w:rsid w:val="1AD25EC1"/>
    <w:rsid w:val="1AD31C39"/>
    <w:rsid w:val="1AD74E81"/>
    <w:rsid w:val="1ADA2FC8"/>
    <w:rsid w:val="1ADE4866"/>
    <w:rsid w:val="1AE41750"/>
    <w:rsid w:val="1B1A1616"/>
    <w:rsid w:val="1B1C713C"/>
    <w:rsid w:val="1B3D4DCF"/>
    <w:rsid w:val="1B3E5305"/>
    <w:rsid w:val="1B527002"/>
    <w:rsid w:val="1B6D5BEA"/>
    <w:rsid w:val="1B762CF0"/>
    <w:rsid w:val="1B7725C5"/>
    <w:rsid w:val="1B965141"/>
    <w:rsid w:val="1BA17641"/>
    <w:rsid w:val="1BA535D6"/>
    <w:rsid w:val="1BAB346D"/>
    <w:rsid w:val="1BAF1D5E"/>
    <w:rsid w:val="1BB0004C"/>
    <w:rsid w:val="1BC03F6C"/>
    <w:rsid w:val="1BDB348B"/>
    <w:rsid w:val="1BDE4B20"/>
    <w:rsid w:val="1BF57933"/>
    <w:rsid w:val="1BF9747E"/>
    <w:rsid w:val="1C2A3ADB"/>
    <w:rsid w:val="1C400211"/>
    <w:rsid w:val="1C5823F6"/>
    <w:rsid w:val="1C654B13"/>
    <w:rsid w:val="1C6D1D6F"/>
    <w:rsid w:val="1C896A53"/>
    <w:rsid w:val="1CA05B4B"/>
    <w:rsid w:val="1CA13D9D"/>
    <w:rsid w:val="1CA707BF"/>
    <w:rsid w:val="1CAC0AFE"/>
    <w:rsid w:val="1CD221A8"/>
    <w:rsid w:val="1CDB6B83"/>
    <w:rsid w:val="1CE04199"/>
    <w:rsid w:val="1D0165EA"/>
    <w:rsid w:val="1D0205B4"/>
    <w:rsid w:val="1D0600A4"/>
    <w:rsid w:val="1D1A58FD"/>
    <w:rsid w:val="1D2D73DF"/>
    <w:rsid w:val="1D3C3AC6"/>
    <w:rsid w:val="1D436C02"/>
    <w:rsid w:val="1DAA4ED3"/>
    <w:rsid w:val="1DB0562C"/>
    <w:rsid w:val="1DF3687A"/>
    <w:rsid w:val="1E0839A8"/>
    <w:rsid w:val="1E0A7720"/>
    <w:rsid w:val="1E157818"/>
    <w:rsid w:val="1E3D7AF5"/>
    <w:rsid w:val="1E3E561C"/>
    <w:rsid w:val="1E674B72"/>
    <w:rsid w:val="1EC10726"/>
    <w:rsid w:val="1ED815CC"/>
    <w:rsid w:val="1EE47F71"/>
    <w:rsid w:val="1EF67CA4"/>
    <w:rsid w:val="1EFF124F"/>
    <w:rsid w:val="1F114ADE"/>
    <w:rsid w:val="1F635CD3"/>
    <w:rsid w:val="1F6414BC"/>
    <w:rsid w:val="1F6E5593"/>
    <w:rsid w:val="1F891D47"/>
    <w:rsid w:val="1FBC4A4A"/>
    <w:rsid w:val="1FD559D6"/>
    <w:rsid w:val="1FDA1374"/>
    <w:rsid w:val="1FEB3581"/>
    <w:rsid w:val="1FFC753C"/>
    <w:rsid w:val="201956D2"/>
    <w:rsid w:val="202C7E22"/>
    <w:rsid w:val="202D1DEC"/>
    <w:rsid w:val="20651585"/>
    <w:rsid w:val="207B2B57"/>
    <w:rsid w:val="20943C19"/>
    <w:rsid w:val="209C3CC7"/>
    <w:rsid w:val="20A43E5C"/>
    <w:rsid w:val="20C938C2"/>
    <w:rsid w:val="20E701EC"/>
    <w:rsid w:val="20F36B91"/>
    <w:rsid w:val="210466A8"/>
    <w:rsid w:val="21352D06"/>
    <w:rsid w:val="213827F6"/>
    <w:rsid w:val="213F3B84"/>
    <w:rsid w:val="21466CC1"/>
    <w:rsid w:val="216E446A"/>
    <w:rsid w:val="217A2E0F"/>
    <w:rsid w:val="218E2416"/>
    <w:rsid w:val="2190618E"/>
    <w:rsid w:val="21921F06"/>
    <w:rsid w:val="21B05C47"/>
    <w:rsid w:val="21E32762"/>
    <w:rsid w:val="220821C8"/>
    <w:rsid w:val="22260B74"/>
    <w:rsid w:val="22521696"/>
    <w:rsid w:val="229972C4"/>
    <w:rsid w:val="22A94701"/>
    <w:rsid w:val="22B91715"/>
    <w:rsid w:val="22CC769A"/>
    <w:rsid w:val="22E91FFA"/>
    <w:rsid w:val="22F369D5"/>
    <w:rsid w:val="22FD5AA5"/>
    <w:rsid w:val="2322375E"/>
    <w:rsid w:val="232304AB"/>
    <w:rsid w:val="23533917"/>
    <w:rsid w:val="23627FFE"/>
    <w:rsid w:val="23716C7F"/>
    <w:rsid w:val="237D2742"/>
    <w:rsid w:val="23A221A9"/>
    <w:rsid w:val="23AE0B4E"/>
    <w:rsid w:val="23D507D0"/>
    <w:rsid w:val="23E665D8"/>
    <w:rsid w:val="23E97DD8"/>
    <w:rsid w:val="23EB3B50"/>
    <w:rsid w:val="23F21382"/>
    <w:rsid w:val="24015121"/>
    <w:rsid w:val="241B595C"/>
    <w:rsid w:val="24247062"/>
    <w:rsid w:val="24455956"/>
    <w:rsid w:val="24480FA2"/>
    <w:rsid w:val="2466767A"/>
    <w:rsid w:val="247753E3"/>
    <w:rsid w:val="249A5EC0"/>
    <w:rsid w:val="249B37C8"/>
    <w:rsid w:val="24A51F50"/>
    <w:rsid w:val="24B60AEF"/>
    <w:rsid w:val="24BC54EC"/>
    <w:rsid w:val="24DC16EA"/>
    <w:rsid w:val="24ED56A6"/>
    <w:rsid w:val="252951AB"/>
    <w:rsid w:val="25331C52"/>
    <w:rsid w:val="258129BE"/>
    <w:rsid w:val="25816870"/>
    <w:rsid w:val="259A75DB"/>
    <w:rsid w:val="25C2583D"/>
    <w:rsid w:val="25C74149"/>
    <w:rsid w:val="25FF1B34"/>
    <w:rsid w:val="260B04D9"/>
    <w:rsid w:val="260B2287"/>
    <w:rsid w:val="26445799"/>
    <w:rsid w:val="264D6D44"/>
    <w:rsid w:val="26640EB0"/>
    <w:rsid w:val="266B541C"/>
    <w:rsid w:val="266F0A68"/>
    <w:rsid w:val="267F67D1"/>
    <w:rsid w:val="26865DB2"/>
    <w:rsid w:val="268B161A"/>
    <w:rsid w:val="269229A8"/>
    <w:rsid w:val="26A050C5"/>
    <w:rsid w:val="270D202F"/>
    <w:rsid w:val="27392E24"/>
    <w:rsid w:val="27676541"/>
    <w:rsid w:val="27765E26"/>
    <w:rsid w:val="2785627E"/>
    <w:rsid w:val="278F1CE7"/>
    <w:rsid w:val="27A504B9"/>
    <w:rsid w:val="27BD5803"/>
    <w:rsid w:val="27D17500"/>
    <w:rsid w:val="27D8088F"/>
    <w:rsid w:val="27D8263D"/>
    <w:rsid w:val="27F52646"/>
    <w:rsid w:val="282C4737"/>
    <w:rsid w:val="2832351A"/>
    <w:rsid w:val="28407F43"/>
    <w:rsid w:val="28F60FCD"/>
    <w:rsid w:val="290F6532"/>
    <w:rsid w:val="29114058"/>
    <w:rsid w:val="292D0766"/>
    <w:rsid w:val="2936586D"/>
    <w:rsid w:val="294206B6"/>
    <w:rsid w:val="294837F2"/>
    <w:rsid w:val="294F4B81"/>
    <w:rsid w:val="2973261D"/>
    <w:rsid w:val="298365D8"/>
    <w:rsid w:val="298E7457"/>
    <w:rsid w:val="299B7DC6"/>
    <w:rsid w:val="29A70519"/>
    <w:rsid w:val="29AF73CD"/>
    <w:rsid w:val="29D532D8"/>
    <w:rsid w:val="29E21551"/>
    <w:rsid w:val="2A013806"/>
    <w:rsid w:val="2A1F27A5"/>
    <w:rsid w:val="2A24600D"/>
    <w:rsid w:val="2A3C6EB3"/>
    <w:rsid w:val="2A3D2C2B"/>
    <w:rsid w:val="2A571F3F"/>
    <w:rsid w:val="2A6A6763"/>
    <w:rsid w:val="2A6E5995"/>
    <w:rsid w:val="2A742AF1"/>
    <w:rsid w:val="2A97058D"/>
    <w:rsid w:val="2A9A4E2A"/>
    <w:rsid w:val="2A9D0465"/>
    <w:rsid w:val="2AC86999"/>
    <w:rsid w:val="2AC944BF"/>
    <w:rsid w:val="2AD4533E"/>
    <w:rsid w:val="2AE00186"/>
    <w:rsid w:val="2AF05EF0"/>
    <w:rsid w:val="2AF3793F"/>
    <w:rsid w:val="2B0B4BEC"/>
    <w:rsid w:val="2B5B251A"/>
    <w:rsid w:val="2B8A00F2"/>
    <w:rsid w:val="2B8E1990"/>
    <w:rsid w:val="2B91322F"/>
    <w:rsid w:val="2B940F71"/>
    <w:rsid w:val="2BE9306B"/>
    <w:rsid w:val="2BEB7E79"/>
    <w:rsid w:val="2C153E60"/>
    <w:rsid w:val="2C1A1476"/>
    <w:rsid w:val="2C644D88"/>
    <w:rsid w:val="2C730869"/>
    <w:rsid w:val="2C78619D"/>
    <w:rsid w:val="2C7D1A05"/>
    <w:rsid w:val="2C9E07BF"/>
    <w:rsid w:val="2CA93F14"/>
    <w:rsid w:val="2CB371D5"/>
    <w:rsid w:val="2CB73169"/>
    <w:rsid w:val="2CBD002B"/>
    <w:rsid w:val="2CD63007"/>
    <w:rsid w:val="2CDA259B"/>
    <w:rsid w:val="2D117FD0"/>
    <w:rsid w:val="2D1C121E"/>
    <w:rsid w:val="2D281971"/>
    <w:rsid w:val="2D2E06FF"/>
    <w:rsid w:val="2D4D587B"/>
    <w:rsid w:val="2D542766"/>
    <w:rsid w:val="2D652BC5"/>
    <w:rsid w:val="2D662499"/>
    <w:rsid w:val="2DB06018"/>
    <w:rsid w:val="2DB9081B"/>
    <w:rsid w:val="2DE57862"/>
    <w:rsid w:val="2DF16206"/>
    <w:rsid w:val="2E020414"/>
    <w:rsid w:val="2E0B02D7"/>
    <w:rsid w:val="2E176CC6"/>
    <w:rsid w:val="2E19750B"/>
    <w:rsid w:val="2E232138"/>
    <w:rsid w:val="2E424CB4"/>
    <w:rsid w:val="2E5A3DAC"/>
    <w:rsid w:val="2E6469D8"/>
    <w:rsid w:val="2E9123FA"/>
    <w:rsid w:val="2EA65243"/>
    <w:rsid w:val="2EBC6814"/>
    <w:rsid w:val="2EBF6305"/>
    <w:rsid w:val="2EDA6C9B"/>
    <w:rsid w:val="2EDF69A7"/>
    <w:rsid w:val="2EE47B19"/>
    <w:rsid w:val="2F397E65"/>
    <w:rsid w:val="2F4131BE"/>
    <w:rsid w:val="2F601896"/>
    <w:rsid w:val="2F745341"/>
    <w:rsid w:val="2F8203D8"/>
    <w:rsid w:val="2F8F217B"/>
    <w:rsid w:val="2F9608AC"/>
    <w:rsid w:val="2F9B467C"/>
    <w:rsid w:val="2FA23C5C"/>
    <w:rsid w:val="2FC11CA2"/>
    <w:rsid w:val="2FDB0F1C"/>
    <w:rsid w:val="2FF224B1"/>
    <w:rsid w:val="2FFD5337"/>
    <w:rsid w:val="300246FB"/>
    <w:rsid w:val="30030473"/>
    <w:rsid w:val="300F506A"/>
    <w:rsid w:val="304B15AE"/>
    <w:rsid w:val="30630D3B"/>
    <w:rsid w:val="30766E97"/>
    <w:rsid w:val="30BE2D79"/>
    <w:rsid w:val="30DD0CC4"/>
    <w:rsid w:val="30E65DCB"/>
    <w:rsid w:val="31152A96"/>
    <w:rsid w:val="311C359A"/>
    <w:rsid w:val="3150593A"/>
    <w:rsid w:val="315C608D"/>
    <w:rsid w:val="31750EFD"/>
    <w:rsid w:val="31774C75"/>
    <w:rsid w:val="318B6972"/>
    <w:rsid w:val="31C12394"/>
    <w:rsid w:val="31C26E13"/>
    <w:rsid w:val="31D9148B"/>
    <w:rsid w:val="31FB58A6"/>
    <w:rsid w:val="320F30FF"/>
    <w:rsid w:val="32221055"/>
    <w:rsid w:val="32650F71"/>
    <w:rsid w:val="326D0CD8"/>
    <w:rsid w:val="32852B12"/>
    <w:rsid w:val="32B12408"/>
    <w:rsid w:val="32C82924"/>
    <w:rsid w:val="32D560F7"/>
    <w:rsid w:val="330B1B18"/>
    <w:rsid w:val="331F746E"/>
    <w:rsid w:val="33484B1B"/>
    <w:rsid w:val="334943EF"/>
    <w:rsid w:val="33552D94"/>
    <w:rsid w:val="335A2AA0"/>
    <w:rsid w:val="33650773"/>
    <w:rsid w:val="336D4581"/>
    <w:rsid w:val="33723946"/>
    <w:rsid w:val="337B5998"/>
    <w:rsid w:val="337D3F2D"/>
    <w:rsid w:val="338246ED"/>
    <w:rsid w:val="339A2E9C"/>
    <w:rsid w:val="33CB12A8"/>
    <w:rsid w:val="33E660E2"/>
    <w:rsid w:val="33F24A86"/>
    <w:rsid w:val="340A0022"/>
    <w:rsid w:val="34160775"/>
    <w:rsid w:val="342033A2"/>
    <w:rsid w:val="34232E92"/>
    <w:rsid w:val="3432054C"/>
    <w:rsid w:val="34350021"/>
    <w:rsid w:val="347A51A8"/>
    <w:rsid w:val="34871673"/>
    <w:rsid w:val="348C4EDB"/>
    <w:rsid w:val="34AB7314"/>
    <w:rsid w:val="34B309A3"/>
    <w:rsid w:val="34C06933"/>
    <w:rsid w:val="34E15227"/>
    <w:rsid w:val="34F0546A"/>
    <w:rsid w:val="35123632"/>
    <w:rsid w:val="35505F08"/>
    <w:rsid w:val="35507CB7"/>
    <w:rsid w:val="35683252"/>
    <w:rsid w:val="35696FCA"/>
    <w:rsid w:val="357534A8"/>
    <w:rsid w:val="358362DE"/>
    <w:rsid w:val="35973B37"/>
    <w:rsid w:val="35A61FCC"/>
    <w:rsid w:val="35AD5109"/>
    <w:rsid w:val="35E0728C"/>
    <w:rsid w:val="35FB40C6"/>
    <w:rsid w:val="36140CE4"/>
    <w:rsid w:val="36154A5C"/>
    <w:rsid w:val="3619454C"/>
    <w:rsid w:val="36213401"/>
    <w:rsid w:val="36252EF1"/>
    <w:rsid w:val="36323860"/>
    <w:rsid w:val="3644480A"/>
    <w:rsid w:val="364E2474"/>
    <w:rsid w:val="364F7F6E"/>
    <w:rsid w:val="36583433"/>
    <w:rsid w:val="36883480"/>
    <w:rsid w:val="36A858D0"/>
    <w:rsid w:val="36B349A1"/>
    <w:rsid w:val="36BB1AA7"/>
    <w:rsid w:val="36C546D4"/>
    <w:rsid w:val="36C97D20"/>
    <w:rsid w:val="36DD1A1E"/>
    <w:rsid w:val="36E7289C"/>
    <w:rsid w:val="36F86858"/>
    <w:rsid w:val="37160A8C"/>
    <w:rsid w:val="371C0798"/>
    <w:rsid w:val="372458FD"/>
    <w:rsid w:val="37296A11"/>
    <w:rsid w:val="374455F9"/>
    <w:rsid w:val="377834F5"/>
    <w:rsid w:val="37922808"/>
    <w:rsid w:val="379540A7"/>
    <w:rsid w:val="37A10C9D"/>
    <w:rsid w:val="37B87D95"/>
    <w:rsid w:val="37C9384A"/>
    <w:rsid w:val="37EB3CC7"/>
    <w:rsid w:val="38042FDA"/>
    <w:rsid w:val="38156F95"/>
    <w:rsid w:val="38174ABC"/>
    <w:rsid w:val="381A45AC"/>
    <w:rsid w:val="382D0783"/>
    <w:rsid w:val="382D2531"/>
    <w:rsid w:val="385351A0"/>
    <w:rsid w:val="38882263"/>
    <w:rsid w:val="38AA1B3D"/>
    <w:rsid w:val="38AA3B82"/>
    <w:rsid w:val="38D94467"/>
    <w:rsid w:val="391D3E19"/>
    <w:rsid w:val="395B30CE"/>
    <w:rsid w:val="3963760F"/>
    <w:rsid w:val="39662B65"/>
    <w:rsid w:val="39875C71"/>
    <w:rsid w:val="399F120C"/>
    <w:rsid w:val="39B06F76"/>
    <w:rsid w:val="39B12CEE"/>
    <w:rsid w:val="39BD1693"/>
    <w:rsid w:val="39CB0253"/>
    <w:rsid w:val="39CB7802"/>
    <w:rsid w:val="39E44E71"/>
    <w:rsid w:val="39E9692C"/>
    <w:rsid w:val="3A1219DE"/>
    <w:rsid w:val="3A2741E2"/>
    <w:rsid w:val="3A414072"/>
    <w:rsid w:val="3A4164A5"/>
    <w:rsid w:val="3A6A181A"/>
    <w:rsid w:val="3A9A190D"/>
    <w:rsid w:val="3AAD378C"/>
    <w:rsid w:val="3AB111F7"/>
    <w:rsid w:val="3ABE3914"/>
    <w:rsid w:val="3AED0BAA"/>
    <w:rsid w:val="3B2F036E"/>
    <w:rsid w:val="3B3911ED"/>
    <w:rsid w:val="3B3D0CDD"/>
    <w:rsid w:val="3B3D6F2F"/>
    <w:rsid w:val="3B3E239E"/>
    <w:rsid w:val="3B4F0A10"/>
    <w:rsid w:val="3B85756C"/>
    <w:rsid w:val="3BE455FD"/>
    <w:rsid w:val="3BEB698B"/>
    <w:rsid w:val="3C110388"/>
    <w:rsid w:val="3C17152E"/>
    <w:rsid w:val="3C255492"/>
    <w:rsid w:val="3C522566"/>
    <w:rsid w:val="3C574020"/>
    <w:rsid w:val="3C5E715D"/>
    <w:rsid w:val="3C990195"/>
    <w:rsid w:val="3C9963E7"/>
    <w:rsid w:val="3CA32DC2"/>
    <w:rsid w:val="3CA53563"/>
    <w:rsid w:val="3CAA23A2"/>
    <w:rsid w:val="3CC046A2"/>
    <w:rsid w:val="3CD967E3"/>
    <w:rsid w:val="3CE07B72"/>
    <w:rsid w:val="3CEC2B6C"/>
    <w:rsid w:val="3CF4361D"/>
    <w:rsid w:val="3CF67395"/>
    <w:rsid w:val="3CFE624A"/>
    <w:rsid w:val="3D0870C9"/>
    <w:rsid w:val="3D622C7D"/>
    <w:rsid w:val="3D7F6C45"/>
    <w:rsid w:val="3D8F1791"/>
    <w:rsid w:val="3DA07301"/>
    <w:rsid w:val="3DCB698D"/>
    <w:rsid w:val="3DF53AF1"/>
    <w:rsid w:val="3DFF057B"/>
    <w:rsid w:val="3E41232F"/>
    <w:rsid w:val="3E5E1696"/>
    <w:rsid w:val="3E9F580B"/>
    <w:rsid w:val="3EA846BF"/>
    <w:rsid w:val="3EAD43CC"/>
    <w:rsid w:val="3EB219E2"/>
    <w:rsid w:val="3EC57B21"/>
    <w:rsid w:val="3EEB0A50"/>
    <w:rsid w:val="3EEB5440"/>
    <w:rsid w:val="3EF50134"/>
    <w:rsid w:val="3F007C46"/>
    <w:rsid w:val="3F367F1D"/>
    <w:rsid w:val="3F395C5F"/>
    <w:rsid w:val="3F8E5FAB"/>
    <w:rsid w:val="3FC01EDD"/>
    <w:rsid w:val="3FDF6807"/>
    <w:rsid w:val="3FEA6A74"/>
    <w:rsid w:val="3FF80758"/>
    <w:rsid w:val="3FF81676"/>
    <w:rsid w:val="40104C12"/>
    <w:rsid w:val="401144E6"/>
    <w:rsid w:val="402661E4"/>
    <w:rsid w:val="402B1A4C"/>
    <w:rsid w:val="402E6E46"/>
    <w:rsid w:val="404B5C4A"/>
    <w:rsid w:val="407E6EA9"/>
    <w:rsid w:val="40A02AD6"/>
    <w:rsid w:val="40BA692C"/>
    <w:rsid w:val="40E165AE"/>
    <w:rsid w:val="40FC0CF2"/>
    <w:rsid w:val="41232723"/>
    <w:rsid w:val="41567B7B"/>
    <w:rsid w:val="4168282C"/>
    <w:rsid w:val="416A0352"/>
    <w:rsid w:val="41764F49"/>
    <w:rsid w:val="4185309F"/>
    <w:rsid w:val="419B49AF"/>
    <w:rsid w:val="41D37CA5"/>
    <w:rsid w:val="41E73751"/>
    <w:rsid w:val="41FF0A9A"/>
    <w:rsid w:val="420C31B7"/>
    <w:rsid w:val="4227012A"/>
    <w:rsid w:val="422B7AE1"/>
    <w:rsid w:val="423746D8"/>
    <w:rsid w:val="425C0C01"/>
    <w:rsid w:val="42642FF3"/>
    <w:rsid w:val="426C2A37"/>
    <w:rsid w:val="42733236"/>
    <w:rsid w:val="42836415"/>
    <w:rsid w:val="42A41642"/>
    <w:rsid w:val="42A96C58"/>
    <w:rsid w:val="42AC0223"/>
    <w:rsid w:val="42C13FA2"/>
    <w:rsid w:val="42EB54C2"/>
    <w:rsid w:val="42EF6D61"/>
    <w:rsid w:val="43040332"/>
    <w:rsid w:val="43305BFF"/>
    <w:rsid w:val="43601A0D"/>
    <w:rsid w:val="43747266"/>
    <w:rsid w:val="43853221"/>
    <w:rsid w:val="438C45B0"/>
    <w:rsid w:val="43963680"/>
    <w:rsid w:val="43AD0463"/>
    <w:rsid w:val="43E4263E"/>
    <w:rsid w:val="43EA39CC"/>
    <w:rsid w:val="43EA7528"/>
    <w:rsid w:val="43F65ECD"/>
    <w:rsid w:val="43F81C45"/>
    <w:rsid w:val="441A605F"/>
    <w:rsid w:val="44305A50"/>
    <w:rsid w:val="44526B9D"/>
    <w:rsid w:val="44773E2D"/>
    <w:rsid w:val="449F6565"/>
    <w:rsid w:val="44AB4F09"/>
    <w:rsid w:val="44BA339E"/>
    <w:rsid w:val="44C47D79"/>
    <w:rsid w:val="44D34460"/>
    <w:rsid w:val="44D83825"/>
    <w:rsid w:val="44E4041B"/>
    <w:rsid w:val="44E64193"/>
    <w:rsid w:val="44FA19ED"/>
    <w:rsid w:val="452151CC"/>
    <w:rsid w:val="453F38A4"/>
    <w:rsid w:val="45684BA8"/>
    <w:rsid w:val="456D21BF"/>
    <w:rsid w:val="457B2BF7"/>
    <w:rsid w:val="457C68A6"/>
    <w:rsid w:val="459050A5"/>
    <w:rsid w:val="45912351"/>
    <w:rsid w:val="45AE5EF2"/>
    <w:rsid w:val="45B147A1"/>
    <w:rsid w:val="45BC6CA2"/>
    <w:rsid w:val="45E561F9"/>
    <w:rsid w:val="45E7158D"/>
    <w:rsid w:val="460B799F"/>
    <w:rsid w:val="46312FE7"/>
    <w:rsid w:val="463902F3"/>
    <w:rsid w:val="465810C1"/>
    <w:rsid w:val="466E4440"/>
    <w:rsid w:val="467D0B27"/>
    <w:rsid w:val="46826D34"/>
    <w:rsid w:val="46AB11F1"/>
    <w:rsid w:val="46BC0A08"/>
    <w:rsid w:val="46D36999"/>
    <w:rsid w:val="46D5009A"/>
    <w:rsid w:val="46DD5122"/>
    <w:rsid w:val="46E82445"/>
    <w:rsid w:val="47086643"/>
    <w:rsid w:val="47294359"/>
    <w:rsid w:val="472A2E92"/>
    <w:rsid w:val="473D674F"/>
    <w:rsid w:val="47484C91"/>
    <w:rsid w:val="475278BE"/>
    <w:rsid w:val="47576E81"/>
    <w:rsid w:val="475A2C17"/>
    <w:rsid w:val="475C24EB"/>
    <w:rsid w:val="47A0687C"/>
    <w:rsid w:val="47A3636C"/>
    <w:rsid w:val="47C46FA4"/>
    <w:rsid w:val="47DE7578"/>
    <w:rsid w:val="47F92430"/>
    <w:rsid w:val="480A63EB"/>
    <w:rsid w:val="483D231C"/>
    <w:rsid w:val="485458B8"/>
    <w:rsid w:val="48552861"/>
    <w:rsid w:val="487C04D9"/>
    <w:rsid w:val="48932803"/>
    <w:rsid w:val="489A17F5"/>
    <w:rsid w:val="489F6B33"/>
    <w:rsid w:val="48BD520B"/>
    <w:rsid w:val="48C540C0"/>
    <w:rsid w:val="48D335A6"/>
    <w:rsid w:val="48E46C3C"/>
    <w:rsid w:val="48F57476"/>
    <w:rsid w:val="48F826E7"/>
    <w:rsid w:val="49027F69"/>
    <w:rsid w:val="49090450"/>
    <w:rsid w:val="491F7C74"/>
    <w:rsid w:val="49247038"/>
    <w:rsid w:val="49382AE4"/>
    <w:rsid w:val="49470F79"/>
    <w:rsid w:val="49553BA0"/>
    <w:rsid w:val="499F2B63"/>
    <w:rsid w:val="49A8711D"/>
    <w:rsid w:val="49B34FFC"/>
    <w:rsid w:val="49B42429"/>
    <w:rsid w:val="49B4660E"/>
    <w:rsid w:val="49E50EBD"/>
    <w:rsid w:val="49F6170B"/>
    <w:rsid w:val="49F7299F"/>
    <w:rsid w:val="4A0550BC"/>
    <w:rsid w:val="4A162E25"/>
    <w:rsid w:val="4A3634C7"/>
    <w:rsid w:val="4A590F64"/>
    <w:rsid w:val="4AAF15F0"/>
    <w:rsid w:val="4ABF170F"/>
    <w:rsid w:val="4ACD5E13"/>
    <w:rsid w:val="4AD309EB"/>
    <w:rsid w:val="4AE01685"/>
    <w:rsid w:val="4AF56EDE"/>
    <w:rsid w:val="4AFF7D5D"/>
    <w:rsid w:val="4B06733D"/>
    <w:rsid w:val="4B103D18"/>
    <w:rsid w:val="4B1F3F5B"/>
    <w:rsid w:val="4B234E23"/>
    <w:rsid w:val="4B3814C1"/>
    <w:rsid w:val="4B3825C1"/>
    <w:rsid w:val="4B49722A"/>
    <w:rsid w:val="4B685902"/>
    <w:rsid w:val="4B83273C"/>
    <w:rsid w:val="4B8A1D1C"/>
    <w:rsid w:val="4B983D0E"/>
    <w:rsid w:val="4B9D5E1B"/>
    <w:rsid w:val="4BA83F51"/>
    <w:rsid w:val="4BC15012"/>
    <w:rsid w:val="4C35155C"/>
    <w:rsid w:val="4C3645C0"/>
    <w:rsid w:val="4C404189"/>
    <w:rsid w:val="4C4C5224"/>
    <w:rsid w:val="4C4D4AF8"/>
    <w:rsid w:val="4C6F2CC0"/>
    <w:rsid w:val="4C72630D"/>
    <w:rsid w:val="4C7B0B8A"/>
    <w:rsid w:val="4C8147A2"/>
    <w:rsid w:val="4C87000A"/>
    <w:rsid w:val="4C940979"/>
    <w:rsid w:val="4CA54934"/>
    <w:rsid w:val="4CB536CF"/>
    <w:rsid w:val="4CC2216C"/>
    <w:rsid w:val="4CF3744D"/>
    <w:rsid w:val="4CF65190"/>
    <w:rsid w:val="4D096C71"/>
    <w:rsid w:val="4D0F1DAD"/>
    <w:rsid w:val="4D4E28D6"/>
    <w:rsid w:val="4D7629FC"/>
    <w:rsid w:val="4DBC3274"/>
    <w:rsid w:val="4DCE3816"/>
    <w:rsid w:val="4DEB281B"/>
    <w:rsid w:val="4DF01E53"/>
    <w:rsid w:val="4DFC0584"/>
    <w:rsid w:val="4E127DA7"/>
    <w:rsid w:val="4E3F66C2"/>
    <w:rsid w:val="4E4D7031"/>
    <w:rsid w:val="4E6F6FA8"/>
    <w:rsid w:val="4E7C3473"/>
    <w:rsid w:val="4E8011B5"/>
    <w:rsid w:val="4EC05A55"/>
    <w:rsid w:val="4EC15329"/>
    <w:rsid w:val="4ECC5774"/>
    <w:rsid w:val="4ECD3CCE"/>
    <w:rsid w:val="4ED71862"/>
    <w:rsid w:val="4EF43951"/>
    <w:rsid w:val="4EF474AD"/>
    <w:rsid w:val="4F196F13"/>
    <w:rsid w:val="4F1D6A04"/>
    <w:rsid w:val="4F3501F1"/>
    <w:rsid w:val="4F400944"/>
    <w:rsid w:val="4F473A81"/>
    <w:rsid w:val="4FAE3B00"/>
    <w:rsid w:val="4FC03D36"/>
    <w:rsid w:val="4FF04118"/>
    <w:rsid w:val="50047BC4"/>
    <w:rsid w:val="5006393C"/>
    <w:rsid w:val="501E0C85"/>
    <w:rsid w:val="502B5150"/>
    <w:rsid w:val="504F0E3F"/>
    <w:rsid w:val="5052089F"/>
    <w:rsid w:val="505A7D1E"/>
    <w:rsid w:val="5075461D"/>
    <w:rsid w:val="50A078EC"/>
    <w:rsid w:val="50A23988"/>
    <w:rsid w:val="50C335DB"/>
    <w:rsid w:val="50CB0986"/>
    <w:rsid w:val="50D2381E"/>
    <w:rsid w:val="510936E3"/>
    <w:rsid w:val="51114346"/>
    <w:rsid w:val="51167BAE"/>
    <w:rsid w:val="51246B4D"/>
    <w:rsid w:val="512C1180"/>
    <w:rsid w:val="513B13C3"/>
    <w:rsid w:val="515442CF"/>
    <w:rsid w:val="518C1C1F"/>
    <w:rsid w:val="51BD2161"/>
    <w:rsid w:val="51CB6BEB"/>
    <w:rsid w:val="51E43809"/>
    <w:rsid w:val="51E611C2"/>
    <w:rsid w:val="51FE0D6E"/>
    <w:rsid w:val="52100AA2"/>
    <w:rsid w:val="52552958"/>
    <w:rsid w:val="527A416D"/>
    <w:rsid w:val="52977F3F"/>
    <w:rsid w:val="52B61649"/>
    <w:rsid w:val="52B7716F"/>
    <w:rsid w:val="52DC6BD6"/>
    <w:rsid w:val="52EF6909"/>
    <w:rsid w:val="52F83A10"/>
    <w:rsid w:val="53051C89"/>
    <w:rsid w:val="53383097"/>
    <w:rsid w:val="534127C6"/>
    <w:rsid w:val="537A08C9"/>
    <w:rsid w:val="538501A4"/>
    <w:rsid w:val="539A0F3A"/>
    <w:rsid w:val="53B13BBE"/>
    <w:rsid w:val="53C03E02"/>
    <w:rsid w:val="53EC05FD"/>
    <w:rsid w:val="53FD32A8"/>
    <w:rsid w:val="53FF0DCE"/>
    <w:rsid w:val="541F321E"/>
    <w:rsid w:val="54297BF9"/>
    <w:rsid w:val="54336CC9"/>
    <w:rsid w:val="544863AE"/>
    <w:rsid w:val="544F3B03"/>
    <w:rsid w:val="54606BAB"/>
    <w:rsid w:val="546D5D37"/>
    <w:rsid w:val="549A4653"/>
    <w:rsid w:val="54BB2F47"/>
    <w:rsid w:val="54C6369A"/>
    <w:rsid w:val="54CD2C7A"/>
    <w:rsid w:val="54D97871"/>
    <w:rsid w:val="54E21DAA"/>
    <w:rsid w:val="55043940"/>
    <w:rsid w:val="550A7F28"/>
    <w:rsid w:val="551B70A5"/>
    <w:rsid w:val="552503C0"/>
    <w:rsid w:val="552705DC"/>
    <w:rsid w:val="55286102"/>
    <w:rsid w:val="552F56E3"/>
    <w:rsid w:val="553D1BAE"/>
    <w:rsid w:val="55456CB4"/>
    <w:rsid w:val="554C3B9F"/>
    <w:rsid w:val="556F3D31"/>
    <w:rsid w:val="55713605"/>
    <w:rsid w:val="55B160F8"/>
    <w:rsid w:val="55B41744"/>
    <w:rsid w:val="55BC4B16"/>
    <w:rsid w:val="55C47F91"/>
    <w:rsid w:val="55E56DFD"/>
    <w:rsid w:val="55F61D5C"/>
    <w:rsid w:val="56066443"/>
    <w:rsid w:val="56075D18"/>
    <w:rsid w:val="561072C2"/>
    <w:rsid w:val="5632548A"/>
    <w:rsid w:val="5637484F"/>
    <w:rsid w:val="564E1B99"/>
    <w:rsid w:val="56880EBA"/>
    <w:rsid w:val="56A95021"/>
    <w:rsid w:val="56B75990"/>
    <w:rsid w:val="56C2774C"/>
    <w:rsid w:val="56CD4470"/>
    <w:rsid w:val="56DF6C95"/>
    <w:rsid w:val="56EA18C1"/>
    <w:rsid w:val="570D735E"/>
    <w:rsid w:val="571E5A0F"/>
    <w:rsid w:val="5730129E"/>
    <w:rsid w:val="573C257E"/>
    <w:rsid w:val="57462870"/>
    <w:rsid w:val="57541431"/>
    <w:rsid w:val="575B456D"/>
    <w:rsid w:val="57633422"/>
    <w:rsid w:val="577B3D89"/>
    <w:rsid w:val="579637F7"/>
    <w:rsid w:val="57A203EE"/>
    <w:rsid w:val="57A37CC2"/>
    <w:rsid w:val="57AA1051"/>
    <w:rsid w:val="57D32355"/>
    <w:rsid w:val="57D61E46"/>
    <w:rsid w:val="58070251"/>
    <w:rsid w:val="5818245E"/>
    <w:rsid w:val="585860D3"/>
    <w:rsid w:val="585D4315"/>
    <w:rsid w:val="586025AF"/>
    <w:rsid w:val="588B70D4"/>
    <w:rsid w:val="58906498"/>
    <w:rsid w:val="58AB5080"/>
    <w:rsid w:val="58B77EC9"/>
    <w:rsid w:val="58CB5722"/>
    <w:rsid w:val="590824D3"/>
    <w:rsid w:val="5915699E"/>
    <w:rsid w:val="59736FAA"/>
    <w:rsid w:val="597731B4"/>
    <w:rsid w:val="59965D30"/>
    <w:rsid w:val="599B6EA3"/>
    <w:rsid w:val="59CA7788"/>
    <w:rsid w:val="59D35A30"/>
    <w:rsid w:val="59F4083F"/>
    <w:rsid w:val="59F42A57"/>
    <w:rsid w:val="5A1A070F"/>
    <w:rsid w:val="5A4F7C8D"/>
    <w:rsid w:val="5A643739"/>
    <w:rsid w:val="5A7140A7"/>
    <w:rsid w:val="5A9B74F7"/>
    <w:rsid w:val="5AA343F0"/>
    <w:rsid w:val="5ADF1011"/>
    <w:rsid w:val="5AFA5E4B"/>
    <w:rsid w:val="5B172EA1"/>
    <w:rsid w:val="5B174C4F"/>
    <w:rsid w:val="5B4812AC"/>
    <w:rsid w:val="5B5437AD"/>
    <w:rsid w:val="5B9C5154"/>
    <w:rsid w:val="5BA06984"/>
    <w:rsid w:val="5BB10BFF"/>
    <w:rsid w:val="5BB4249E"/>
    <w:rsid w:val="5BB97AB4"/>
    <w:rsid w:val="5BBC75A4"/>
    <w:rsid w:val="5BC30D7D"/>
    <w:rsid w:val="5BD7618C"/>
    <w:rsid w:val="5BD91F04"/>
    <w:rsid w:val="5C02145B"/>
    <w:rsid w:val="5C052CF9"/>
    <w:rsid w:val="5C0F5926"/>
    <w:rsid w:val="5C2E7D3B"/>
    <w:rsid w:val="5C4F21C6"/>
    <w:rsid w:val="5C5123E2"/>
    <w:rsid w:val="5C5138D1"/>
    <w:rsid w:val="5C514191"/>
    <w:rsid w:val="5C567C46"/>
    <w:rsid w:val="5C7D20F2"/>
    <w:rsid w:val="5C8A413B"/>
    <w:rsid w:val="5CD01559"/>
    <w:rsid w:val="5D001AFF"/>
    <w:rsid w:val="5D1A27D4"/>
    <w:rsid w:val="5D211DB5"/>
    <w:rsid w:val="5D23054D"/>
    <w:rsid w:val="5D2B0C05"/>
    <w:rsid w:val="5D577585"/>
    <w:rsid w:val="5D6D4FFA"/>
    <w:rsid w:val="5D7F0889"/>
    <w:rsid w:val="5D850596"/>
    <w:rsid w:val="5DB20C5F"/>
    <w:rsid w:val="5E162F9C"/>
    <w:rsid w:val="5E1B2CA8"/>
    <w:rsid w:val="5E413D91"/>
    <w:rsid w:val="5E436D30"/>
    <w:rsid w:val="5E4A0E97"/>
    <w:rsid w:val="5E551FB5"/>
    <w:rsid w:val="5E734892"/>
    <w:rsid w:val="5E7E2B8A"/>
    <w:rsid w:val="5E7E6D93"/>
    <w:rsid w:val="5E7F3237"/>
    <w:rsid w:val="5E993BCD"/>
    <w:rsid w:val="5EA74C25"/>
    <w:rsid w:val="5EBD78BB"/>
    <w:rsid w:val="5ED74F3B"/>
    <w:rsid w:val="5F0317FE"/>
    <w:rsid w:val="5F0454EA"/>
    <w:rsid w:val="5F122193"/>
    <w:rsid w:val="5F335DCF"/>
    <w:rsid w:val="5F385194"/>
    <w:rsid w:val="5F457FA8"/>
    <w:rsid w:val="5F533FAA"/>
    <w:rsid w:val="5F677827"/>
    <w:rsid w:val="5F7206A6"/>
    <w:rsid w:val="5F8959EF"/>
    <w:rsid w:val="5F8E1258"/>
    <w:rsid w:val="5F93061C"/>
    <w:rsid w:val="5FA8056B"/>
    <w:rsid w:val="5FB011CE"/>
    <w:rsid w:val="5FB07420"/>
    <w:rsid w:val="5FB82DF5"/>
    <w:rsid w:val="5FBA4A30"/>
    <w:rsid w:val="5FF732A1"/>
    <w:rsid w:val="602F6597"/>
    <w:rsid w:val="60563B24"/>
    <w:rsid w:val="6069670F"/>
    <w:rsid w:val="60806DF2"/>
    <w:rsid w:val="60B71EB3"/>
    <w:rsid w:val="60DA0BF8"/>
    <w:rsid w:val="60F60A35"/>
    <w:rsid w:val="60F72902"/>
    <w:rsid w:val="60FC0FD2"/>
    <w:rsid w:val="613C71BD"/>
    <w:rsid w:val="61616C24"/>
    <w:rsid w:val="616E1341"/>
    <w:rsid w:val="617526CF"/>
    <w:rsid w:val="618F4519"/>
    <w:rsid w:val="61B551C2"/>
    <w:rsid w:val="61B56F70"/>
    <w:rsid w:val="61E84BD9"/>
    <w:rsid w:val="61F21F72"/>
    <w:rsid w:val="620A196E"/>
    <w:rsid w:val="62570027"/>
    <w:rsid w:val="62593D9F"/>
    <w:rsid w:val="625D388F"/>
    <w:rsid w:val="628C5A67"/>
    <w:rsid w:val="62A0552A"/>
    <w:rsid w:val="62A52B40"/>
    <w:rsid w:val="62A80882"/>
    <w:rsid w:val="62B73743"/>
    <w:rsid w:val="62FA10DE"/>
    <w:rsid w:val="63422A85"/>
    <w:rsid w:val="634C0CCC"/>
    <w:rsid w:val="635D78BF"/>
    <w:rsid w:val="63780255"/>
    <w:rsid w:val="637A5D7B"/>
    <w:rsid w:val="63953D64"/>
    <w:rsid w:val="63CB65D6"/>
    <w:rsid w:val="63D07307"/>
    <w:rsid w:val="63D77671"/>
    <w:rsid w:val="63FF44D2"/>
    <w:rsid w:val="6416019A"/>
    <w:rsid w:val="641F6922"/>
    <w:rsid w:val="64216B3E"/>
    <w:rsid w:val="648C045C"/>
    <w:rsid w:val="64A14BE7"/>
    <w:rsid w:val="64A5151D"/>
    <w:rsid w:val="64C86FBA"/>
    <w:rsid w:val="64E57B6C"/>
    <w:rsid w:val="64EA5182"/>
    <w:rsid w:val="650049A6"/>
    <w:rsid w:val="65297A59"/>
    <w:rsid w:val="65362175"/>
    <w:rsid w:val="654E264B"/>
    <w:rsid w:val="655B7E2E"/>
    <w:rsid w:val="65762306"/>
    <w:rsid w:val="65764C68"/>
    <w:rsid w:val="65801E4E"/>
    <w:rsid w:val="65913850"/>
    <w:rsid w:val="659F41BF"/>
    <w:rsid w:val="66012DB4"/>
    <w:rsid w:val="661E1587"/>
    <w:rsid w:val="66285F62"/>
    <w:rsid w:val="66402D0B"/>
    <w:rsid w:val="6657748D"/>
    <w:rsid w:val="66632270"/>
    <w:rsid w:val="6663343E"/>
    <w:rsid w:val="66660838"/>
    <w:rsid w:val="667747F4"/>
    <w:rsid w:val="66952ECC"/>
    <w:rsid w:val="66AD46B9"/>
    <w:rsid w:val="66C12AF6"/>
    <w:rsid w:val="6759039D"/>
    <w:rsid w:val="67626648"/>
    <w:rsid w:val="677376B1"/>
    <w:rsid w:val="677671A1"/>
    <w:rsid w:val="678A5DDD"/>
    <w:rsid w:val="679D472E"/>
    <w:rsid w:val="67A4786A"/>
    <w:rsid w:val="67BD3D46"/>
    <w:rsid w:val="67E04B62"/>
    <w:rsid w:val="67F26828"/>
    <w:rsid w:val="681C38A5"/>
    <w:rsid w:val="682B1D3A"/>
    <w:rsid w:val="68633281"/>
    <w:rsid w:val="6874548F"/>
    <w:rsid w:val="687A05CB"/>
    <w:rsid w:val="6881195A"/>
    <w:rsid w:val="6884144A"/>
    <w:rsid w:val="688B27D8"/>
    <w:rsid w:val="688B4586"/>
    <w:rsid w:val="688E2EA8"/>
    <w:rsid w:val="689A0C6D"/>
    <w:rsid w:val="689F6284"/>
    <w:rsid w:val="68B00491"/>
    <w:rsid w:val="68D979E8"/>
    <w:rsid w:val="68F71C1C"/>
    <w:rsid w:val="692D1AE1"/>
    <w:rsid w:val="69392234"/>
    <w:rsid w:val="69456FB5"/>
    <w:rsid w:val="69496237"/>
    <w:rsid w:val="697C2E5E"/>
    <w:rsid w:val="698060B5"/>
    <w:rsid w:val="69894F6A"/>
    <w:rsid w:val="699F478D"/>
    <w:rsid w:val="69BE49D5"/>
    <w:rsid w:val="69C04704"/>
    <w:rsid w:val="69CA10DE"/>
    <w:rsid w:val="6A1D56B2"/>
    <w:rsid w:val="6A3A6264"/>
    <w:rsid w:val="6A537C4E"/>
    <w:rsid w:val="6A887017"/>
    <w:rsid w:val="6A8D0A8A"/>
    <w:rsid w:val="6A902328"/>
    <w:rsid w:val="6AB029CA"/>
    <w:rsid w:val="6AC33DB7"/>
    <w:rsid w:val="6AD439D8"/>
    <w:rsid w:val="6AD62431"/>
    <w:rsid w:val="6AD70C43"/>
    <w:rsid w:val="6AFC176B"/>
    <w:rsid w:val="6B0074AE"/>
    <w:rsid w:val="6B1D005F"/>
    <w:rsid w:val="6B43383E"/>
    <w:rsid w:val="6B517D09"/>
    <w:rsid w:val="6B66073E"/>
    <w:rsid w:val="6B6712DB"/>
    <w:rsid w:val="6B8C2AEF"/>
    <w:rsid w:val="6B8E2D0B"/>
    <w:rsid w:val="6BA77929"/>
    <w:rsid w:val="6BAD4363"/>
    <w:rsid w:val="6BD149A6"/>
    <w:rsid w:val="6BD70DED"/>
    <w:rsid w:val="6BD7311B"/>
    <w:rsid w:val="6BE91CF0"/>
    <w:rsid w:val="6BF80185"/>
    <w:rsid w:val="6BFC0521"/>
    <w:rsid w:val="6BFF7765"/>
    <w:rsid w:val="6C3311BD"/>
    <w:rsid w:val="6C686B68"/>
    <w:rsid w:val="6C6D0B73"/>
    <w:rsid w:val="6C9E6F7E"/>
    <w:rsid w:val="6CAE4CE7"/>
    <w:rsid w:val="6CB542C8"/>
    <w:rsid w:val="6CDC7AA6"/>
    <w:rsid w:val="6CE64481"/>
    <w:rsid w:val="6D064B23"/>
    <w:rsid w:val="6D512242"/>
    <w:rsid w:val="6D5D0BE7"/>
    <w:rsid w:val="6D5E495F"/>
    <w:rsid w:val="6D5E670D"/>
    <w:rsid w:val="6DAB3DC3"/>
    <w:rsid w:val="6DAF51FF"/>
    <w:rsid w:val="6DBC3DBA"/>
    <w:rsid w:val="6DBE0F5A"/>
    <w:rsid w:val="6DCC0111"/>
    <w:rsid w:val="6E1868F0"/>
    <w:rsid w:val="6E31797E"/>
    <w:rsid w:val="6E4C47B8"/>
    <w:rsid w:val="6E5042A8"/>
    <w:rsid w:val="6E6E472E"/>
    <w:rsid w:val="6E7F2DDF"/>
    <w:rsid w:val="6E873A42"/>
    <w:rsid w:val="6EA14120"/>
    <w:rsid w:val="6EC16F54"/>
    <w:rsid w:val="6EF74724"/>
    <w:rsid w:val="6F152CAB"/>
    <w:rsid w:val="6F2968A7"/>
    <w:rsid w:val="6F403790"/>
    <w:rsid w:val="6F463865"/>
    <w:rsid w:val="6F494FB7"/>
    <w:rsid w:val="6F5266FB"/>
    <w:rsid w:val="6F7C2E7B"/>
    <w:rsid w:val="6F8D3F04"/>
    <w:rsid w:val="6FA65ECF"/>
    <w:rsid w:val="6FEC0000"/>
    <w:rsid w:val="70135A4D"/>
    <w:rsid w:val="70147557"/>
    <w:rsid w:val="70553DF8"/>
    <w:rsid w:val="705931BC"/>
    <w:rsid w:val="70622071"/>
    <w:rsid w:val="707757E9"/>
    <w:rsid w:val="70C04FE9"/>
    <w:rsid w:val="70C20D61"/>
    <w:rsid w:val="70F058CE"/>
    <w:rsid w:val="70F51137"/>
    <w:rsid w:val="70F96E79"/>
    <w:rsid w:val="70FD7FEB"/>
    <w:rsid w:val="70FE623D"/>
    <w:rsid w:val="711D0999"/>
    <w:rsid w:val="71431EA2"/>
    <w:rsid w:val="714F6A99"/>
    <w:rsid w:val="718129CA"/>
    <w:rsid w:val="719426FE"/>
    <w:rsid w:val="71A462ED"/>
    <w:rsid w:val="71C034F3"/>
    <w:rsid w:val="71C476E3"/>
    <w:rsid w:val="71E371E1"/>
    <w:rsid w:val="71E82A49"/>
    <w:rsid w:val="71E847F7"/>
    <w:rsid w:val="71FD4747"/>
    <w:rsid w:val="72255A4C"/>
    <w:rsid w:val="722649B3"/>
    <w:rsid w:val="72312642"/>
    <w:rsid w:val="723637B5"/>
    <w:rsid w:val="72616EBB"/>
    <w:rsid w:val="728843A6"/>
    <w:rsid w:val="728A32EA"/>
    <w:rsid w:val="72CA46A5"/>
    <w:rsid w:val="72E8679E"/>
    <w:rsid w:val="730E028E"/>
    <w:rsid w:val="731A30D6"/>
    <w:rsid w:val="734463A5"/>
    <w:rsid w:val="734C0DB6"/>
    <w:rsid w:val="735A58A1"/>
    <w:rsid w:val="735F0AE9"/>
    <w:rsid w:val="73682094"/>
    <w:rsid w:val="739509AF"/>
    <w:rsid w:val="73966C01"/>
    <w:rsid w:val="73B07597"/>
    <w:rsid w:val="73BE1CB4"/>
    <w:rsid w:val="73CB44C1"/>
    <w:rsid w:val="73ED2599"/>
    <w:rsid w:val="73F416D3"/>
    <w:rsid w:val="7420471D"/>
    <w:rsid w:val="74277859"/>
    <w:rsid w:val="745B5755"/>
    <w:rsid w:val="745D327B"/>
    <w:rsid w:val="74816EB6"/>
    <w:rsid w:val="74884070"/>
    <w:rsid w:val="748C590E"/>
    <w:rsid w:val="74AA2238"/>
    <w:rsid w:val="74AB66DC"/>
    <w:rsid w:val="74AB7552"/>
    <w:rsid w:val="750E6C6B"/>
    <w:rsid w:val="752E10BB"/>
    <w:rsid w:val="75472D8D"/>
    <w:rsid w:val="754E7067"/>
    <w:rsid w:val="75A86778"/>
    <w:rsid w:val="75B3511C"/>
    <w:rsid w:val="75C25336"/>
    <w:rsid w:val="75CA2B92"/>
    <w:rsid w:val="75D67789"/>
    <w:rsid w:val="75D7705D"/>
    <w:rsid w:val="75F419BD"/>
    <w:rsid w:val="7621652A"/>
    <w:rsid w:val="762D1373"/>
    <w:rsid w:val="76354CB4"/>
    <w:rsid w:val="763A5A2E"/>
    <w:rsid w:val="765C7752"/>
    <w:rsid w:val="768216BE"/>
    <w:rsid w:val="76A827A7"/>
    <w:rsid w:val="76AA7F18"/>
    <w:rsid w:val="76C27D0D"/>
    <w:rsid w:val="76CE58CD"/>
    <w:rsid w:val="76D417EE"/>
    <w:rsid w:val="76F01821"/>
    <w:rsid w:val="770976EA"/>
    <w:rsid w:val="77106CCA"/>
    <w:rsid w:val="77470212"/>
    <w:rsid w:val="77770AF7"/>
    <w:rsid w:val="777A2396"/>
    <w:rsid w:val="77B05DB7"/>
    <w:rsid w:val="77DD5079"/>
    <w:rsid w:val="77DF044B"/>
    <w:rsid w:val="77E837A3"/>
    <w:rsid w:val="77FE4D75"/>
    <w:rsid w:val="781520BE"/>
    <w:rsid w:val="781A1483"/>
    <w:rsid w:val="783E3A02"/>
    <w:rsid w:val="78434E7D"/>
    <w:rsid w:val="78454752"/>
    <w:rsid w:val="78943F6D"/>
    <w:rsid w:val="78A33B85"/>
    <w:rsid w:val="78AC657F"/>
    <w:rsid w:val="78C45792"/>
    <w:rsid w:val="78C7160B"/>
    <w:rsid w:val="78E026CC"/>
    <w:rsid w:val="78E73A5B"/>
    <w:rsid w:val="78FE2B52"/>
    <w:rsid w:val="79002D6F"/>
    <w:rsid w:val="790740FD"/>
    <w:rsid w:val="79183C14"/>
    <w:rsid w:val="791A5BDE"/>
    <w:rsid w:val="79246A5D"/>
    <w:rsid w:val="792B7DEB"/>
    <w:rsid w:val="7931117A"/>
    <w:rsid w:val="794F33AE"/>
    <w:rsid w:val="79501600"/>
    <w:rsid w:val="79507AB6"/>
    <w:rsid w:val="79733540"/>
    <w:rsid w:val="79883A5F"/>
    <w:rsid w:val="79B80F53"/>
    <w:rsid w:val="79EF21D4"/>
    <w:rsid w:val="79F521A7"/>
    <w:rsid w:val="7A067F11"/>
    <w:rsid w:val="7A1268B5"/>
    <w:rsid w:val="7A432F13"/>
    <w:rsid w:val="7A4456B4"/>
    <w:rsid w:val="7A831561"/>
    <w:rsid w:val="7A8E473B"/>
    <w:rsid w:val="7A996FD7"/>
    <w:rsid w:val="7AA00365"/>
    <w:rsid w:val="7AAD2A82"/>
    <w:rsid w:val="7ABE07EB"/>
    <w:rsid w:val="7ABE6923"/>
    <w:rsid w:val="7AE63625"/>
    <w:rsid w:val="7AF81F4F"/>
    <w:rsid w:val="7AFB1658"/>
    <w:rsid w:val="7B713AB0"/>
    <w:rsid w:val="7B7D4202"/>
    <w:rsid w:val="7B7F481D"/>
    <w:rsid w:val="7B8F3F36"/>
    <w:rsid w:val="7B9A4DB4"/>
    <w:rsid w:val="7BAB0D70"/>
    <w:rsid w:val="7BB75966"/>
    <w:rsid w:val="7BD1454E"/>
    <w:rsid w:val="7BEC1388"/>
    <w:rsid w:val="7C110C5B"/>
    <w:rsid w:val="7C127041"/>
    <w:rsid w:val="7C2D79D7"/>
    <w:rsid w:val="7C2E19A1"/>
    <w:rsid w:val="7C2E374F"/>
    <w:rsid w:val="7C370855"/>
    <w:rsid w:val="7C4C668F"/>
    <w:rsid w:val="7C5238E1"/>
    <w:rsid w:val="7C63164A"/>
    <w:rsid w:val="7C9C2DAE"/>
    <w:rsid w:val="7CCC3693"/>
    <w:rsid w:val="7CCD740C"/>
    <w:rsid w:val="7CD67752"/>
    <w:rsid w:val="7D162DCD"/>
    <w:rsid w:val="7D2019F3"/>
    <w:rsid w:val="7D221505"/>
    <w:rsid w:val="7DB639FC"/>
    <w:rsid w:val="7DBB7264"/>
    <w:rsid w:val="7DBE3BDC"/>
    <w:rsid w:val="7DC24A6B"/>
    <w:rsid w:val="7DD65E4C"/>
    <w:rsid w:val="7E417769"/>
    <w:rsid w:val="7E4B4712"/>
    <w:rsid w:val="7E5356EF"/>
    <w:rsid w:val="7E6873EC"/>
    <w:rsid w:val="7E786F03"/>
    <w:rsid w:val="7E835FD4"/>
    <w:rsid w:val="7E837D82"/>
    <w:rsid w:val="7E891110"/>
    <w:rsid w:val="7E8B4DC2"/>
    <w:rsid w:val="7EA85A3A"/>
    <w:rsid w:val="7EBC7738"/>
    <w:rsid w:val="7EC64112"/>
    <w:rsid w:val="7EDD7D0C"/>
    <w:rsid w:val="7F2826D7"/>
    <w:rsid w:val="7F8E4C30"/>
    <w:rsid w:val="7FA06711"/>
    <w:rsid w:val="7FB126CD"/>
    <w:rsid w:val="7FBA5A25"/>
    <w:rsid w:val="7FC65050"/>
    <w:rsid w:val="7FEA3E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semiHidden/>
    <w:unhideWhenUsed/>
    <w:qFormat/>
    <w:uiPriority w:val="99"/>
    <w:pPr>
      <w:spacing w:after="120"/>
    </w:pPr>
  </w:style>
  <w:style w:type="paragraph" w:styleId="3">
    <w:name w:val="toc 3"/>
    <w:basedOn w:val="1"/>
    <w:next w:val="1"/>
    <w:qFormat/>
    <w:uiPriority w:val="0"/>
    <w:pPr>
      <w:ind w:left="840" w:leftChars="4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9">
    <w:name w:val="Body Text First Indent"/>
    <w:basedOn w:val="2"/>
    <w:unhideWhenUsed/>
    <w:qFormat/>
    <w:uiPriority w:val="99"/>
    <w:pPr>
      <w:ind w:firstLine="420" w:firstLineChars="1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Emphasis"/>
    <w:basedOn w:val="12"/>
    <w:qFormat/>
    <w:uiPriority w:val="0"/>
    <w:rPr>
      <w:i/>
    </w:rPr>
  </w:style>
  <w:style w:type="character" w:customStyle="1" w:styleId="15">
    <w:name w:val="font31"/>
    <w:basedOn w:val="12"/>
    <w:qFormat/>
    <w:uiPriority w:val="0"/>
    <w:rPr>
      <w:rFonts w:hint="eastAsia" w:ascii="宋体" w:hAnsi="宋体" w:eastAsia="宋体" w:cs="宋体"/>
      <w:color w:val="000000"/>
      <w:sz w:val="18"/>
      <w:szCs w:val="18"/>
      <w:u w:val="none"/>
    </w:rPr>
  </w:style>
  <w:style w:type="character" w:customStyle="1" w:styleId="16">
    <w:name w:val="font41"/>
    <w:basedOn w:val="12"/>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pn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102</Pages>
  <Words>9045</Words>
  <Characters>9508</Characters>
  <Lines>0</Lines>
  <Paragraphs>0</Paragraphs>
  <TotalTime>1</TotalTime>
  <ScaleCrop>false</ScaleCrop>
  <LinksUpToDate>false</LinksUpToDate>
  <CharactersWithSpaces>9671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2025-12-11T08:04:00Z</dcterms:created>
  <dc:creator>艺</dc:creator>
  <cp:lastModifiedBy>小百合</cp:lastModifiedBy>
  <dcterms:modified xsi:type="dcterms:W3CDTF">2025-12-29T01:39:46Z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BA5E4EDCFC2D44A19B1BE1114B3BFB27_13</vt:lpwstr>
  </property>
  <property fmtid="{D5CDD505-2E9C-101B-9397-08002B2CF9AE}" pid="4" name="KSOTemplateDocerSaveRecord">
    <vt:lpwstr>eyJoZGlkIjoiNjFiYWRkODkwNmJiOGVlMGM0Y2Q5ZmU2NWYwMDZmNmUiLCJ1c2VySWQiOiIzOTMyMDI4MTgifQ==</vt:lpwstr>
  </property>
</Properties>
</file>