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A2F7B">
      <w:pPr>
        <w:numPr>
          <w:ilvl w:val="0"/>
          <w:numId w:val="0"/>
        </w:numPr>
        <w:spacing w:line="360" w:lineRule="auto"/>
        <w:jc w:val="both"/>
        <w:rPr>
          <w:rFonts w:hint="eastAsia" w:ascii="宋体" w:hAnsi="宋体" w:eastAsia="宋体" w:cs="宋体"/>
          <w:b/>
          <w:bCs/>
          <w:color w:val="000000" w:themeColor="text1"/>
          <w:sz w:val="28"/>
          <w:szCs w:val="28"/>
          <w14:textFill>
            <w14:solidFill>
              <w14:schemeClr w14:val="tx1"/>
            </w14:solidFill>
          </w14:textFill>
        </w:rPr>
      </w:pPr>
      <w:bookmarkStart w:id="39" w:name="_GoBack"/>
      <w:bookmarkEnd w:id="39"/>
    </w:p>
    <w:p w14:paraId="6DA91165">
      <w:pPr>
        <w:numPr>
          <w:ilvl w:val="0"/>
          <w:numId w:val="0"/>
        </w:numPr>
        <w:spacing w:line="36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三门峡市陕州区退役军人事务局</w:t>
      </w:r>
    </w:p>
    <w:p w14:paraId="0A544981">
      <w:pPr>
        <w:numPr>
          <w:ilvl w:val="0"/>
          <w:numId w:val="0"/>
        </w:numPr>
        <w:spacing w:line="36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优抚对象补助经费</w:t>
      </w:r>
    </w:p>
    <w:p w14:paraId="6B6BEC41">
      <w:pPr>
        <w:numPr>
          <w:ilvl w:val="0"/>
          <w:numId w:val="0"/>
        </w:numPr>
        <w:spacing w:line="360" w:lineRule="auto"/>
        <w:jc w:val="center"/>
        <w:rPr>
          <w:rFonts w:hint="eastAsia" w:ascii="宋体" w:hAnsi="宋体" w:eastAsia="宋体" w:cs="宋体"/>
          <w:b/>
          <w:bCs/>
          <w:color w:val="000000" w:themeColor="text1"/>
          <w:sz w:val="36"/>
          <w:szCs w:val="36"/>
          <w:lang w:val="en-US" w:eastAsia="zh-CN"/>
          <w14:textFill>
            <w14:solidFill>
              <w14:schemeClr w14:val="tx1"/>
            </w14:solidFill>
          </w14:textFill>
        </w:rPr>
      </w:pPr>
      <w:r>
        <w:rPr>
          <w:rFonts w:hint="eastAsia" w:ascii="宋体" w:hAnsi="宋体" w:eastAsia="宋体" w:cs="宋体"/>
          <w:b/>
          <w:bCs/>
          <w:color w:val="000000" w:themeColor="text1"/>
          <w:sz w:val="36"/>
          <w:szCs w:val="36"/>
          <w:lang w:val="en-US" w:eastAsia="zh-CN"/>
          <w14:textFill>
            <w14:solidFill>
              <w14:schemeClr w14:val="tx1"/>
            </w14:solidFill>
          </w14:textFill>
        </w:rPr>
        <w:t>绩效评价报告</w:t>
      </w:r>
    </w:p>
    <w:p w14:paraId="5D5AA035">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6A288DB5">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70F3EE86">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000D5CF6">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424D5A03">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31AD5F6F">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2504AC2B">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733CFBD7">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37053F24">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058CADC1">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5AA6CBD3">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60C366AA">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2FC6B223">
      <w:pPr>
        <w:numPr>
          <w:ilvl w:val="0"/>
          <w:numId w:val="0"/>
        </w:numPr>
        <w:spacing w:line="360" w:lineRule="auto"/>
        <w:jc w:val="center"/>
        <w:rPr>
          <w:rFonts w:hint="eastAsia" w:ascii="宋体" w:hAnsi="宋体" w:eastAsia="宋体" w:cs="宋体"/>
          <w:b/>
          <w:bCs/>
          <w:color w:val="000000" w:themeColor="text1"/>
          <w:sz w:val="28"/>
          <w:szCs w:val="28"/>
          <w14:textFill>
            <w14:solidFill>
              <w14:schemeClr w14:val="tx1"/>
            </w14:solidFill>
          </w14:textFill>
        </w:rPr>
      </w:pPr>
    </w:p>
    <w:p w14:paraId="38F1524A">
      <w:pPr>
        <w:numPr>
          <w:ilvl w:val="0"/>
          <w:numId w:val="0"/>
        </w:numPr>
        <w:spacing w:line="360" w:lineRule="auto"/>
        <w:ind w:firstLine="1124" w:firstLineChars="400"/>
        <w:jc w:val="left"/>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实施单位：三门峡市陕州区退役军人事务局</w:t>
      </w:r>
    </w:p>
    <w:p w14:paraId="2232732D">
      <w:pPr>
        <w:numPr>
          <w:ilvl w:val="0"/>
          <w:numId w:val="0"/>
        </w:numPr>
        <w:spacing w:line="360" w:lineRule="auto"/>
        <w:ind w:firstLine="1124" w:firstLineChars="400"/>
        <w:jc w:val="left"/>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委托单位：三门峡市陕州区财政局</w:t>
      </w:r>
    </w:p>
    <w:p w14:paraId="17B3C944">
      <w:pPr>
        <w:numPr>
          <w:ilvl w:val="0"/>
          <w:numId w:val="0"/>
        </w:numPr>
        <w:spacing w:line="360" w:lineRule="auto"/>
        <w:ind w:firstLine="1124" w:firstLineChars="400"/>
        <w:jc w:val="left"/>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评价单位：河南德友会计师事务所（普通合伙）</w:t>
      </w:r>
    </w:p>
    <w:p w14:paraId="607AACC4">
      <w:pPr>
        <w:numPr>
          <w:ilvl w:val="0"/>
          <w:numId w:val="0"/>
        </w:numPr>
        <w:spacing w:line="360" w:lineRule="auto"/>
        <w:ind w:firstLine="1124" w:firstLineChars="400"/>
        <w:jc w:val="left"/>
        <w:rPr>
          <w:rFonts w:hint="default" w:ascii="宋体" w:hAnsi="宋体" w:eastAsia="宋体" w:cs="宋体"/>
          <w:b/>
          <w:bCs/>
          <w:color w:val="000000" w:themeColor="text1"/>
          <w:sz w:val="28"/>
          <w:szCs w:val="28"/>
          <w:lang w:val="en-US"/>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评价日期：2025年12月</w:t>
      </w:r>
      <w:r>
        <w:rPr>
          <w:rFonts w:hint="eastAsia" w:ascii="宋体" w:hAnsi="宋体" w:cs="宋体"/>
          <w:b/>
          <w:bCs/>
          <w:color w:val="000000" w:themeColor="text1"/>
          <w:sz w:val="28"/>
          <w:szCs w:val="28"/>
          <w:lang w:val="en-US" w:eastAsia="zh-CN"/>
          <w14:textFill>
            <w14:solidFill>
              <w14:schemeClr w14:val="tx1"/>
            </w14:solidFill>
          </w14:textFill>
        </w:rPr>
        <w:t>23日</w:t>
      </w:r>
    </w:p>
    <w:p w14:paraId="6A05D4EC">
      <w:pPr>
        <w:numPr>
          <w:ilvl w:val="0"/>
          <w:numId w:val="0"/>
        </w:numPr>
        <w:spacing w:line="360" w:lineRule="auto"/>
        <w:jc w:val="both"/>
        <w:rPr>
          <w:rFonts w:hint="eastAsia" w:ascii="宋体" w:hAnsi="宋体" w:eastAsia="宋体" w:cs="宋体"/>
          <w:b/>
          <w:bCs/>
          <w:color w:val="000000" w:themeColor="text1"/>
          <w:sz w:val="28"/>
          <w:szCs w:val="28"/>
          <w14:textFill>
            <w14:solidFill>
              <w14:schemeClr w14:val="tx1"/>
            </w14:solidFill>
          </w14:textFill>
        </w:rPr>
      </w:pPr>
    </w:p>
    <w:sdt>
      <w:sdtPr>
        <w:rPr>
          <w:rFonts w:ascii="宋体" w:hAnsi="宋体" w:eastAsia="宋体" w:cs="Calibri"/>
          <w:kern w:val="2"/>
          <w:sz w:val="28"/>
          <w:szCs w:val="28"/>
          <w:lang w:val="en-US" w:eastAsia="zh-CN" w:bidi="ar-SA"/>
        </w:rPr>
        <w:id w:val="147474101"/>
        <w15:color w:val="DBDBDB"/>
        <w:docPartObj>
          <w:docPartGallery w:val="Table of Contents"/>
          <w:docPartUnique/>
        </w:docPartObj>
      </w:sdtPr>
      <w:sdtEndPr>
        <w:rPr>
          <w:rFonts w:hint="eastAsia" w:ascii="宋体" w:hAnsi="宋体" w:eastAsia="宋体" w:cs="宋体"/>
          <w:bCs/>
          <w:color w:val="000000" w:themeColor="text1"/>
          <w:kern w:val="2"/>
          <w:sz w:val="21"/>
          <w:szCs w:val="28"/>
          <w:lang w:val="en-US" w:eastAsia="zh-CN" w:bidi="ar-SA"/>
          <w14:textFill>
            <w14:solidFill>
              <w14:schemeClr w14:val="tx1"/>
            </w14:solidFill>
          </w14:textFill>
        </w:rPr>
      </w:sdtEndPr>
      <w:sdtContent>
        <w:p w14:paraId="61DCC9A4">
          <w:pPr>
            <w:spacing w:before="0" w:beforeLines="0" w:after="0" w:afterLines="0" w:line="360" w:lineRule="auto"/>
            <w:ind w:left="0" w:leftChars="0" w:right="0" w:rightChars="0" w:firstLine="0" w:firstLineChars="0"/>
            <w:jc w:val="center"/>
            <w:rPr>
              <w:rFonts w:hint="eastAsia" w:ascii="宋体" w:hAnsi="宋体" w:eastAsia="宋体" w:cs="宋体"/>
              <w:sz w:val="28"/>
              <w:szCs w:val="28"/>
            </w:rPr>
          </w:pPr>
          <w:r>
            <w:rPr>
              <w:rFonts w:hint="eastAsia" w:ascii="宋体" w:hAnsi="宋体" w:eastAsia="宋体" w:cs="宋体"/>
              <w:sz w:val="28"/>
              <w:szCs w:val="28"/>
            </w:rPr>
            <w:t>目</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录</w:t>
          </w:r>
        </w:p>
        <w:p w14:paraId="1575981E">
          <w:pPr>
            <w:pStyle w:val="8"/>
            <w:tabs>
              <w:tab w:val="right" w:leader="dot" w:pos="8306"/>
            </w:tabs>
          </w:pPr>
          <w:r>
            <w:rPr>
              <w:rFonts w:hint="eastAsia" w:ascii="宋体" w:hAnsi="宋体" w:eastAsia="宋体" w:cs="宋体"/>
              <w:b/>
              <w:bCs/>
              <w:color w:val="000000" w:themeColor="text1"/>
              <w:sz w:val="24"/>
              <w:szCs w:val="24"/>
              <w14:textFill>
                <w14:solidFill>
                  <w14:schemeClr w14:val="tx1"/>
                </w14:solidFill>
              </w14:textFill>
            </w:rPr>
            <w:fldChar w:fldCharType="begin"/>
          </w:r>
          <w:r>
            <w:rPr>
              <w:rFonts w:hint="eastAsia" w:ascii="宋体" w:hAnsi="宋体" w:eastAsia="宋体" w:cs="宋体"/>
              <w:b/>
              <w:bCs/>
              <w:color w:val="000000" w:themeColor="text1"/>
              <w:sz w:val="24"/>
              <w:szCs w:val="24"/>
              <w14:textFill>
                <w14:solidFill>
                  <w14:schemeClr w14:val="tx1"/>
                </w14:solidFill>
              </w14:textFill>
            </w:rPr>
            <w:instrText xml:space="preserve">TOC \o "1-3" \h \u </w:instrText>
          </w:r>
          <w:r>
            <w:rPr>
              <w:rFonts w:hint="eastAsia" w:ascii="宋体" w:hAnsi="宋体" w:eastAsia="宋体" w:cs="宋体"/>
              <w:b/>
              <w:bCs/>
              <w:color w:val="000000" w:themeColor="text1"/>
              <w:sz w:val="24"/>
              <w:szCs w:val="24"/>
              <w14:textFill>
                <w14:solidFill>
                  <w14:schemeClr w14:val="tx1"/>
                </w14:solidFill>
              </w14:textFill>
            </w:rPr>
            <w:fldChar w:fldCharType="separate"/>
          </w: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_Toc28475 </w:instrText>
          </w:r>
          <w:r>
            <w:rPr>
              <w:rFonts w:hint="eastAsia" w:ascii="宋体" w:hAnsi="宋体" w:eastAsia="宋体" w:cs="宋体"/>
              <w:bCs/>
              <w:szCs w:val="24"/>
            </w:rPr>
            <w:fldChar w:fldCharType="separate"/>
          </w:r>
          <w:r>
            <w:rPr>
              <w:rFonts w:hint="eastAsia" w:ascii="宋体" w:hAnsi="宋体" w:eastAsia="宋体" w:cs="宋体"/>
              <w:bCs/>
              <w:szCs w:val="28"/>
            </w:rPr>
            <w:t xml:space="preserve">一、 </w:t>
          </w:r>
          <w:r>
            <w:rPr>
              <w:rFonts w:hint="eastAsia" w:ascii="宋体" w:hAnsi="宋体" w:eastAsia="宋体" w:cs="宋体"/>
              <w:bCs/>
              <w:snapToGrid w:val="0"/>
              <w:kern w:val="0"/>
              <w:szCs w:val="28"/>
            </w:rPr>
            <w:t>概述</w:t>
          </w:r>
          <w:r>
            <w:tab/>
          </w:r>
          <w:r>
            <w:fldChar w:fldCharType="begin"/>
          </w:r>
          <w:r>
            <w:instrText xml:space="preserve"> PAGEREF _Toc28475 \h </w:instrText>
          </w:r>
          <w:r>
            <w:fldChar w:fldCharType="separate"/>
          </w:r>
          <w:r>
            <w:t>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626EEB30">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_Toc30206 </w:instrText>
          </w:r>
          <w:r>
            <w:rPr>
              <w:rFonts w:hint="eastAsia" w:ascii="宋体" w:hAnsi="宋体" w:eastAsia="宋体" w:cs="宋体"/>
              <w:bCs/>
              <w:szCs w:val="24"/>
            </w:rPr>
            <w:fldChar w:fldCharType="separate"/>
          </w:r>
          <w:r>
            <w:rPr>
              <w:rFonts w:hint="eastAsia" w:ascii="宋体" w:hAnsi="宋体" w:eastAsia="宋体" w:cs="宋体"/>
              <w:kern w:val="44"/>
              <w:szCs w:val="28"/>
            </w:rPr>
            <w:t>（一） 项目单位基本情况</w:t>
          </w:r>
          <w:r>
            <w:tab/>
          </w:r>
          <w:r>
            <w:fldChar w:fldCharType="begin"/>
          </w:r>
          <w:r>
            <w:instrText xml:space="preserve"> PAGEREF _Toc30206 \h </w:instrText>
          </w:r>
          <w:r>
            <w:fldChar w:fldCharType="separate"/>
          </w:r>
          <w:r>
            <w:t>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B267E3B">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_Toc5972 </w:instrText>
          </w:r>
          <w:r>
            <w:rPr>
              <w:rFonts w:hint="eastAsia" w:ascii="宋体" w:hAnsi="宋体" w:eastAsia="宋体" w:cs="宋体"/>
              <w:bCs/>
              <w:szCs w:val="24"/>
            </w:rPr>
            <w:fldChar w:fldCharType="separate"/>
          </w:r>
          <w:r>
            <w:rPr>
              <w:rFonts w:hint="eastAsia" w:ascii="宋体" w:hAnsi="宋体" w:eastAsia="宋体" w:cs="宋体"/>
              <w:kern w:val="44"/>
              <w:szCs w:val="28"/>
            </w:rPr>
            <w:t xml:space="preserve">（二） </w:t>
          </w:r>
          <w:r>
            <w:rPr>
              <w:rFonts w:hint="eastAsia" w:ascii="宋体" w:hAnsi="宋体" w:eastAsia="宋体" w:cs="宋体"/>
              <w:kern w:val="44"/>
              <w:szCs w:val="28"/>
              <w:lang w:val="en-US" w:eastAsia="zh-CN"/>
            </w:rPr>
            <w:t>项目单位</w:t>
          </w:r>
          <w:r>
            <w:rPr>
              <w:rFonts w:hint="eastAsia" w:ascii="宋体" w:hAnsi="宋体" w:eastAsia="宋体" w:cs="宋体"/>
              <w:kern w:val="44"/>
              <w:szCs w:val="28"/>
            </w:rPr>
            <w:t>机构组成</w:t>
          </w:r>
          <w:r>
            <w:tab/>
          </w:r>
          <w:r>
            <w:fldChar w:fldCharType="begin"/>
          </w:r>
          <w:r>
            <w:instrText xml:space="preserve"> PAGEREF _Toc5972 \h </w:instrText>
          </w:r>
          <w:r>
            <w:fldChar w:fldCharType="separate"/>
          </w:r>
          <w:r>
            <w:t>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794C284">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_Toc10081 </w:instrText>
          </w:r>
          <w:r>
            <w:rPr>
              <w:rFonts w:hint="eastAsia" w:ascii="宋体" w:hAnsi="宋体" w:eastAsia="宋体" w:cs="宋体"/>
              <w:bCs/>
              <w:szCs w:val="24"/>
            </w:rPr>
            <w:fldChar w:fldCharType="separate"/>
          </w:r>
          <w:r>
            <w:rPr>
              <w:rFonts w:hint="eastAsia" w:ascii="宋体" w:hAnsi="宋体" w:eastAsia="宋体" w:cs="宋体"/>
              <w:kern w:val="44"/>
              <w:szCs w:val="28"/>
            </w:rPr>
            <w:t xml:space="preserve">（三） </w:t>
          </w:r>
          <w:r>
            <w:rPr>
              <w:rFonts w:hint="eastAsia" w:ascii="宋体" w:hAnsi="宋体" w:eastAsia="宋体" w:cs="宋体"/>
              <w:kern w:val="44"/>
              <w:szCs w:val="28"/>
              <w:lang w:val="en-US" w:eastAsia="zh-CN"/>
            </w:rPr>
            <w:t>项目单位</w:t>
          </w:r>
          <w:r>
            <w:rPr>
              <w:rFonts w:hint="eastAsia" w:ascii="宋体" w:hAnsi="宋体" w:eastAsia="宋体" w:cs="宋体"/>
              <w:kern w:val="44"/>
              <w:szCs w:val="28"/>
            </w:rPr>
            <w:t>主要职责</w:t>
          </w:r>
          <w:r>
            <w:tab/>
          </w:r>
          <w:r>
            <w:fldChar w:fldCharType="begin"/>
          </w:r>
          <w:r>
            <w:instrText xml:space="preserve"> PAGEREF _Toc10081 \h </w:instrText>
          </w:r>
          <w:r>
            <w:fldChar w:fldCharType="separate"/>
          </w:r>
          <w:r>
            <w:t>3</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575D47B">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_Toc7229 </w:instrText>
          </w:r>
          <w:r>
            <w:rPr>
              <w:rFonts w:hint="eastAsia" w:ascii="宋体" w:hAnsi="宋体" w:eastAsia="宋体" w:cs="宋体"/>
              <w:bCs/>
              <w:szCs w:val="24"/>
            </w:rPr>
            <w:fldChar w:fldCharType="separate"/>
          </w:r>
          <w:r>
            <w:rPr>
              <w:rFonts w:hint="eastAsia" w:ascii="宋体" w:hAnsi="宋体" w:eastAsia="宋体" w:cs="宋体"/>
              <w:kern w:val="44"/>
              <w:szCs w:val="28"/>
            </w:rPr>
            <w:t xml:space="preserve">（四） </w:t>
          </w:r>
          <w:r>
            <w:rPr>
              <w:rFonts w:hint="eastAsia" w:ascii="宋体" w:hAnsi="宋体" w:eastAsia="宋体" w:cs="宋体"/>
              <w:kern w:val="44"/>
              <w:szCs w:val="28"/>
              <w:highlight w:val="none"/>
            </w:rPr>
            <w:t>项目概况</w:t>
          </w:r>
          <w:r>
            <w:tab/>
          </w:r>
          <w:r>
            <w:fldChar w:fldCharType="begin"/>
          </w:r>
          <w:r>
            <w:instrText xml:space="preserve"> PAGEREF _Toc7229 \h </w:instrText>
          </w:r>
          <w:r>
            <w:fldChar w:fldCharType="separate"/>
          </w:r>
          <w:r>
            <w:t>6</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28499FB">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_Toc2828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1． </w:t>
          </w:r>
          <w:r>
            <w:rPr>
              <w:rFonts w:hint="eastAsia" w:ascii="宋体" w:hAnsi="宋体" w:eastAsia="宋体" w:cs="宋体"/>
              <w:kern w:val="44"/>
              <w:szCs w:val="28"/>
              <w:highlight w:val="none"/>
              <w:lang w:val="en-US" w:eastAsia="zh-CN"/>
            </w:rPr>
            <w:t>项目主要内容</w:t>
          </w:r>
          <w:r>
            <w:tab/>
          </w:r>
          <w:r>
            <w:fldChar w:fldCharType="begin"/>
          </w:r>
          <w:r>
            <w:instrText xml:space="preserve"> PAGEREF _Toc2828 \h </w:instrText>
          </w:r>
          <w:r>
            <w:fldChar w:fldCharType="separate"/>
          </w:r>
          <w:r>
            <w:t>6</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DAAFF92">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_Toc24872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2． </w:t>
          </w:r>
          <w:r>
            <w:rPr>
              <w:rFonts w:hint="eastAsia" w:ascii="宋体" w:hAnsi="宋体" w:eastAsia="宋体" w:cs="宋体"/>
              <w:kern w:val="44"/>
              <w:szCs w:val="28"/>
              <w:highlight w:val="none"/>
              <w:lang w:val="en-US" w:eastAsia="zh-CN"/>
            </w:rPr>
            <w:t>立项依据</w:t>
          </w:r>
          <w:r>
            <w:tab/>
          </w:r>
          <w:r>
            <w:fldChar w:fldCharType="begin"/>
          </w:r>
          <w:r>
            <w:instrText xml:space="preserve"> PAGEREF _Toc24872 \h </w:instrText>
          </w:r>
          <w:r>
            <w:fldChar w:fldCharType="separate"/>
          </w:r>
          <w:r>
            <w:t>6</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633A0F25">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_Toc5932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3． </w:t>
          </w:r>
          <w:r>
            <w:rPr>
              <w:rFonts w:hint="eastAsia" w:ascii="宋体" w:hAnsi="宋体" w:eastAsia="宋体" w:cs="宋体"/>
              <w:kern w:val="44"/>
              <w:szCs w:val="28"/>
              <w:highlight w:val="none"/>
              <w:lang w:val="en-US" w:eastAsia="zh-CN"/>
            </w:rPr>
            <w:t>项目背景</w:t>
          </w:r>
          <w:r>
            <w:tab/>
          </w:r>
          <w:r>
            <w:fldChar w:fldCharType="begin"/>
          </w:r>
          <w:r>
            <w:instrText xml:space="preserve"> PAGEREF _Toc5932 \h </w:instrText>
          </w:r>
          <w:r>
            <w:fldChar w:fldCharType="separate"/>
          </w:r>
          <w:r>
            <w:t>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02CB480">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_Toc11330 </w:instrText>
          </w:r>
          <w:r>
            <w:rPr>
              <w:rFonts w:hint="eastAsia" w:ascii="宋体" w:hAnsi="宋体" w:eastAsia="宋体" w:cs="宋体"/>
              <w:bCs/>
              <w:szCs w:val="24"/>
            </w:rPr>
            <w:fldChar w:fldCharType="separate"/>
          </w:r>
          <w:r>
            <w:rPr>
              <w:rFonts w:hint="eastAsia" w:ascii="宋体" w:hAnsi="宋体" w:eastAsia="宋体" w:cs="宋体"/>
              <w:kern w:val="44"/>
              <w:szCs w:val="28"/>
            </w:rPr>
            <w:t xml:space="preserve">（五） </w:t>
          </w:r>
          <w:r>
            <w:rPr>
              <w:rFonts w:hint="eastAsia" w:ascii="宋体" w:hAnsi="宋体" w:eastAsia="宋体" w:cs="宋体"/>
              <w:kern w:val="44"/>
              <w:szCs w:val="28"/>
              <w:highlight w:val="none"/>
            </w:rPr>
            <w:t>项目资金情况</w:t>
          </w:r>
          <w:r>
            <w:tab/>
          </w:r>
          <w:r>
            <w:fldChar w:fldCharType="begin"/>
          </w:r>
          <w:r>
            <w:instrText xml:space="preserve"> PAGEREF _Toc11330 \h </w:instrText>
          </w:r>
          <w:r>
            <w:fldChar w:fldCharType="separate"/>
          </w:r>
          <w:r>
            <w:t>8</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73C373E">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_Toc26381 </w:instrText>
          </w:r>
          <w:r>
            <w:rPr>
              <w:rFonts w:hint="eastAsia" w:ascii="宋体" w:hAnsi="宋体" w:eastAsia="宋体" w:cs="宋体"/>
              <w:bCs/>
              <w:szCs w:val="24"/>
            </w:rPr>
            <w:fldChar w:fldCharType="separate"/>
          </w:r>
          <w:r>
            <w:rPr>
              <w:rFonts w:hint="eastAsia" w:ascii="宋体" w:hAnsi="宋体" w:eastAsia="宋体" w:cs="宋体"/>
              <w:kern w:val="44"/>
              <w:szCs w:val="28"/>
            </w:rPr>
            <w:t xml:space="preserve">（六） </w:t>
          </w:r>
          <w:r>
            <w:rPr>
              <w:rFonts w:hint="eastAsia" w:ascii="宋体" w:hAnsi="宋体" w:eastAsia="宋体" w:cs="宋体"/>
              <w:kern w:val="44"/>
              <w:szCs w:val="28"/>
              <w:highlight w:val="none"/>
            </w:rPr>
            <w:t>绩效目标</w:t>
          </w:r>
          <w:r>
            <w:tab/>
          </w:r>
          <w:r>
            <w:fldChar w:fldCharType="begin"/>
          </w:r>
          <w:r>
            <w:instrText xml:space="preserve"> PAGEREF _Toc26381 \h </w:instrText>
          </w:r>
          <w:r>
            <w:fldChar w:fldCharType="separate"/>
          </w:r>
          <w:r>
            <w:t>10</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0745CB71">
          <w:pPr>
            <w:pStyle w:val="8"/>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_Toc10806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二、 评价工作简述</w:t>
          </w:r>
          <w:r>
            <w:tab/>
          </w:r>
          <w:r>
            <w:fldChar w:fldCharType="begin"/>
          </w:r>
          <w:r>
            <w:instrText xml:space="preserve"> PAGEREF _Toc10806 \h </w:instrText>
          </w:r>
          <w:r>
            <w:fldChar w:fldCharType="separate"/>
          </w:r>
          <w:r>
            <w:t>10</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62A32B49">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_Toc8461 </w:instrText>
          </w:r>
          <w:r>
            <w:rPr>
              <w:rFonts w:hint="eastAsia" w:ascii="宋体" w:hAnsi="宋体" w:eastAsia="宋体" w:cs="宋体"/>
              <w:bCs/>
              <w:szCs w:val="24"/>
            </w:rPr>
            <w:fldChar w:fldCharType="separate"/>
          </w:r>
          <w:r>
            <w:rPr>
              <w:rFonts w:hint="eastAsia" w:ascii="宋体" w:hAnsi="宋体" w:eastAsia="宋体" w:cs="宋体"/>
              <w:kern w:val="44"/>
              <w:szCs w:val="28"/>
            </w:rPr>
            <w:t>（一） 基本情况</w:t>
          </w:r>
          <w:r>
            <w:tab/>
          </w:r>
          <w:r>
            <w:fldChar w:fldCharType="begin"/>
          </w:r>
          <w:r>
            <w:instrText xml:space="preserve"> PAGEREF _Toc8461 \h </w:instrText>
          </w:r>
          <w:r>
            <w:fldChar w:fldCharType="separate"/>
          </w:r>
          <w:r>
            <w:t>10</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5043ACD2">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_Toc27330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1． </w:t>
          </w:r>
          <w:r>
            <w:rPr>
              <w:rFonts w:hint="eastAsia" w:ascii="宋体" w:hAnsi="宋体" w:eastAsia="宋体" w:cs="宋体"/>
              <w:kern w:val="44"/>
              <w:szCs w:val="28"/>
              <w:lang w:val="en-US" w:eastAsia="zh-CN"/>
            </w:rPr>
            <w:t>评价目的</w:t>
          </w:r>
          <w:r>
            <w:tab/>
          </w:r>
          <w:r>
            <w:fldChar w:fldCharType="begin"/>
          </w:r>
          <w:r>
            <w:instrText xml:space="preserve"> PAGEREF _Toc27330 \h </w:instrText>
          </w:r>
          <w:r>
            <w:fldChar w:fldCharType="separate"/>
          </w:r>
          <w:r>
            <w:t>10</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5E7885A9">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_Toc30055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2． </w:t>
          </w:r>
          <w:r>
            <w:rPr>
              <w:rFonts w:hint="eastAsia" w:ascii="宋体" w:hAnsi="宋体" w:eastAsia="宋体" w:cs="宋体"/>
              <w:kern w:val="44"/>
              <w:szCs w:val="28"/>
              <w:lang w:val="en-US" w:eastAsia="zh-CN"/>
            </w:rPr>
            <w:t>评价原则</w:t>
          </w:r>
          <w:r>
            <w:tab/>
          </w:r>
          <w:r>
            <w:fldChar w:fldCharType="begin"/>
          </w:r>
          <w:r>
            <w:instrText xml:space="preserve"> PAGEREF _Toc30055 \h </w:instrText>
          </w:r>
          <w:r>
            <w:fldChar w:fldCharType="separate"/>
          </w:r>
          <w:r>
            <w:t>10</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234E739A">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_Toc1759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3． </w:t>
          </w:r>
          <w:r>
            <w:rPr>
              <w:rFonts w:hint="eastAsia" w:ascii="宋体" w:hAnsi="宋体" w:eastAsia="宋体" w:cs="宋体"/>
              <w:kern w:val="44"/>
              <w:szCs w:val="28"/>
              <w:lang w:val="en-US" w:eastAsia="zh-CN"/>
            </w:rPr>
            <w:t>评价方法</w:t>
          </w:r>
          <w:r>
            <w:tab/>
          </w:r>
          <w:r>
            <w:fldChar w:fldCharType="begin"/>
          </w:r>
          <w:r>
            <w:instrText xml:space="preserve"> PAGEREF _Toc1759 \h </w:instrText>
          </w:r>
          <w:r>
            <w:fldChar w:fldCharType="separate"/>
          </w:r>
          <w:r>
            <w:t>11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55BC015A">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_Toc17452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4． </w:t>
          </w:r>
          <w:r>
            <w:rPr>
              <w:rFonts w:hint="eastAsia" w:ascii="宋体" w:hAnsi="宋体" w:eastAsia="宋体" w:cs="宋体"/>
              <w:kern w:val="44"/>
              <w:szCs w:val="28"/>
              <w:lang w:val="en-US" w:eastAsia="zh-CN"/>
            </w:rPr>
            <w:t>指标体系</w:t>
          </w:r>
          <w:r>
            <w:tab/>
          </w:r>
          <w:r>
            <w:fldChar w:fldCharType="begin"/>
          </w:r>
          <w:r>
            <w:instrText xml:space="preserve"> PAGEREF _Toc17452 \h </w:instrText>
          </w:r>
          <w:r>
            <w:fldChar w:fldCharType="separate"/>
          </w:r>
          <w:r>
            <w:t>12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5FD82BA6">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_Toc25941 </w:instrText>
          </w:r>
          <w:r>
            <w:rPr>
              <w:rFonts w:hint="eastAsia" w:ascii="宋体" w:hAnsi="宋体" w:eastAsia="宋体" w:cs="宋体"/>
              <w:bCs/>
              <w:szCs w:val="24"/>
            </w:rPr>
            <w:fldChar w:fldCharType="separate"/>
          </w:r>
          <w:r>
            <w:rPr>
              <w:rFonts w:hint="eastAsia" w:ascii="宋体" w:hAnsi="宋体" w:eastAsia="宋体" w:cs="宋体"/>
              <w:kern w:val="44"/>
              <w:szCs w:val="28"/>
            </w:rPr>
            <w:t>（二） 评价组织实施</w:t>
          </w:r>
          <w:r>
            <w:tab/>
          </w:r>
          <w:r>
            <w:fldChar w:fldCharType="begin"/>
          </w:r>
          <w:r>
            <w:instrText xml:space="preserve"> PAGEREF _Toc25941 \h </w:instrText>
          </w:r>
          <w:r>
            <w:fldChar w:fldCharType="separate"/>
          </w:r>
          <w:r>
            <w:t>14</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AED2580">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_Toc11293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1． </w:t>
          </w:r>
          <w:r>
            <w:rPr>
              <w:rFonts w:hint="eastAsia" w:ascii="宋体" w:hAnsi="宋体" w:eastAsia="宋体" w:cs="宋体"/>
              <w:kern w:val="44"/>
              <w:szCs w:val="28"/>
              <w:lang w:val="en-US" w:eastAsia="zh-CN"/>
            </w:rPr>
            <w:t>绩效评价准备阶段</w:t>
          </w:r>
          <w:r>
            <w:tab/>
          </w:r>
          <w:r>
            <w:fldChar w:fldCharType="begin"/>
          </w:r>
          <w:r>
            <w:instrText xml:space="preserve"> PAGEREF _Toc11293 \h </w:instrText>
          </w:r>
          <w:r>
            <w:fldChar w:fldCharType="separate"/>
          </w:r>
          <w:r>
            <w:t>15</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048A7FD7">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_Toc30890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2． </w:t>
          </w:r>
          <w:r>
            <w:rPr>
              <w:rFonts w:hint="eastAsia" w:ascii="宋体" w:hAnsi="宋体" w:eastAsia="宋体" w:cs="宋体"/>
              <w:kern w:val="44"/>
              <w:szCs w:val="28"/>
              <w:lang w:val="en-US" w:eastAsia="zh-CN"/>
            </w:rPr>
            <w:t>绩效评价实施阶段</w:t>
          </w:r>
          <w:r>
            <w:tab/>
          </w:r>
          <w:r>
            <w:fldChar w:fldCharType="begin"/>
          </w:r>
          <w:r>
            <w:instrText xml:space="preserve"> PAGEREF _Toc30890 \h </w:instrText>
          </w:r>
          <w:r>
            <w:fldChar w:fldCharType="separate"/>
          </w:r>
          <w:r>
            <w:t>16</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630CE7EB">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_Toc4425 </w:instrText>
          </w:r>
          <w:r>
            <w:rPr>
              <w:rFonts w:hint="eastAsia" w:ascii="宋体" w:hAnsi="宋体" w:eastAsia="宋体" w:cs="宋体"/>
              <w:bCs/>
              <w:szCs w:val="24"/>
            </w:rPr>
            <w:fldChar w:fldCharType="separate"/>
          </w:r>
          <w:r>
            <w:rPr>
              <w:rFonts w:hint="default" w:ascii="宋体" w:hAnsi="宋体" w:eastAsia="宋体" w:cs="宋体"/>
              <w:kern w:val="44"/>
              <w:szCs w:val="28"/>
              <w:lang w:val="en-US" w:eastAsia="zh-CN"/>
            </w:rPr>
            <w:t xml:space="preserve">3． </w:t>
          </w:r>
          <w:r>
            <w:rPr>
              <w:rFonts w:hint="eastAsia" w:ascii="宋体" w:hAnsi="宋体" w:eastAsia="宋体" w:cs="宋体"/>
              <w:kern w:val="44"/>
              <w:szCs w:val="28"/>
              <w:lang w:val="en-US" w:eastAsia="zh-CN"/>
            </w:rPr>
            <w:t>撰写和提交评价报告阶段</w:t>
          </w:r>
          <w:r>
            <w:tab/>
          </w:r>
          <w:r>
            <w:fldChar w:fldCharType="begin"/>
          </w:r>
          <w:r>
            <w:instrText xml:space="preserve"> PAGEREF _Toc4425 \h </w:instrText>
          </w:r>
          <w:r>
            <w:fldChar w:fldCharType="separate"/>
          </w:r>
          <w:r>
            <w:t>16</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243C0A2">
          <w:pPr>
            <w:pStyle w:val="8"/>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_Toc27083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三、 绩效评价分析</w:t>
          </w:r>
          <w:r>
            <w:tab/>
          </w:r>
          <w:r>
            <w:fldChar w:fldCharType="begin"/>
          </w:r>
          <w:r>
            <w:instrText xml:space="preserve"> PAGEREF _Toc27083 \h </w:instrText>
          </w:r>
          <w:r>
            <w:fldChar w:fldCharType="separate"/>
          </w:r>
          <w:r>
            <w:t>17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1173B68">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_Toc24982 </w:instrText>
          </w:r>
          <w:r>
            <w:rPr>
              <w:rFonts w:hint="eastAsia" w:ascii="宋体" w:hAnsi="宋体" w:eastAsia="宋体" w:cs="宋体"/>
              <w:bCs/>
              <w:szCs w:val="24"/>
            </w:rPr>
            <w:fldChar w:fldCharType="separate"/>
          </w:r>
          <w:r>
            <w:rPr>
              <w:rFonts w:hint="eastAsia" w:ascii="宋体" w:hAnsi="宋体" w:eastAsia="宋体" w:cs="宋体"/>
              <w:bCs w:val="0"/>
              <w:snapToGrid w:val="0"/>
              <w:kern w:val="0"/>
              <w:szCs w:val="28"/>
            </w:rPr>
            <w:t>（一） 项目绩效目标完成情况分析</w:t>
          </w:r>
          <w:r>
            <w:tab/>
          </w:r>
          <w:r>
            <w:fldChar w:fldCharType="begin"/>
          </w:r>
          <w:r>
            <w:instrText xml:space="preserve"> PAGEREF _Toc24982 \h </w:instrText>
          </w:r>
          <w:r>
            <w:fldChar w:fldCharType="separate"/>
          </w:r>
          <w:r>
            <w:t>17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2EFAE514">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_Toc31984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1． </w:t>
          </w:r>
          <w:r>
            <w:rPr>
              <w:rFonts w:hint="eastAsia" w:ascii="宋体" w:hAnsi="宋体" w:eastAsia="宋体" w:cs="宋体"/>
              <w:kern w:val="44"/>
              <w:szCs w:val="28"/>
              <w:highlight w:val="none"/>
            </w:rPr>
            <w:t>项目绩效目标评价分析</w:t>
          </w:r>
          <w:r>
            <w:tab/>
          </w:r>
          <w:r>
            <w:fldChar w:fldCharType="begin"/>
          </w:r>
          <w:r>
            <w:instrText xml:space="preserve"> PAGEREF _Toc31984 \h </w:instrText>
          </w:r>
          <w:r>
            <w:fldChar w:fldCharType="separate"/>
          </w:r>
          <w:r>
            <w:t>17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47607F6D">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_Toc20130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2． </w:t>
          </w:r>
          <w:r>
            <w:rPr>
              <w:rFonts w:hint="eastAsia" w:ascii="宋体" w:hAnsi="宋体" w:eastAsia="宋体" w:cs="宋体"/>
              <w:kern w:val="44"/>
              <w:szCs w:val="28"/>
            </w:rPr>
            <w:t>资金使用及管理情况分析</w:t>
          </w:r>
          <w:r>
            <w:tab/>
          </w:r>
          <w:r>
            <w:fldChar w:fldCharType="begin"/>
          </w:r>
          <w:r>
            <w:instrText xml:space="preserve"> PAGEREF _Toc20130 \h </w:instrText>
          </w:r>
          <w:r>
            <w:fldChar w:fldCharType="separate"/>
          </w:r>
          <w:r>
            <w:t>17</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84C92B5">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_Toc10873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3． </w:t>
          </w:r>
          <w:r>
            <w:rPr>
              <w:rFonts w:hint="eastAsia" w:ascii="宋体" w:hAnsi="宋体" w:eastAsia="宋体" w:cs="宋体"/>
              <w:kern w:val="44"/>
              <w:szCs w:val="28"/>
            </w:rPr>
            <w:t>项目组织情况分析</w:t>
          </w:r>
          <w:r>
            <w:tab/>
          </w:r>
          <w:r>
            <w:fldChar w:fldCharType="begin"/>
          </w:r>
          <w:r>
            <w:instrText xml:space="preserve"> PAGEREF _Toc10873 \h </w:instrText>
          </w:r>
          <w:r>
            <w:fldChar w:fldCharType="separate"/>
          </w:r>
          <w:r>
            <w:t>18</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7A9C1250">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_Toc12192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4． </w:t>
          </w:r>
          <w:r>
            <w:rPr>
              <w:rFonts w:hint="eastAsia" w:ascii="宋体" w:hAnsi="宋体" w:eastAsia="宋体" w:cs="宋体"/>
              <w:kern w:val="44"/>
              <w:szCs w:val="28"/>
            </w:rPr>
            <w:t>项目管理情况分析</w:t>
          </w:r>
          <w:r>
            <w:tab/>
          </w:r>
          <w:r>
            <w:fldChar w:fldCharType="begin"/>
          </w:r>
          <w:r>
            <w:instrText xml:space="preserve"> PAGEREF _Toc12192 \h </w:instrText>
          </w:r>
          <w:r>
            <w:fldChar w:fldCharType="separate"/>
          </w:r>
          <w:r>
            <w:t>19</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5FF36EAE">
          <w:pPr>
            <w:pStyle w:val="5"/>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_Toc29657 </w:instrText>
          </w:r>
          <w:r>
            <w:rPr>
              <w:rFonts w:hint="eastAsia" w:ascii="宋体" w:hAnsi="宋体" w:eastAsia="宋体" w:cs="宋体"/>
              <w:bCs/>
              <w:szCs w:val="24"/>
            </w:rPr>
            <w:fldChar w:fldCharType="separate"/>
          </w:r>
          <w:r>
            <w:rPr>
              <w:rFonts w:hint="default" w:ascii="宋体" w:hAnsi="宋体" w:eastAsia="宋体" w:cs="宋体"/>
              <w:kern w:val="44"/>
              <w:szCs w:val="28"/>
            </w:rPr>
            <w:t xml:space="preserve">5． </w:t>
          </w:r>
          <w:r>
            <w:rPr>
              <w:rFonts w:hint="eastAsia" w:ascii="宋体" w:hAnsi="宋体" w:eastAsia="宋体" w:cs="宋体"/>
              <w:kern w:val="44"/>
              <w:szCs w:val="28"/>
              <w:highlight w:val="none"/>
            </w:rPr>
            <w:t>项目产出及效果评价分析</w:t>
          </w:r>
          <w:r>
            <w:tab/>
          </w:r>
          <w:r>
            <w:fldChar w:fldCharType="begin"/>
          </w:r>
          <w:r>
            <w:instrText xml:space="preserve"> PAGEREF _Toc29657 \h </w:instrText>
          </w:r>
          <w:r>
            <w:fldChar w:fldCharType="separate"/>
          </w:r>
          <w:r>
            <w:t>19</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5BFEA73F">
          <w:pPr>
            <w:pStyle w:val="8"/>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_Toc4887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 xml:space="preserve">四、 </w:t>
          </w:r>
          <w:r>
            <w:rPr>
              <w:rFonts w:hint="eastAsia" w:ascii="宋体" w:hAnsi="宋体" w:cs="宋体"/>
              <w:bCs/>
              <w:snapToGrid w:val="0"/>
              <w:kern w:val="0"/>
              <w:szCs w:val="28"/>
              <w:lang w:val="en-US" w:eastAsia="zh-CN"/>
            </w:rPr>
            <w:t>评价结论</w:t>
          </w:r>
          <w:r>
            <w:tab/>
          </w:r>
          <w:r>
            <w:fldChar w:fldCharType="begin"/>
          </w:r>
          <w:r>
            <w:instrText xml:space="preserve"> PAGEREF _Toc4887 \h </w:instrText>
          </w:r>
          <w:r>
            <w:fldChar w:fldCharType="separate"/>
          </w:r>
          <w:r>
            <w:t>20</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2205EC7A">
          <w:pPr>
            <w:pStyle w:val="8"/>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_Toc31953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五、 存在问题和建议</w:t>
          </w:r>
          <w:r>
            <w:tab/>
          </w:r>
          <w:r>
            <w:fldChar w:fldCharType="begin"/>
          </w:r>
          <w:r>
            <w:instrText xml:space="preserve"> PAGEREF _Toc31953 \h </w:instrText>
          </w:r>
          <w:r>
            <w:fldChar w:fldCharType="separate"/>
          </w:r>
          <w:r>
            <w:t>20</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07680C54">
          <w:pPr>
            <w:pStyle w:val="8"/>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_Toc1972 </w:instrText>
          </w:r>
          <w:r>
            <w:rPr>
              <w:rFonts w:hint="eastAsia" w:ascii="宋体" w:hAnsi="宋体" w:eastAsia="宋体" w:cs="宋体"/>
              <w:bCs/>
              <w:szCs w:val="24"/>
            </w:rPr>
            <w:fldChar w:fldCharType="separate"/>
          </w:r>
          <w:r>
            <w:rPr>
              <w:rFonts w:hint="eastAsia" w:ascii="宋体" w:hAnsi="宋体" w:eastAsia="宋体" w:cs="宋体"/>
              <w:bCs w:val="0"/>
              <w:snapToGrid w:val="0"/>
              <w:kern w:val="0"/>
              <w:szCs w:val="28"/>
              <w:lang w:val="en-US" w:eastAsia="zh-CN"/>
            </w:rPr>
            <w:t xml:space="preserve">（一） </w:t>
          </w:r>
          <w:r>
            <w:rPr>
              <w:rFonts w:hint="eastAsia" w:ascii="宋体" w:hAnsi="宋体" w:cs="宋体"/>
              <w:bCs w:val="0"/>
              <w:snapToGrid w:val="0"/>
              <w:kern w:val="0"/>
              <w:szCs w:val="28"/>
              <w:lang w:val="en-US" w:eastAsia="zh-CN"/>
            </w:rPr>
            <w:t>问题</w:t>
          </w:r>
          <w:r>
            <w:tab/>
          </w:r>
          <w:r>
            <w:fldChar w:fldCharType="begin"/>
          </w:r>
          <w:r>
            <w:instrText xml:space="preserve"> PAGEREF _Toc1972 \h </w:instrText>
          </w:r>
          <w:r>
            <w:fldChar w:fldCharType="separate"/>
          </w:r>
          <w:r>
            <w:t>21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10D4A7EA">
          <w:pPr>
            <w:pStyle w:val="8"/>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_Toc29575 </w:instrText>
          </w:r>
          <w:r>
            <w:rPr>
              <w:rFonts w:hint="eastAsia" w:ascii="宋体" w:hAnsi="宋体" w:eastAsia="宋体" w:cs="宋体"/>
              <w:bCs/>
              <w:szCs w:val="24"/>
            </w:rPr>
            <w:fldChar w:fldCharType="separate"/>
          </w:r>
          <w:r>
            <w:rPr>
              <w:rFonts w:hint="eastAsia" w:ascii="宋体" w:hAnsi="宋体" w:cs="宋体"/>
              <w:bCs w:val="0"/>
              <w:snapToGrid w:val="0"/>
              <w:kern w:val="0"/>
              <w:szCs w:val="28"/>
              <w:lang w:val="en-US" w:eastAsia="zh-CN"/>
            </w:rPr>
            <w:t>（二） 建议</w:t>
          </w:r>
          <w:r>
            <w:tab/>
          </w:r>
          <w:r>
            <w:fldChar w:fldCharType="begin"/>
          </w:r>
          <w:r>
            <w:instrText xml:space="preserve"> PAGEREF _Toc29575 \h </w:instrText>
          </w:r>
          <w:r>
            <w:fldChar w:fldCharType="separate"/>
          </w:r>
          <w:r>
            <w:t>21</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02CF22B9">
          <w:pPr>
            <w:pStyle w:val="8"/>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_Toc7308 </w:instrText>
          </w:r>
          <w:r>
            <w:rPr>
              <w:rFonts w:hint="eastAsia" w:ascii="宋体" w:hAnsi="宋体" w:eastAsia="宋体" w:cs="宋体"/>
              <w:bCs/>
              <w:szCs w:val="24"/>
            </w:rPr>
            <w:fldChar w:fldCharType="separate"/>
          </w:r>
          <w:r>
            <w:rPr>
              <w:rFonts w:hint="eastAsia" w:ascii="宋体" w:hAnsi="宋体" w:eastAsia="宋体" w:cs="宋体"/>
              <w:bCs/>
              <w:snapToGrid w:val="0"/>
              <w:kern w:val="0"/>
              <w:szCs w:val="28"/>
            </w:rPr>
            <w:t>六、 附件</w:t>
          </w:r>
          <w:r>
            <w:tab/>
          </w:r>
          <w:r>
            <w:fldChar w:fldCharType="begin"/>
          </w:r>
          <w:r>
            <w:instrText xml:space="preserve"> PAGEREF _Toc7308 \h </w:instrText>
          </w:r>
          <w:r>
            <w:fldChar w:fldCharType="separate"/>
          </w:r>
          <w:r>
            <w:t>22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4D7959D5">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_Toc26166 </w:instrText>
          </w:r>
          <w:r>
            <w:rPr>
              <w:rFonts w:hint="eastAsia" w:ascii="宋体" w:hAnsi="宋体" w:eastAsia="宋体" w:cs="宋体"/>
              <w:bCs/>
              <w:szCs w:val="24"/>
            </w:rPr>
            <w:fldChar w:fldCharType="separate"/>
          </w:r>
          <w:r>
            <w:rPr>
              <w:rFonts w:hint="eastAsia" w:ascii="宋体" w:hAnsi="宋体" w:cs="宋体"/>
              <w:kern w:val="44"/>
              <w:szCs w:val="28"/>
              <w:lang w:val="en-US" w:eastAsia="zh-CN"/>
            </w:rPr>
            <w:t>（一） 优抚对象补助经费项目问卷统计报告</w:t>
          </w:r>
          <w:r>
            <w:tab/>
          </w:r>
          <w:r>
            <w:fldChar w:fldCharType="begin"/>
          </w:r>
          <w:r>
            <w:instrText xml:space="preserve"> PAGEREF _Toc26166 \h </w:instrText>
          </w:r>
          <w:r>
            <w:fldChar w:fldCharType="separate"/>
          </w:r>
          <w:r>
            <w:t>23</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4556A1F1">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_Toc23676 </w:instrText>
          </w:r>
          <w:r>
            <w:rPr>
              <w:rFonts w:hint="eastAsia" w:ascii="宋体" w:hAnsi="宋体" w:eastAsia="宋体" w:cs="宋体"/>
              <w:bCs/>
              <w:szCs w:val="24"/>
            </w:rPr>
            <w:fldChar w:fldCharType="separate"/>
          </w:r>
          <w:r>
            <w:rPr>
              <w:rFonts w:hint="eastAsia" w:ascii="宋体" w:hAnsi="宋体" w:cs="宋体"/>
              <w:kern w:val="44"/>
              <w:szCs w:val="28"/>
              <w:lang w:val="en-US" w:eastAsia="zh-CN"/>
            </w:rPr>
            <w:t>（二） 优抚对象补助经费项目绩效评价评分表</w:t>
          </w:r>
          <w:r>
            <w:tab/>
          </w:r>
          <w:r>
            <w:fldChar w:fldCharType="begin"/>
          </w:r>
          <w:r>
            <w:instrText xml:space="preserve"> PAGEREF _Toc23676 \h </w:instrText>
          </w:r>
          <w:r>
            <w:fldChar w:fldCharType="separate"/>
          </w:r>
          <w:r>
            <w:t>25</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8F22B9B">
          <w:pPr>
            <w:pStyle w:val="9"/>
            <w:tabs>
              <w:tab w:val="right" w:leader="dot" w:pos="8306"/>
            </w:tabs>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_Toc23440 </w:instrText>
          </w:r>
          <w:r>
            <w:rPr>
              <w:rFonts w:hint="eastAsia" w:ascii="宋体" w:hAnsi="宋体" w:eastAsia="宋体" w:cs="宋体"/>
              <w:bCs/>
              <w:szCs w:val="24"/>
            </w:rPr>
            <w:fldChar w:fldCharType="separate"/>
          </w:r>
          <w:r>
            <w:rPr>
              <w:rFonts w:hint="eastAsia" w:ascii="宋体" w:hAnsi="宋体" w:cs="宋体"/>
              <w:kern w:val="44"/>
              <w:szCs w:val="28"/>
              <w:lang w:val="en-US" w:eastAsia="zh-CN"/>
            </w:rPr>
            <w:t>（三） 项目组成员资质证书</w:t>
          </w:r>
          <w:r>
            <w:tab/>
          </w:r>
          <w:r>
            <w:fldChar w:fldCharType="begin"/>
          </w:r>
          <w:r>
            <w:instrText xml:space="preserve"> PAGEREF _Toc23440 \h </w:instrText>
          </w:r>
          <w:r>
            <w:fldChar w:fldCharType="separate"/>
          </w:r>
          <w:r>
            <w:t>32</w:t>
          </w:r>
          <w:r>
            <w:fldChar w:fldCharType="end"/>
          </w:r>
          <w:r>
            <w:rPr>
              <w:rFonts w:hint="eastAsia" w:ascii="宋体" w:hAnsi="宋体" w:eastAsia="宋体" w:cs="宋体"/>
              <w:bCs/>
              <w:color w:val="000000" w:themeColor="text1"/>
              <w:szCs w:val="24"/>
              <w14:textFill>
                <w14:solidFill>
                  <w14:schemeClr w14:val="tx1"/>
                </w14:solidFill>
              </w14:textFill>
            </w:rPr>
            <w:fldChar w:fldCharType="end"/>
          </w:r>
        </w:p>
        <w:p w14:paraId="30DDC43B">
          <w:pPr>
            <w:numPr>
              <w:ilvl w:val="0"/>
              <w:numId w:val="0"/>
            </w:numPr>
            <w:spacing w:line="360" w:lineRule="auto"/>
            <w:jc w:val="both"/>
            <w:rPr>
              <w:rFonts w:hint="eastAsia" w:ascii="宋体" w:hAnsi="宋体" w:eastAsia="宋体" w:cs="宋体"/>
              <w:bCs/>
              <w:color w:val="000000" w:themeColor="text1"/>
              <w:kern w:val="2"/>
              <w:sz w:val="21"/>
              <w:szCs w:val="28"/>
              <w:lang w:val="en-US" w:eastAsia="zh-CN" w:bidi="ar-SA"/>
              <w14:textFill>
                <w14:solidFill>
                  <w14:schemeClr w14:val="tx1"/>
                </w14:solidFill>
              </w14:textFill>
            </w:rPr>
          </w:pPr>
          <w:r>
            <w:rPr>
              <w:rFonts w:hint="eastAsia" w:ascii="宋体" w:hAnsi="宋体" w:eastAsia="宋体" w:cs="宋体"/>
              <w:bCs/>
              <w:color w:val="000000" w:themeColor="text1"/>
              <w:szCs w:val="24"/>
              <w14:textFill>
                <w14:solidFill>
                  <w14:schemeClr w14:val="tx1"/>
                </w14:solidFill>
              </w14:textFill>
            </w:rPr>
            <w:fldChar w:fldCharType="end"/>
          </w:r>
        </w:p>
      </w:sdtContent>
    </w:sdt>
    <w:p w14:paraId="16B1DF12">
      <w:pPr>
        <w:numPr>
          <w:ilvl w:val="0"/>
          <w:numId w:val="0"/>
        </w:numPr>
        <w:spacing w:line="360" w:lineRule="auto"/>
        <w:jc w:val="both"/>
        <w:rPr>
          <w:rFonts w:hint="eastAsia" w:ascii="宋体" w:hAnsi="宋体" w:eastAsia="宋体" w:cs="宋体"/>
          <w:bCs/>
          <w:color w:val="000000" w:themeColor="text1"/>
          <w:kern w:val="2"/>
          <w:sz w:val="21"/>
          <w:szCs w:val="28"/>
          <w:lang w:val="en-US" w:eastAsia="zh-CN" w:bidi="ar-SA"/>
          <w14:textFill>
            <w14:solidFill>
              <w14:schemeClr w14:val="tx1"/>
            </w14:solidFill>
          </w14:textFill>
        </w:rPr>
      </w:pPr>
    </w:p>
    <w:p w14:paraId="579831CD">
      <w:pPr>
        <w:tabs>
          <w:tab w:val="center" w:pos="4153"/>
        </w:tabs>
        <w:bidi w:val="0"/>
        <w:jc w:val="left"/>
        <w:rPr>
          <w:rFonts w:hint="eastAsia" w:ascii="Calibri" w:hAnsi="Calibri" w:eastAsia="宋体" w:cs="Calibri"/>
          <w:kern w:val="2"/>
          <w:sz w:val="21"/>
          <w:szCs w:val="21"/>
          <w:lang w:val="en-US" w:eastAsia="zh-CN" w:bidi="ar-SA"/>
        </w:rPr>
        <w:sectPr>
          <w:pgSz w:w="11906" w:h="16838"/>
          <w:pgMar w:top="1440" w:right="1800" w:bottom="1440" w:left="1800" w:header="851" w:footer="992" w:gutter="0"/>
          <w:pgNumType w:fmt="decimal" w:start="1"/>
          <w:cols w:space="425" w:num="1"/>
          <w:docGrid w:type="lines" w:linePitch="312" w:charSpace="0"/>
        </w:sectPr>
      </w:pPr>
      <w:r>
        <w:rPr>
          <w:rFonts w:hint="eastAsia" w:cs="Calibri"/>
          <w:kern w:val="2"/>
          <w:sz w:val="21"/>
          <w:szCs w:val="21"/>
          <w:lang w:val="en-US" w:eastAsia="zh-CN" w:bidi="ar-SA"/>
        </w:rPr>
        <w:tab/>
      </w:r>
    </w:p>
    <w:p w14:paraId="5EB0A2F2">
      <w:pPr>
        <w:numPr>
          <w:ilvl w:val="0"/>
          <w:numId w:val="1"/>
        </w:numPr>
        <w:spacing w:line="360" w:lineRule="auto"/>
        <w:ind w:left="0" w:leftChars="0" w:firstLine="283" w:firstLineChars="0"/>
        <w:jc w:val="left"/>
        <w:outlineLvl w:val="0"/>
        <w:rPr>
          <w:rFonts w:hint="eastAsia" w:ascii="宋体" w:hAnsi="宋体" w:eastAsia="宋体" w:cs="宋体"/>
          <w:b/>
          <w:bCs/>
          <w:color w:val="000000" w:themeColor="text1"/>
          <w:sz w:val="28"/>
          <w:szCs w:val="28"/>
          <w14:textFill>
            <w14:solidFill>
              <w14:schemeClr w14:val="tx1"/>
            </w14:solidFill>
          </w14:textFill>
        </w:rPr>
      </w:pPr>
      <w:bookmarkStart w:id="0" w:name="_Toc28475"/>
      <w:r>
        <w:rPr>
          <w:rFonts w:hint="eastAsia" w:ascii="宋体" w:hAnsi="宋体" w:eastAsia="宋体" w:cs="宋体"/>
          <w:b/>
          <w:bCs/>
          <w:snapToGrid w:val="0"/>
          <w:color w:val="000000" w:themeColor="text1"/>
          <w:kern w:val="0"/>
          <w:sz w:val="28"/>
          <w:szCs w:val="28"/>
          <w14:textFill>
            <w14:solidFill>
              <w14:schemeClr w14:val="tx1"/>
            </w14:solidFill>
          </w14:textFill>
        </w:rPr>
        <w:t>概述</w:t>
      </w:r>
      <w:bookmarkEnd w:id="0"/>
    </w:p>
    <w:p w14:paraId="60908BDD">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1" w:name="_Toc30206"/>
      <w:r>
        <w:rPr>
          <w:rFonts w:hint="eastAsia" w:ascii="宋体" w:hAnsi="宋体" w:eastAsia="宋体" w:cs="宋体"/>
          <w:color w:val="000000" w:themeColor="text1"/>
          <w:kern w:val="44"/>
          <w:sz w:val="28"/>
          <w:szCs w:val="28"/>
          <w14:textFill>
            <w14:solidFill>
              <w14:schemeClr w14:val="tx1"/>
            </w14:solidFill>
          </w14:textFill>
        </w:rPr>
        <w:t>项目单位基本情况</w:t>
      </w:r>
      <w:bookmarkEnd w:id="1"/>
    </w:p>
    <w:p w14:paraId="00A59E4D">
      <w:pPr>
        <w:pStyle w:val="11"/>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单位名称：三门峡市陕州区退役军人事务局</w:t>
      </w:r>
    </w:p>
    <w:p w14:paraId="10BD3462">
      <w:pPr>
        <w:pStyle w:val="11"/>
        <w:spacing w:line="360" w:lineRule="auto"/>
        <w:ind w:left="0" w:leftChars="0"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统一社会信用代码：11411222MB164270X7</w:t>
      </w:r>
    </w:p>
    <w:p w14:paraId="746CAA26">
      <w:pPr>
        <w:pStyle w:val="11"/>
        <w:spacing w:line="360" w:lineRule="auto"/>
        <w:ind w:left="0" w:leftChars="0"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办公地址：三门峡市陕州区大营镇刘秀山下烈士陵园内</w:t>
      </w:r>
    </w:p>
    <w:p w14:paraId="01B5833A">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2" w:name="_Toc5972"/>
      <w:r>
        <w:rPr>
          <w:rFonts w:hint="eastAsia" w:ascii="宋体" w:hAnsi="宋体" w:eastAsia="宋体" w:cs="宋体"/>
          <w:color w:val="000000" w:themeColor="text1"/>
          <w:kern w:val="44"/>
          <w:sz w:val="28"/>
          <w:szCs w:val="28"/>
          <w:lang w:val="en-US" w:eastAsia="zh-CN"/>
          <w14:textFill>
            <w14:solidFill>
              <w14:schemeClr w14:val="tx1"/>
            </w14:solidFill>
          </w14:textFill>
        </w:rPr>
        <w:t>项目单位</w:t>
      </w:r>
      <w:r>
        <w:rPr>
          <w:rFonts w:hint="eastAsia" w:ascii="宋体" w:hAnsi="宋体" w:eastAsia="宋体" w:cs="宋体"/>
          <w:color w:val="000000" w:themeColor="text1"/>
          <w:kern w:val="44"/>
          <w:sz w:val="28"/>
          <w:szCs w:val="28"/>
          <w14:textFill>
            <w14:solidFill>
              <w14:schemeClr w14:val="tx1"/>
            </w14:solidFill>
          </w14:textFill>
        </w:rPr>
        <w:t>机构组成</w:t>
      </w:r>
      <w:bookmarkEnd w:id="2"/>
    </w:p>
    <w:p w14:paraId="1FAE2545">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办公室(政策法规股)。负责机关日常运转工作，承担机关值班值守、文电、会务、机要、档案、信息、政务公开、督办查办、安全、保密、网络安全和信息化管理等工作;承担规范性文件起草、合法性审查和清理工作，承担政策研究、行政复议和行政诉讼;承担机关和所属单位的干部人事、机构编制、工资、教育培训、财务、资产管理、内部审计、统计、退役军人事业资金管理等工作;负责机关后勤保障等工作。拟订全区退役军人事业发展规划、年度计划和退役军人管理保障基础设施建设标准以及全区烈士褒扬、纪念设施、军人公墓建设规划。</w:t>
      </w:r>
    </w:p>
    <w:p w14:paraId="3720A22C">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思想政治和权益维护股。承担全区退役军人思想政治、舆论宣传、总结表彰、荣誉奖励工作，监督检查全区退役军人相关法律法规和政策措施的落实情况;承担全区退役军人权益维护和有关人员的帮扶援助工作;负责全区退役军人事务系统的来信来访及有关信访稳定事宜;承办、转办上级交办的信访案件;推进退役军人服务管理保障体系建设，全面提升退役军人服务管理保障工作水平。</w:t>
      </w:r>
    </w:p>
    <w:p w14:paraId="17B0CC5D">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cs="宋体"/>
          <w:color w:val="000000" w:themeColor="text1"/>
          <w:kern w:val="44"/>
          <w:sz w:val="28"/>
          <w:szCs w:val="28"/>
          <w14:textFill>
            <w14:solidFill>
              <w14:schemeClr w14:val="tx1"/>
            </w14:solidFill>
          </w14:textFill>
        </w:rPr>
        <w:t>移交安置和就业创业股。贯彻执行党和国家及省、市军队转业</w:t>
      </w:r>
    </w:p>
    <w:p w14:paraId="278937FF">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干部安置政策和安置计划，拟订全区军队转业干部和随调配偶接收安置政策、接收安置计划并组织实施;负贵军队转业干部和随调配偶档案的移交、接收和审核工作;承担我区计划分配军队转业干部的接收安置工作;协调推动军队转业干部待遇落实。贯彻执行国家和省、市复员退伍军人安置政策和安置计划，拟订全区复员退伍军人接收安置政策、接收安置计划并组织实施;负责复员退伍军人档案的移交、接收和审核工作;承担我区符合政府安置条件退役士兵的接收安置工作;协调推动符合政府安置条件退役士兵待遇落实。拟订全区自主择业军队转业干部、复员干部、自主就业退役士兵就业创业年度计划并组织实施，组织开展就业创业促进和教育培训等工作;做好自主择业、自主就业退役军人服务管理工作;指导开展有关中介服务工作，组织协调落实全区退役军人社会保险等待遇保障工作和就业创业税收、金融等优惠政策。</w:t>
      </w:r>
    </w:p>
    <w:p w14:paraId="378C2C85">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优抚与褒扬股(双拥工作股)。组织开展全区拥军优属拥政爱民工作。指导各乡镇各部门做好支持军队相关工作，承担现役军人、退役军人、军队文职人员和军属优待、抚恤等工作; 承担不适宜继续服役的伤病残军人相关工作，组织协调落实退役军人医疗保障工作;拟订全区有关退役军人医疗、疗养养老等机构的规划政策并组织实施;贯彻落实国民党抗战老兵等有关人员优待政策并组织实施;承担全区烈士褒扬、纪念设施、军人公墓管理保护工作，依法承担英雄烈士保护相关工作;承担区政府负责的烈士评定事项并做好审查上报工作，组织开展全区英雄烈士纪念活动;协调扶持随军随调家属就业创业。负责移交我区的军队离退休干部、无军籍退休退职职工的移交安置和服务管理工作，落实军队离退休干部(遗属).无军籍退休退职职工相关待遇;组织协调落实离退休军人、符合条件的其他退役军人和无军籍退休退职职工的住房保障工作。</w:t>
      </w:r>
    </w:p>
    <w:p w14:paraId="547C9E0E">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机关党支部。负责机关和所属单位的党群工作。</w:t>
      </w:r>
    </w:p>
    <w:p w14:paraId="2126C719">
      <w:pPr>
        <w:numPr>
          <w:ilvl w:val="0"/>
          <w:numId w:val="3"/>
        </w:numPr>
        <w:spacing w:line="360" w:lineRule="auto"/>
        <w:ind w:left="0" w:leftChars="0" w:firstLine="283" w:firstLineChars="0"/>
        <w:jc w:val="left"/>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下设两个事业单位：</w:t>
      </w:r>
      <w:r>
        <w:rPr>
          <w:rFonts w:hint="eastAsia" w:ascii="宋体" w:hAnsi="宋体" w:eastAsia="宋体" w:cs="宋体"/>
          <w:color w:val="000000" w:themeColor="text1"/>
          <w:kern w:val="44"/>
          <w:sz w:val="28"/>
          <w:szCs w:val="28"/>
          <w14:textFill>
            <w14:solidFill>
              <w14:schemeClr w14:val="tx1"/>
            </w14:solidFill>
          </w14:textFill>
        </w:rPr>
        <w:t>退役军人服务中心</w:t>
      </w:r>
      <w:r>
        <w:rPr>
          <w:rFonts w:hint="eastAsia" w:ascii="宋体" w:hAnsi="宋体" w:eastAsia="宋体" w:cs="宋体"/>
          <w:color w:val="000000" w:themeColor="text1"/>
          <w:kern w:val="44"/>
          <w:sz w:val="28"/>
          <w:szCs w:val="28"/>
          <w:lang w:eastAsia="zh-CN"/>
          <w14:textFill>
            <w14:solidFill>
              <w14:schemeClr w14:val="tx1"/>
            </w14:solidFill>
          </w14:textFill>
        </w:rPr>
        <w:t>、</w:t>
      </w:r>
      <w:r>
        <w:rPr>
          <w:rFonts w:hint="eastAsia" w:ascii="宋体" w:hAnsi="宋体" w:eastAsia="宋体" w:cs="宋体"/>
          <w:color w:val="000000" w:themeColor="text1"/>
          <w:kern w:val="44"/>
          <w:sz w:val="28"/>
          <w:szCs w:val="28"/>
          <w14:textFill>
            <w14:solidFill>
              <w14:schemeClr w14:val="tx1"/>
            </w14:solidFill>
          </w14:textFill>
        </w:rPr>
        <w:t>陕州烈士陵园事务中心</w:t>
      </w:r>
    </w:p>
    <w:p w14:paraId="3E6BE2BF">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3" w:name="_Toc10081"/>
      <w:r>
        <w:rPr>
          <w:rFonts w:hint="eastAsia" w:ascii="宋体" w:hAnsi="宋体" w:eastAsia="宋体" w:cs="宋体"/>
          <w:color w:val="000000" w:themeColor="text1"/>
          <w:kern w:val="44"/>
          <w:sz w:val="28"/>
          <w:szCs w:val="28"/>
          <w:lang w:val="en-US" w:eastAsia="zh-CN"/>
          <w14:textFill>
            <w14:solidFill>
              <w14:schemeClr w14:val="tx1"/>
            </w14:solidFill>
          </w14:textFill>
        </w:rPr>
        <w:t>项目单位</w:t>
      </w:r>
      <w:r>
        <w:rPr>
          <w:rFonts w:hint="eastAsia" w:ascii="宋体" w:hAnsi="宋体" w:eastAsia="宋体" w:cs="宋体"/>
          <w:color w:val="000000" w:themeColor="text1"/>
          <w:kern w:val="44"/>
          <w:sz w:val="28"/>
          <w:szCs w:val="28"/>
          <w14:textFill>
            <w14:solidFill>
              <w14:schemeClr w14:val="tx1"/>
            </w14:solidFill>
          </w14:textFill>
        </w:rPr>
        <w:t>主要职责</w:t>
      </w:r>
      <w:bookmarkEnd w:id="3"/>
    </w:p>
    <w:p w14:paraId="7904BAB2">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加强退役军人思想政治工作和服务保障体系建设，建立健全集中统一、职责清晰的退役军人管理保障体制，协调各方力量更好为军人军属服务，维护军人军属合法权益，让军人成为全社会尊崇的职业，褒扬彰显退役军人为党、国家和人民牺牲奉献的精神风范和价值导向，更好地为增强部队战斗力和凝聚力做好组织保障。</w:t>
      </w:r>
    </w:p>
    <w:p w14:paraId="3157C52F">
      <w:pPr>
        <w:numPr>
          <w:ilvl w:val="0"/>
          <w:numId w:val="0"/>
        </w:numPr>
        <w:spacing w:line="360" w:lineRule="auto"/>
        <w:jc w:val="left"/>
        <w:outlineLvl w:val="9"/>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　　</w:t>
      </w:r>
      <w:r>
        <w:rPr>
          <w:rFonts w:hint="eastAsia" w:ascii="宋体" w:hAnsi="宋体" w:cs="宋体"/>
          <w:color w:val="000000" w:themeColor="text1"/>
          <w:kern w:val="44"/>
          <w:sz w:val="28"/>
          <w:szCs w:val="28"/>
          <w:lang w:val="en-US" w:eastAsia="zh-CN"/>
          <w14:textFill>
            <w14:solidFill>
              <w14:schemeClr w14:val="tx1"/>
            </w14:solidFill>
          </w14:textFill>
        </w:rPr>
        <w:t>局本级</w:t>
      </w:r>
      <w:r>
        <w:rPr>
          <w:rFonts w:hint="eastAsia" w:ascii="宋体" w:hAnsi="宋体" w:eastAsia="宋体" w:cs="宋体"/>
          <w:color w:val="000000" w:themeColor="text1"/>
          <w:kern w:val="44"/>
          <w:sz w:val="28"/>
          <w:szCs w:val="28"/>
          <w14:textFill>
            <w14:solidFill>
              <w14:schemeClr w14:val="tx1"/>
            </w14:solidFill>
          </w14:textFill>
        </w:rPr>
        <w:t>主要职责：</w:t>
      </w:r>
    </w:p>
    <w:p w14:paraId="6E4AA273">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贯彻落实党和国家及省、市退役军人思想政治、管理保障和安置优抚等工作政策法规并组织实施，褒扬彰显退役军人为党、国家和人民牺牲奉献的精神风范和价值导向。</w:t>
      </w:r>
    </w:p>
    <w:p w14:paraId="668E2EC6">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负责全区退役军人事务工作的改革与发展，拟订全区退役军人事业发展规划并组织实施。</w:t>
      </w:r>
    </w:p>
    <w:p w14:paraId="6799BEB5">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负责全区军队转业干部、复员干部、离退休干部、退役士兵和无军籍退休退职职工的移交安置工作，做好自主择业、自主就业退役军人服务管理工作。</w:t>
      </w:r>
    </w:p>
    <w:p w14:paraId="5BCF9073">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负责组织全区退役军人教育培训工作，协调扶持退役军人和随军随调家属就业创业。</w:t>
      </w:r>
    </w:p>
    <w:p w14:paraId="5E39CD66">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贯彻落实党和国家及省、市关于退役军人特殊保障政策，会同有关部门拟订相关办法并组织实施，建立健全多方联动协调机制。</w:t>
      </w:r>
    </w:p>
    <w:p w14:paraId="3FE9AD6F">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组织协调落实移交我区的离退休军人、符合条件的其他退役军人和无军籍退休退职职工的住房保障工作，以及退役军人医疗保障、社会保险等待遇保障工作;落实军队离退休干部(遗属)、无军籍退休退职职工相关待遇。</w:t>
      </w:r>
    </w:p>
    <w:p w14:paraId="5667AA1A">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组织指导全区伤病残退役军人服务管理和抚恤工作，拟订全区有关退役军人医疗、疗养、养老等机构的计划并组织实施;承担全区不适宜继续服役的伤病残军人相关工作。</w:t>
      </w:r>
    </w:p>
    <w:p w14:paraId="684C60C7">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组织开展全区拥军优属拥政爱民工作。负责现役军人、退役军人、军队文职人员和军属优待、抚恤等工作;贯彻落实国民党抗战老兵等有关人员优待政策并组织实施。</w:t>
      </w:r>
    </w:p>
    <w:p w14:paraId="3689F2E2">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全区烈士及退役军人荣誉奖励、军人公墓管理维护、纪念活动等工作,依法承担英雄烈士保护相关工作，负责全区烈士纪念设施等机构的服务管理工作，总结表彰和宣扬全区退役军人、退役军人工作单位和个人先进典型事迹。</w:t>
      </w:r>
    </w:p>
    <w:p w14:paraId="0E372A15">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负责全区退役军人法律法规宣传工作。指导并监督检查全区关于退役军人相关法律法规和政策措施的落实情况;组织开展全区退役军人权益维护和有关人员的帮扶援助工作。</w:t>
      </w:r>
    </w:p>
    <w:p w14:paraId="5C6C9815">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推进退役军人服务保障体系建设，夯实退役军人服务管理保障工作基础，提升退役军人服务管理保障工作水平。</w:t>
      </w:r>
    </w:p>
    <w:p w14:paraId="568224AC">
      <w:pPr>
        <w:numPr>
          <w:ilvl w:val="0"/>
          <w:numId w:val="4"/>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完成区委、区政府交办的其他任务。</w:t>
      </w:r>
    </w:p>
    <w:p w14:paraId="579D0854">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退役军人服务中心</w:t>
      </w:r>
      <w:r>
        <w:rPr>
          <w:rFonts w:hint="eastAsia" w:ascii="宋体" w:hAnsi="宋体" w:cs="宋体"/>
          <w:color w:val="000000" w:themeColor="text1"/>
          <w:kern w:val="44"/>
          <w:sz w:val="28"/>
          <w:szCs w:val="28"/>
          <w:lang w:val="en-US" w:eastAsia="zh-CN"/>
          <w14:textFill>
            <w14:solidFill>
              <w14:schemeClr w14:val="tx1"/>
            </w14:solidFill>
          </w14:textFill>
        </w:rPr>
        <w:t>主要</w:t>
      </w:r>
      <w:r>
        <w:rPr>
          <w:rFonts w:hint="eastAsia" w:ascii="宋体" w:hAnsi="宋体" w:eastAsia="宋体" w:cs="宋体"/>
          <w:color w:val="000000" w:themeColor="text1"/>
          <w:kern w:val="44"/>
          <w:sz w:val="28"/>
          <w:szCs w:val="28"/>
          <w14:textFill>
            <w14:solidFill>
              <w14:schemeClr w14:val="tx1"/>
            </w14:solidFill>
          </w14:textFill>
        </w:rPr>
        <w:t>职责</w:t>
      </w:r>
    </w:p>
    <w:p w14:paraId="68D64269">
      <w:pPr>
        <w:numPr>
          <w:ilvl w:val="0"/>
          <w:numId w:val="5"/>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协调落实就业创业、优抚帮扶、权益保障、数据信息采集等有关政策措施，组织实施退役军人适应性培训和职业教育、技能培训;</w:t>
      </w:r>
    </w:p>
    <w:p w14:paraId="5100EB58">
      <w:pPr>
        <w:numPr>
          <w:ilvl w:val="0"/>
          <w:numId w:val="5"/>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协助做好本级辖区内单位退役军人组织关系、行政关系、供给关系转接和档案移交，退役军人党员摸排登记等工作，协助基层党组织做好党员教育管理服务工作;</w:t>
      </w:r>
    </w:p>
    <w:p w14:paraId="08988677">
      <w:pPr>
        <w:numPr>
          <w:ilvl w:val="0"/>
          <w:numId w:val="5"/>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协助做好退役军人和其他优抚对象来访接待、来信办理、网上信访和电话信访，上级领导、部门交办信访事项，落实信访事项首办责任，依法及时就地化解矛盾间题，有条件的地区可开展心理疏导、法律服务等工作;</w:t>
      </w:r>
    </w:p>
    <w:p w14:paraId="6E283948">
      <w:pPr>
        <w:numPr>
          <w:ilvl w:val="0"/>
          <w:numId w:val="5"/>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搭建政策咨询、沟通联系、学习交流等活动场所，多渠道筹措资金，针对性、常态化开展精准帮扶援助、化解矛盾和思想稳定工作，把党和政府的关怀温暖传递给每一个退役军人;</w:t>
      </w:r>
    </w:p>
    <w:p w14:paraId="25EB3A9D">
      <w:pPr>
        <w:numPr>
          <w:ilvl w:val="0"/>
          <w:numId w:val="5"/>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全面摸清、动态掌握、及时报告有关政策落实、工作开展，以及辖区内退役军人和其他优抚对象思想状况、家庭生活情況; (六)当好退役军人的服务员、宣传员、信息员、歌、就近听取诉求，突出面对面、个性化、一对一服务，主动登户宣讲政策、解决问题，送立功喜报、悬挂光荣牌;</w:t>
      </w:r>
    </w:p>
    <w:p w14:paraId="155F70B7">
      <w:pPr>
        <w:numPr>
          <w:ilvl w:val="0"/>
          <w:numId w:val="5"/>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结合“八ー”、春节等节日，以及退役军人和其他优抚对象出现重大变故等情况，及时开展走访慰问;</w:t>
      </w:r>
    </w:p>
    <w:p w14:paraId="5C9F1F92">
      <w:pPr>
        <w:numPr>
          <w:ilvl w:val="0"/>
          <w:numId w:val="5"/>
        </w:numPr>
        <w:spacing w:line="360" w:lineRule="auto"/>
        <w:ind w:left="0" w:leftChars="0" w:firstLine="283" w:firstLineChars="0"/>
        <w:jc w:val="left"/>
        <w:outlineLvl w:val="9"/>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完成本区退役军人事务部门交办的其他事务性工作。</w:t>
      </w:r>
    </w:p>
    <w:p w14:paraId="10D9A529">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14:textFill>
            <w14:solidFill>
              <w14:schemeClr w14:val="tx1"/>
            </w14:solidFill>
          </w14:textFill>
        </w:rPr>
        <w:t>陕州烈士陵园事务中心</w:t>
      </w:r>
      <w:r>
        <w:rPr>
          <w:rFonts w:hint="eastAsia" w:ascii="宋体" w:hAnsi="宋体" w:cs="宋体"/>
          <w:color w:val="000000" w:themeColor="text1"/>
          <w:kern w:val="44"/>
          <w:sz w:val="28"/>
          <w:szCs w:val="28"/>
          <w:lang w:val="en-US" w:eastAsia="zh-CN"/>
          <w14:textFill>
            <w14:solidFill>
              <w14:schemeClr w14:val="tx1"/>
            </w14:solidFill>
          </w14:textFill>
        </w:rPr>
        <w:t>主要</w:t>
      </w:r>
      <w:r>
        <w:rPr>
          <w:rFonts w:hint="eastAsia" w:ascii="宋体" w:hAnsi="宋体" w:eastAsia="宋体" w:cs="宋体"/>
          <w:color w:val="000000" w:themeColor="text1"/>
          <w:kern w:val="44"/>
          <w:sz w:val="28"/>
          <w:szCs w:val="28"/>
          <w14:textFill>
            <w14:solidFill>
              <w14:schemeClr w14:val="tx1"/>
            </w14:solidFill>
          </w14:textFill>
        </w:rPr>
        <w:t>职责：</w:t>
      </w:r>
    </w:p>
    <w:p w14:paraId="649026DF">
      <w:pPr>
        <w:numPr>
          <w:ilvl w:val="0"/>
          <w:numId w:val="6"/>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负责在全区范围内征集、整理、展示与革命斗争有关的文物、烈士斗争史料和遗物;</w:t>
      </w:r>
    </w:p>
    <w:p w14:paraId="1F3BD64B">
      <w:pPr>
        <w:numPr>
          <w:ilvl w:val="0"/>
          <w:numId w:val="6"/>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负责革命烈士的褒扬工作;</w:t>
      </w:r>
    </w:p>
    <w:p w14:paraId="4F0AFEC8">
      <w:pPr>
        <w:numPr>
          <w:ilvl w:val="0"/>
          <w:numId w:val="6"/>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负责陵园建筑物的日常维护与维修工作;</w:t>
      </w:r>
    </w:p>
    <w:p w14:paraId="2CA05AC7">
      <w:pPr>
        <w:numPr>
          <w:ilvl w:val="0"/>
          <w:numId w:val="6"/>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负责建立完善烈士档案;</w:t>
      </w:r>
    </w:p>
    <w:p w14:paraId="338F0E07">
      <w:pPr>
        <w:numPr>
          <w:ilvl w:val="0"/>
          <w:numId w:val="6"/>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负责革命烈士骨灰的安葬工作;</w:t>
      </w:r>
    </w:p>
    <w:p w14:paraId="7E881D55">
      <w:pPr>
        <w:numPr>
          <w:ilvl w:val="0"/>
          <w:numId w:val="6"/>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负责为社会各界及烈士亲属祭扫活动提供服务，充分发挥爱国主义及青少年教育基地的作用;</w:t>
      </w:r>
    </w:p>
    <w:p w14:paraId="0B1E1A58">
      <w:pPr>
        <w:numPr>
          <w:ilvl w:val="0"/>
          <w:numId w:val="6"/>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负责园区内卫生、环境绿化和安全保卫工作。</w:t>
      </w:r>
    </w:p>
    <w:p w14:paraId="3762D3C5">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highlight w:val="none"/>
          <w14:textFill>
            <w14:solidFill>
              <w14:schemeClr w14:val="tx1"/>
            </w14:solidFill>
          </w14:textFill>
        </w:rPr>
      </w:pPr>
      <w:bookmarkStart w:id="4" w:name="_Toc7229"/>
      <w:r>
        <w:rPr>
          <w:rFonts w:hint="eastAsia" w:ascii="宋体" w:hAnsi="宋体" w:eastAsia="宋体" w:cs="宋体"/>
          <w:color w:val="000000" w:themeColor="text1"/>
          <w:kern w:val="44"/>
          <w:sz w:val="28"/>
          <w:szCs w:val="28"/>
          <w:highlight w:val="none"/>
          <w14:textFill>
            <w14:solidFill>
              <w14:schemeClr w14:val="tx1"/>
            </w14:solidFill>
          </w14:textFill>
        </w:rPr>
        <w:t>项目概况</w:t>
      </w:r>
      <w:bookmarkEnd w:id="4"/>
    </w:p>
    <w:p w14:paraId="32EDF632">
      <w:pPr>
        <w:numPr>
          <w:ilvl w:val="0"/>
          <w:numId w:val="7"/>
        </w:numPr>
        <w:spacing w:line="360" w:lineRule="auto"/>
        <w:ind w:left="0" w:leftChars="0" w:firstLine="283" w:firstLineChars="0"/>
        <w:jc w:val="left"/>
        <w:outlineLvl w:val="2"/>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bookmarkStart w:id="5" w:name="_Toc2828"/>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项目主要内容</w:t>
      </w:r>
      <w:bookmarkEnd w:id="5"/>
    </w:p>
    <w:p w14:paraId="267272D7">
      <w:pPr>
        <w:numPr>
          <w:ilvl w:val="0"/>
          <w:numId w:val="0"/>
        </w:numPr>
        <w:spacing w:line="360" w:lineRule="auto"/>
        <w:ind w:firstLine="560" w:firstLineChars="200"/>
        <w:jc w:val="left"/>
        <w:outlineLvl w:val="9"/>
        <w:rPr>
          <w:rFonts w:hint="default"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根据《退役军人保障法》《</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军人抚恤优待条例</w:t>
      </w:r>
      <w:r>
        <w:rPr>
          <w:rFonts w:hint="eastAsia" w:ascii="宋体" w:hAnsi="宋体" w:cs="宋体"/>
          <w:color w:val="000000" w:themeColor="text1"/>
          <w:kern w:val="44"/>
          <w:sz w:val="28"/>
          <w:szCs w:val="28"/>
          <w:highlight w:val="none"/>
          <w:lang w:val="en-US" w:eastAsia="zh-CN"/>
          <w14:textFill>
            <w14:solidFill>
              <w14:schemeClr w14:val="tx1"/>
            </w14:solidFill>
          </w14:textFill>
        </w:rPr>
        <w:t>》、退役军人事务部 财政部《关于调整部分优抚对象等人员抚恤和生活补助标准的通知》（退役军人部发【2023】39号）、河南省退役军人事务厅  河南省财政厅《关于调整部分优抚对象等人员抚恤和生活补助标准的通知》（豫退役军人【2023】76号）等文件的规定，及时足额的向符合条件的三属人员（烈士遗属、因公牺牲军人遗属、病故军人遗属）、在乡老复员军人、带病回乡退伍军人、残疾军人、两参人员、年满60周岁农村籍退役士兵、烈士子女等，发放补助。</w:t>
      </w:r>
    </w:p>
    <w:p w14:paraId="0FE2408C">
      <w:pPr>
        <w:numPr>
          <w:ilvl w:val="0"/>
          <w:numId w:val="7"/>
        </w:numPr>
        <w:spacing w:line="360" w:lineRule="auto"/>
        <w:ind w:left="0" w:leftChars="0" w:firstLine="283" w:firstLineChars="0"/>
        <w:jc w:val="left"/>
        <w:outlineLvl w:val="2"/>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bookmarkStart w:id="6" w:name="_Toc24872"/>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立项依据</w:t>
      </w:r>
      <w:bookmarkEnd w:id="6"/>
    </w:p>
    <w:p w14:paraId="52BC1A43">
      <w:pPr>
        <w:pStyle w:val="11"/>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《退役军人保障法》</w:t>
      </w:r>
    </w:p>
    <w:p w14:paraId="637CC5F6">
      <w:pPr>
        <w:pStyle w:val="11"/>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《军人抚恤优待条例》</w:t>
      </w:r>
    </w:p>
    <w:p w14:paraId="78F39536">
      <w:pPr>
        <w:pStyle w:val="11"/>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退役军人事务部 财政部《关于调整部分优抚对象等人员抚恤</w:t>
      </w:r>
    </w:p>
    <w:p w14:paraId="181F0CF5">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和生活补助标准的通知》（退役军人部发【2023】39号）</w:t>
      </w:r>
    </w:p>
    <w:p w14:paraId="384A2BC5">
      <w:pPr>
        <w:pStyle w:val="11"/>
        <w:numPr>
          <w:ilvl w:val="0"/>
          <w:numId w:val="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河南省退役军人事务厅  河南省财政厅《关于调整部分优抚</w:t>
      </w:r>
    </w:p>
    <w:p w14:paraId="1641085D">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对象等人员抚恤和生活补助标准的通知》（豫退役军人【2023】76号）</w:t>
      </w:r>
    </w:p>
    <w:p w14:paraId="7BB76F7E">
      <w:pPr>
        <w:numPr>
          <w:ilvl w:val="0"/>
          <w:numId w:val="7"/>
        </w:numPr>
        <w:spacing w:line="360" w:lineRule="auto"/>
        <w:ind w:left="0" w:leftChars="0" w:firstLine="283" w:firstLineChars="0"/>
        <w:jc w:val="left"/>
        <w:outlineLvl w:val="2"/>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bookmarkStart w:id="7" w:name="_Toc5932"/>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项目背景</w:t>
      </w:r>
      <w:bookmarkEnd w:id="7"/>
    </w:p>
    <w:p w14:paraId="238CF68B">
      <w:pPr>
        <w:numPr>
          <w:ilvl w:val="0"/>
          <w:numId w:val="0"/>
        </w:numPr>
        <w:spacing w:line="360" w:lineRule="auto"/>
        <w:ind w:left="283" w:leftChars="0"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国家对退役军人抚恤优待，核心是历史传承、国防刚需、社会治理与法治保障的叠加，本质是对军人奉献的制度化回馈，也是强军与社会稳定的重要支撑。</w:t>
      </w:r>
    </w:p>
    <w:p w14:paraId="5D335871">
      <w:pPr>
        <w:pStyle w:val="11"/>
        <w:numPr>
          <w:ilvl w:val="0"/>
          <w:numId w:val="9"/>
        </w:numPr>
        <w:ind w:left="454" w:leftChars="0" w:firstLine="113" w:firstLineChars="0"/>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红色基因与制度演进</w:t>
      </w:r>
    </w:p>
    <w:p w14:paraId="3AA02060">
      <w:pPr>
        <w:numPr>
          <w:ilvl w:val="0"/>
          <w:numId w:val="0"/>
        </w:numPr>
        <w:spacing w:line="360" w:lineRule="auto"/>
        <w:ind w:left="283" w:leftChars="0"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革命时期（1931年起）：中华苏维埃颁布《中国工农红军优待条例》等，奠定抚恤优待根基。</w:t>
      </w:r>
    </w:p>
    <w:p w14:paraId="62D4B50A">
      <w:pPr>
        <w:numPr>
          <w:ilvl w:val="0"/>
          <w:numId w:val="0"/>
        </w:numPr>
        <w:spacing w:line="360" w:lineRule="auto"/>
        <w:ind w:left="283" w:leftChars="0"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建国至改革开放：以战时抚恤为主，建立伤残军人补助、烈士家属抚恤等基础制度，标准偏低。</w:t>
      </w:r>
    </w:p>
    <w:p w14:paraId="78361690">
      <w:pPr>
        <w:numPr>
          <w:ilvl w:val="0"/>
          <w:numId w:val="0"/>
        </w:numPr>
        <w:spacing w:line="360" w:lineRule="auto"/>
        <w:ind w:left="283" w:leftChars="0"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改革开放后：1988年出台《军人抚恤优待条例》，2004、2024年两次修订，覆盖范围与标准持续扩大提升。</w:t>
      </w:r>
    </w:p>
    <w:p w14:paraId="51527AFB">
      <w:pPr>
        <w:numPr>
          <w:ilvl w:val="0"/>
          <w:numId w:val="0"/>
        </w:numPr>
        <w:spacing w:line="360" w:lineRule="auto"/>
        <w:ind w:left="283" w:leftChars="0"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新时代：2018年成立退役军人事务部，2021年施行《退役军人保障法》，构建“普惠+优待”的完整法治与服务体系。</w:t>
      </w:r>
    </w:p>
    <w:p w14:paraId="0F96FF5E">
      <w:pPr>
        <w:pStyle w:val="11"/>
        <w:numPr>
          <w:ilvl w:val="0"/>
          <w:numId w:val="9"/>
        </w:numPr>
        <w:ind w:left="454" w:leftChars="0" w:firstLine="113" w:firstLineChars="0"/>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 xml:space="preserve"> 国防与强军战略需求</w:t>
      </w:r>
    </w:p>
    <w:p w14:paraId="6783685C">
      <w:pPr>
        <w:numPr>
          <w:ilvl w:val="0"/>
          <w:numId w:val="0"/>
        </w:numPr>
        <w:spacing w:line="360" w:lineRule="auto"/>
        <w:ind w:left="283" w:leftChars="0"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消除现役军人后顾之忧，增强职业荣誉感，提升征兵与强军质量，支撑国防现代化。</w:t>
      </w:r>
    </w:p>
    <w:p w14:paraId="7459A2D7">
      <w:pPr>
        <w:numPr>
          <w:ilvl w:val="0"/>
          <w:numId w:val="0"/>
        </w:numPr>
        <w:spacing w:line="360" w:lineRule="auto"/>
        <w:ind w:left="283" w:leftChars="0"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构建“服役-退役-优待”闭环，让军人成为全社会尊崇的职业，巩固国防动员根基。</w:t>
      </w:r>
    </w:p>
    <w:p w14:paraId="74DB8C5D">
      <w:pPr>
        <w:pStyle w:val="11"/>
        <w:numPr>
          <w:ilvl w:val="0"/>
          <w:numId w:val="9"/>
        </w:numPr>
        <w:ind w:left="454" w:leftChars="0" w:firstLine="113" w:firstLineChars="0"/>
        <w:outlineLvl w:val="9"/>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社会治理与民生保障需要</w:t>
      </w:r>
    </w:p>
    <w:p w14:paraId="7790849C">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补偿军人服役期间的特殊牺牲（艰苦边远、高危岗位等），促进社会公平。</w:t>
      </w:r>
    </w:p>
    <w:p w14:paraId="2670884B">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解决历史遗留问题，整合</w:t>
      </w:r>
      <w:r>
        <w:rPr>
          <w:rFonts w:hint="eastAsia" w:ascii="宋体" w:hAnsi="宋体" w:cs="宋体"/>
          <w:color w:val="000000" w:themeColor="text1"/>
          <w:kern w:val="44"/>
          <w:sz w:val="28"/>
          <w:szCs w:val="28"/>
          <w:highlight w:val="none"/>
          <w:lang w:val="en-US" w:eastAsia="zh-CN"/>
          <w14:textFill>
            <w14:solidFill>
              <w14:schemeClr w14:val="tx1"/>
            </w14:solidFill>
          </w14:textFill>
        </w:rPr>
        <w:t>多个</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个部门分散政策，避免“政策空转”，精准保障</w:t>
      </w:r>
      <w:r>
        <w:rPr>
          <w:rFonts w:hint="eastAsia" w:ascii="宋体" w:hAnsi="宋体" w:cs="宋体"/>
          <w:color w:val="000000" w:themeColor="text1"/>
          <w:kern w:val="44"/>
          <w:sz w:val="28"/>
          <w:szCs w:val="28"/>
          <w:highlight w:val="none"/>
          <w:lang w:val="en-US" w:eastAsia="zh-CN"/>
          <w14:textFill>
            <w14:solidFill>
              <w14:schemeClr w14:val="tx1"/>
            </w14:solidFill>
          </w14:textFill>
        </w:rPr>
        <w:t>每一位</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优抚对象权益。</w:t>
      </w:r>
    </w:p>
    <w:p w14:paraId="6144CFA7">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引导社会力量参与，形成尊崇氛围，助力退役军人融入社会、稳定就业。</w:t>
      </w:r>
    </w:p>
    <w:p w14:paraId="50B0EF1C">
      <w:pPr>
        <w:pStyle w:val="11"/>
        <w:numPr>
          <w:ilvl w:val="0"/>
          <w:numId w:val="9"/>
        </w:numPr>
        <w:ind w:left="454" w:leftChars="0" w:firstLine="113" w:firstLineChars="0"/>
        <w:outlineLvl w:val="9"/>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法治与制度保障深化</w:t>
      </w:r>
    </w:p>
    <w:p w14:paraId="0A824332">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以《国防法》《兵役法》《退役军人保障法》《军人抚恤优待条例》等为骨干，建立抚恤补助标准自然增长机制，2024年已是连续20余年提高标准。</w:t>
      </w:r>
    </w:p>
    <w:p w14:paraId="6B2C3614">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制发优待证、悬挂光荣牌、完善荣誉激励，实现精神与物质并重的保障闭环。</w:t>
      </w:r>
    </w:p>
    <w:p w14:paraId="3A074BE4">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highlight w:val="none"/>
          <w14:textFill>
            <w14:solidFill>
              <w14:schemeClr w14:val="tx1"/>
            </w14:solidFill>
          </w14:textFill>
        </w:rPr>
      </w:pPr>
      <w:bookmarkStart w:id="8" w:name="_Toc11330"/>
      <w:r>
        <w:rPr>
          <w:rFonts w:hint="eastAsia" w:ascii="宋体" w:hAnsi="宋体" w:eastAsia="宋体" w:cs="宋体"/>
          <w:color w:val="000000" w:themeColor="text1"/>
          <w:kern w:val="44"/>
          <w:sz w:val="28"/>
          <w:szCs w:val="28"/>
          <w:highlight w:val="none"/>
          <w14:textFill>
            <w14:solidFill>
              <w14:schemeClr w14:val="tx1"/>
            </w14:solidFill>
          </w14:textFill>
        </w:rPr>
        <w:t>项目资金情况</w:t>
      </w:r>
      <w:bookmarkEnd w:id="8"/>
    </w:p>
    <w:p w14:paraId="6A891F83">
      <w:pPr>
        <w:pStyle w:val="11"/>
        <w:numPr>
          <w:ilvl w:val="0"/>
          <w:numId w:val="10"/>
        </w:numPr>
        <w:ind w:left="454" w:leftChars="0" w:firstLine="113" w:firstLineChars="0"/>
        <w:rPr>
          <w:rFonts w:hint="default"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预算安排</w:t>
      </w:r>
    </w:p>
    <w:p w14:paraId="195A2CCE">
      <w:pPr>
        <w:pStyle w:val="11"/>
        <w:numPr>
          <w:ilvl w:val="0"/>
          <w:numId w:val="0"/>
        </w:numPr>
        <w:tabs>
          <w:tab w:val="left" w:pos="0"/>
        </w:tabs>
        <w:ind w:firstLine="560" w:firstLineChars="200"/>
        <w:rPr>
          <w:rFonts w:hint="eastAsia" w:ascii="宋体" w:hAnsi="宋体" w:cs="宋体"/>
          <w:color w:val="000000" w:themeColor="text1"/>
          <w:kern w:val="44"/>
          <w:sz w:val="28"/>
          <w:szCs w:val="28"/>
          <w:lang w:val="en-US" w:eastAsia="zh-CN" w:bidi="ar-SA"/>
          <w14:textFill>
            <w14:solidFill>
              <w14:schemeClr w14:val="tx1"/>
            </w14:solidFill>
          </w14:textFill>
        </w:rPr>
      </w:pPr>
      <w:r>
        <w:rPr>
          <w:rFonts w:hint="default" w:ascii="宋体" w:hAnsi="宋体" w:eastAsia="宋体" w:cs="宋体"/>
          <w:color w:val="000000" w:themeColor="text1"/>
          <w:kern w:val="44"/>
          <w:sz w:val="28"/>
          <w:szCs w:val="28"/>
          <w:lang w:val="en-US" w:eastAsia="zh-CN" w:bidi="ar-SA"/>
          <w14:textFill>
            <w14:solidFill>
              <w14:schemeClr w14:val="tx1"/>
            </w14:solidFill>
          </w14:textFill>
        </w:rPr>
        <w:t>2024年三门峡市陕州区退役军人事务局部门预算</w:t>
      </w:r>
      <w:r>
        <w:rPr>
          <w:rFonts w:hint="eastAsia" w:ascii="宋体" w:hAnsi="宋体" w:cs="宋体"/>
          <w:color w:val="000000" w:themeColor="text1"/>
          <w:kern w:val="44"/>
          <w:sz w:val="28"/>
          <w:szCs w:val="28"/>
          <w:lang w:val="en-US" w:eastAsia="zh-CN" w:bidi="ar-SA"/>
          <w14:textFill>
            <w14:solidFill>
              <w14:schemeClr w14:val="tx1"/>
            </w14:solidFill>
          </w14:textFill>
        </w:rPr>
        <w:t>报告显示项目支出-伤残抚恤1,679.46万元。</w:t>
      </w:r>
    </w:p>
    <w:p w14:paraId="39BD15F6">
      <w:pPr>
        <w:pStyle w:val="11"/>
        <w:numPr>
          <w:ilvl w:val="0"/>
          <w:numId w:val="10"/>
        </w:numPr>
        <w:ind w:left="454" w:leftChars="0" w:firstLine="113" w:firstLineChars="0"/>
        <w:rPr>
          <w:rFonts w:hint="default"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资金落实</w:t>
      </w:r>
    </w:p>
    <w:p w14:paraId="3A6ACEAA">
      <w:pPr>
        <w:pStyle w:val="11"/>
        <w:numPr>
          <w:ilvl w:val="0"/>
          <w:numId w:val="0"/>
        </w:numPr>
        <w:tabs>
          <w:tab w:val="left" w:pos="0"/>
        </w:tabs>
        <w:ind w:firstLine="560" w:firstLineChars="200"/>
        <w:rPr>
          <w:rFonts w:hint="eastAsia" w:ascii="宋体" w:hAnsi="宋体" w:cs="宋体"/>
          <w:color w:val="000000" w:themeColor="text1"/>
          <w:kern w:val="44"/>
          <w:sz w:val="28"/>
          <w:szCs w:val="28"/>
          <w:lang w:val="en-US" w:eastAsia="zh-CN" w:bidi="ar-SA"/>
          <w14:textFill>
            <w14:solidFill>
              <w14:schemeClr w14:val="tx1"/>
            </w14:solidFill>
          </w14:textFill>
        </w:rPr>
      </w:pPr>
      <w:r>
        <w:rPr>
          <w:rFonts w:hint="eastAsia" w:ascii="宋体" w:hAnsi="宋体" w:cs="宋体"/>
          <w:color w:val="000000" w:themeColor="text1"/>
          <w:kern w:val="44"/>
          <w:sz w:val="28"/>
          <w:szCs w:val="28"/>
          <w:lang w:val="en-US" w:eastAsia="zh-CN" w:bidi="ar-SA"/>
          <w14:textFill>
            <w14:solidFill>
              <w14:schemeClr w14:val="tx1"/>
            </w14:solidFill>
          </w14:textFill>
        </w:rPr>
        <w:t>2024年</w:t>
      </w:r>
      <w:r>
        <w:rPr>
          <w:rFonts w:hint="default" w:ascii="宋体" w:hAnsi="宋体" w:eastAsia="宋体" w:cs="宋体"/>
          <w:color w:val="000000" w:themeColor="text1"/>
          <w:kern w:val="44"/>
          <w:sz w:val="28"/>
          <w:szCs w:val="28"/>
          <w:lang w:val="en-US" w:eastAsia="zh-CN" w:bidi="ar-SA"/>
          <w14:textFill>
            <w14:solidFill>
              <w14:schemeClr w14:val="tx1"/>
            </w14:solidFill>
          </w14:textFill>
        </w:rPr>
        <w:t>三门峡市陕州区退役军人事务局</w:t>
      </w:r>
      <w:r>
        <w:rPr>
          <w:rFonts w:hint="eastAsia" w:ascii="宋体" w:hAnsi="宋体" w:cs="宋体"/>
          <w:color w:val="000000" w:themeColor="text1"/>
          <w:kern w:val="44"/>
          <w:sz w:val="28"/>
          <w:szCs w:val="28"/>
          <w:lang w:val="en-US" w:eastAsia="zh-CN" w:bidi="ar-SA"/>
          <w14:textFill>
            <w14:solidFill>
              <w14:schemeClr w14:val="tx1"/>
            </w14:solidFill>
          </w14:textFill>
        </w:rPr>
        <w:t>每月皆向三门峡市陕州区财政局请示拨付抚恤经费，12个月合计申请拨付抚恤经费16,803,172.12元。</w:t>
      </w:r>
    </w:p>
    <w:p w14:paraId="249648C1">
      <w:pPr>
        <w:pStyle w:val="11"/>
        <w:numPr>
          <w:ilvl w:val="0"/>
          <w:numId w:val="10"/>
        </w:numPr>
        <w:ind w:left="454" w:leftChars="0" w:firstLine="113" w:firstLineChars="0"/>
        <w:rPr>
          <w:rFonts w:hint="default"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cs="宋体"/>
          <w:color w:val="000000" w:themeColor="text1"/>
          <w:kern w:val="44"/>
          <w:sz w:val="28"/>
          <w:szCs w:val="28"/>
          <w:lang w:val="en-US" w:eastAsia="zh-CN" w:bidi="ar-SA"/>
          <w14:textFill>
            <w14:solidFill>
              <w14:schemeClr w14:val="tx1"/>
            </w14:solidFill>
          </w14:textFill>
        </w:rPr>
        <w:t>预算执行</w:t>
      </w:r>
    </w:p>
    <w:p w14:paraId="5525ACE7">
      <w:pPr>
        <w:pStyle w:val="11"/>
        <w:numPr>
          <w:ilvl w:val="0"/>
          <w:numId w:val="0"/>
        </w:numPr>
        <w:tabs>
          <w:tab w:val="left" w:pos="0"/>
        </w:tabs>
        <w:ind w:firstLine="560" w:firstLineChars="200"/>
        <w:rPr>
          <w:rFonts w:hint="default"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cs="宋体"/>
          <w:color w:val="000000" w:themeColor="text1"/>
          <w:kern w:val="44"/>
          <w:sz w:val="28"/>
          <w:szCs w:val="28"/>
          <w:lang w:val="en-US" w:eastAsia="zh-CN" w:bidi="ar-SA"/>
          <w14:textFill>
            <w14:solidFill>
              <w14:schemeClr w14:val="tx1"/>
            </w14:solidFill>
          </w14:textFill>
        </w:rPr>
        <w:t>查阅</w:t>
      </w:r>
      <w:r>
        <w:rPr>
          <w:rFonts w:hint="default" w:ascii="宋体" w:hAnsi="宋体" w:eastAsia="宋体" w:cs="宋体"/>
          <w:color w:val="000000" w:themeColor="text1"/>
          <w:kern w:val="44"/>
          <w:sz w:val="28"/>
          <w:szCs w:val="28"/>
          <w:lang w:val="en-US" w:eastAsia="zh-CN" w:bidi="ar-SA"/>
          <w14:textFill>
            <w14:solidFill>
              <w14:schemeClr w14:val="tx1"/>
            </w14:solidFill>
          </w14:textFill>
        </w:rPr>
        <w:t>三门峡市陕州区退役军人事务局</w:t>
      </w:r>
      <w:r>
        <w:rPr>
          <w:rFonts w:hint="eastAsia" w:ascii="宋体" w:hAnsi="宋体" w:cs="宋体"/>
          <w:color w:val="000000" w:themeColor="text1"/>
          <w:kern w:val="44"/>
          <w:sz w:val="28"/>
          <w:szCs w:val="28"/>
          <w:lang w:val="en-US" w:eastAsia="zh-CN" w:bidi="ar-SA"/>
          <w14:textFill>
            <w14:solidFill>
              <w14:schemeClr w14:val="tx1"/>
            </w14:solidFill>
          </w14:textFill>
        </w:rPr>
        <w:t>2024年度抚恤经费的支出凭证，统计其1-12月的支出合计16,803,172.12元，预算执行率100%。</w:t>
      </w:r>
    </w:p>
    <w:p w14:paraId="43818AB5">
      <w:pPr>
        <w:pStyle w:val="11"/>
        <w:numPr>
          <w:ilvl w:val="0"/>
          <w:numId w:val="0"/>
        </w:numPr>
        <w:tabs>
          <w:tab w:val="left" w:pos="0"/>
        </w:tabs>
        <w:ind w:firstLine="560" w:firstLineChars="200"/>
        <w:rPr>
          <w:rFonts w:hint="eastAsia" w:ascii="宋体" w:hAnsi="宋体" w:cs="宋体"/>
          <w:color w:val="000000" w:themeColor="text1"/>
          <w:kern w:val="44"/>
          <w:sz w:val="28"/>
          <w:szCs w:val="28"/>
          <w:lang w:val="en-US" w:eastAsia="zh-CN" w:bidi="ar-SA"/>
          <w14:textFill>
            <w14:solidFill>
              <w14:schemeClr w14:val="tx1"/>
            </w14:solidFill>
          </w14:textFill>
        </w:rPr>
      </w:pPr>
      <w:r>
        <w:rPr>
          <w:rFonts w:hint="eastAsia" w:ascii="宋体" w:hAnsi="宋体" w:cs="宋体"/>
          <w:color w:val="000000" w:themeColor="text1"/>
          <w:kern w:val="44"/>
          <w:sz w:val="28"/>
          <w:szCs w:val="28"/>
          <w:lang w:val="en-US" w:eastAsia="zh-CN" w:bidi="ar-SA"/>
          <w14:textFill>
            <w14:solidFill>
              <w14:schemeClr w14:val="tx1"/>
            </w14:solidFill>
          </w14:textFill>
        </w:rPr>
        <w:t>预算执行明细情况见下表：</w:t>
      </w:r>
    </w:p>
    <w:tbl>
      <w:tblPr>
        <w:tblStyle w:val="12"/>
        <w:tblW w:w="5306" w:type="pct"/>
        <w:tblInd w:w="-2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0"/>
        <w:gridCol w:w="1365"/>
        <w:gridCol w:w="1425"/>
        <w:gridCol w:w="1335"/>
        <w:gridCol w:w="1335"/>
        <w:gridCol w:w="1440"/>
        <w:gridCol w:w="1484"/>
      </w:tblGrid>
      <w:tr w14:paraId="30647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blHead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6D17">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b/>
                <w:bCs/>
                <w:i w:val="0"/>
                <w:iCs w:val="0"/>
                <w:color w:val="000000"/>
                <w:kern w:val="0"/>
                <w:sz w:val="28"/>
                <w:szCs w:val="28"/>
                <w:u w:val="none"/>
                <w:lang w:val="en-US" w:eastAsia="zh-CN" w:bidi="ar"/>
              </w:rPr>
              <w:t>三门峡市陕州区退役军人事务局2024年度抚恤经费支出明细表</w:t>
            </w:r>
          </w:p>
        </w:tc>
      </w:tr>
      <w:tr w14:paraId="79AF4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blHeader/>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ED33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月份</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1456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死亡抚恤</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D05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伤残抚恤</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45DB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在乡复员、退伍军人生活补助</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A12C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农村籍退役士兵生活补助</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CD0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其他优抚支出</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8D26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r>
      <w:tr w14:paraId="67478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8465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B5BE">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5E657">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468,769.44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297A">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206,002.50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DAF4">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448,685.50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C4A5">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241,860.00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46CB">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1,435,159.20 </w:t>
            </w:r>
          </w:p>
        </w:tc>
      </w:tr>
      <w:tr w14:paraId="75CEC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414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6D19">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F433">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411,321.06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1B74">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209,731.50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DC4CE">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453,559.40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5DD5">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241,860.00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AC31E">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1,386,313.72 </w:t>
            </w:r>
          </w:p>
        </w:tc>
      </w:tr>
      <w:tr w14:paraId="5E34E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EE3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3</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9CA95">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01C0F">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411,321.06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820E2">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209,824.50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1A121">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454,362.16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ED01B">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241,860.00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0589">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1,387,209.48 </w:t>
            </w:r>
          </w:p>
        </w:tc>
      </w:tr>
      <w:tr w14:paraId="4A38D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5A6A">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5330">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D6780">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427,180.24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5CF4C">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228,190.00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81D4F">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451,667.18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836AB">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241,860.00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CA57">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1,418,739.18 </w:t>
            </w:r>
          </w:p>
        </w:tc>
      </w:tr>
      <w:tr w14:paraId="6B9AD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5CA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E3EE">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FA57">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417,260.22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F13D">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214,795.01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85FA">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453,960.78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120C">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241,860.00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1B73E">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1,397,717.77 </w:t>
            </w:r>
          </w:p>
        </w:tc>
      </w:tr>
      <w:tr w14:paraId="0B9C5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BD77">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6</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073A">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38652">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416,442.72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D5B00">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207,437.51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10FA7">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446,105.20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2A7C">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251,940.00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A06FA">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1,391,767.19 </w:t>
            </w:r>
          </w:p>
        </w:tc>
      </w:tr>
      <w:tr w14:paraId="0B2E5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7529">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7</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D0D6">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2C26">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412,768.56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EB2D2">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261,531.50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75E0">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453,215.36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4BD82">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242,700.00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9A19">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1,440,057.18 </w:t>
            </w:r>
          </w:p>
        </w:tc>
      </w:tr>
      <w:tr w14:paraId="18D49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F875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8</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D7DE2">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E525">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412,768.56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8251D">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206,937.50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57F4B">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450,635.06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56FA">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242,700.00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EB92">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1,382,882.88 </w:t>
            </w:r>
          </w:p>
        </w:tc>
      </w:tr>
      <w:tr w14:paraId="4864A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2C9C">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9</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5CC2">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27F92">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412,768.56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62635">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206,937.50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A9B7">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452,240.58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D66E">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242,700.00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C46F">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1,384,488.40 </w:t>
            </w:r>
          </w:p>
        </w:tc>
      </w:tr>
      <w:tr w14:paraId="5A004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66F31">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10</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2EF1">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64BD7">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412,768.56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5505E">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206,937.50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ADBB">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448,742.84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F049">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242,700.00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8381">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1,380,990.66 </w:t>
            </w:r>
          </w:p>
        </w:tc>
      </w:tr>
      <w:tr w14:paraId="170EA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807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11</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ACA4">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63C7">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412,768.56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E24B">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214,295.00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29971">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460,784.24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FED5">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246,900.00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13F1">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1,404,589.56 </w:t>
            </w:r>
          </w:p>
        </w:tc>
      </w:tr>
      <w:tr w14:paraId="6318E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32BC3">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12</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CEAB">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69,841.76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95D07">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412,768.56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98C85">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214,768.46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E884">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454,018.12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7BBEA">
            <w:pPr>
              <w:keepNext w:val="0"/>
              <w:keepLines w:val="0"/>
              <w:widowControl/>
              <w:suppressLineNumbers w:val="0"/>
              <w:jc w:val="righ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241,860.00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CA6A">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1,393,256.90 </w:t>
            </w:r>
          </w:p>
        </w:tc>
      </w:tr>
      <w:tr w14:paraId="022F5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3D2AC">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合计</w:t>
            </w:r>
          </w:p>
        </w:tc>
        <w:tc>
          <w:tcPr>
            <w:tcW w:w="7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83A98">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838,101.12 </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5A26C">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5,028,906.10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2878">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2,587,388.48 </w:t>
            </w:r>
          </w:p>
        </w:tc>
        <w:tc>
          <w:tcPr>
            <w:tcW w:w="7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7768">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5,427,976.42 </w:t>
            </w:r>
          </w:p>
        </w:tc>
        <w:tc>
          <w:tcPr>
            <w:tcW w:w="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C76D">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2,920,800.00 </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3464D">
            <w:pPr>
              <w:keepNext w:val="0"/>
              <w:keepLines w:val="0"/>
              <w:widowControl/>
              <w:suppressLineNumbers w:val="0"/>
              <w:jc w:val="right"/>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16,803,172.12 </w:t>
            </w:r>
          </w:p>
        </w:tc>
      </w:tr>
    </w:tbl>
    <w:p w14:paraId="164E42CD">
      <w:pPr>
        <w:numPr>
          <w:ilvl w:val="0"/>
          <w:numId w:val="2"/>
        </w:numPr>
        <w:spacing w:line="360" w:lineRule="auto"/>
        <w:ind w:left="0" w:leftChars="0" w:firstLine="283" w:firstLineChars="0"/>
        <w:jc w:val="left"/>
        <w:outlineLvl w:val="1"/>
        <w:rPr>
          <w:rFonts w:hint="eastAsia" w:ascii="宋体" w:hAnsi="宋体" w:eastAsia="宋体" w:cs="宋体"/>
          <w:color w:val="000000" w:themeColor="text1"/>
          <w:kern w:val="44"/>
          <w:sz w:val="28"/>
          <w:szCs w:val="28"/>
          <w:highlight w:val="none"/>
          <w14:textFill>
            <w14:solidFill>
              <w14:schemeClr w14:val="tx1"/>
            </w14:solidFill>
          </w14:textFill>
        </w:rPr>
      </w:pPr>
      <w:bookmarkStart w:id="9" w:name="_Toc26381"/>
      <w:r>
        <w:rPr>
          <w:rFonts w:hint="eastAsia" w:ascii="宋体" w:hAnsi="宋体" w:eastAsia="宋体" w:cs="宋体"/>
          <w:color w:val="000000" w:themeColor="text1"/>
          <w:kern w:val="44"/>
          <w:sz w:val="28"/>
          <w:szCs w:val="28"/>
          <w:highlight w:val="none"/>
          <w14:textFill>
            <w14:solidFill>
              <w14:schemeClr w14:val="tx1"/>
            </w14:solidFill>
          </w14:textFill>
        </w:rPr>
        <w:t>绩效目标</w:t>
      </w:r>
      <w:bookmarkEnd w:id="9"/>
    </w:p>
    <w:p w14:paraId="132ABA54">
      <w:pPr>
        <w:numPr>
          <w:ilvl w:val="0"/>
          <w:numId w:val="0"/>
        </w:numPr>
        <w:spacing w:line="360" w:lineRule="auto"/>
        <w:ind w:firstLine="560" w:firstLineChars="200"/>
        <w:jc w:val="left"/>
        <w:outlineLvl w:val="9"/>
        <w:rPr>
          <w:rFonts w:hint="default"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三门峡市陕州区退役军人事务局未能提供抚恤经费项目的绩效目标、绩效指标。</w:t>
      </w:r>
    </w:p>
    <w:p w14:paraId="50C191E6">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10" w:name="_Toc10806"/>
      <w:r>
        <w:rPr>
          <w:rFonts w:hint="eastAsia" w:ascii="宋体" w:hAnsi="宋体" w:eastAsia="宋体" w:cs="宋体"/>
          <w:b/>
          <w:bCs/>
          <w:snapToGrid w:val="0"/>
          <w:color w:val="000000" w:themeColor="text1"/>
          <w:kern w:val="0"/>
          <w:sz w:val="28"/>
          <w:szCs w:val="28"/>
          <w14:textFill>
            <w14:solidFill>
              <w14:schemeClr w14:val="tx1"/>
            </w14:solidFill>
          </w14:textFill>
        </w:rPr>
        <w:t>评价工作简述</w:t>
      </w:r>
      <w:bookmarkEnd w:id="10"/>
    </w:p>
    <w:p w14:paraId="1B66F264">
      <w:pPr>
        <w:numPr>
          <w:ilvl w:val="0"/>
          <w:numId w:val="11"/>
        </w:numPr>
        <w:spacing w:line="360" w:lineRule="auto"/>
        <w:ind w:left="0" w:leftChars="0" w:firstLine="420"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11" w:name="_Toc8461"/>
      <w:r>
        <w:rPr>
          <w:rFonts w:hint="eastAsia" w:ascii="宋体" w:hAnsi="宋体" w:eastAsia="宋体" w:cs="宋体"/>
          <w:color w:val="000000" w:themeColor="text1"/>
          <w:kern w:val="44"/>
          <w:sz w:val="28"/>
          <w:szCs w:val="28"/>
          <w14:textFill>
            <w14:solidFill>
              <w14:schemeClr w14:val="tx1"/>
            </w14:solidFill>
          </w14:textFill>
        </w:rPr>
        <w:t>基本情况</w:t>
      </w:r>
      <w:bookmarkEnd w:id="11"/>
    </w:p>
    <w:p w14:paraId="7D872AE3">
      <w:pPr>
        <w:numPr>
          <w:ilvl w:val="0"/>
          <w:numId w:val="12"/>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2" w:name="_Toc27330"/>
      <w:r>
        <w:rPr>
          <w:rFonts w:hint="eastAsia" w:ascii="宋体" w:hAnsi="宋体" w:eastAsia="宋体" w:cs="宋体"/>
          <w:color w:val="000000" w:themeColor="text1"/>
          <w:kern w:val="44"/>
          <w:sz w:val="28"/>
          <w:szCs w:val="28"/>
          <w:lang w:val="en-US" w:eastAsia="zh-CN"/>
          <w14:textFill>
            <w14:solidFill>
              <w14:schemeClr w14:val="tx1"/>
            </w14:solidFill>
          </w14:textFill>
        </w:rPr>
        <w:t>评价目的</w:t>
      </w:r>
      <w:bookmarkEnd w:id="12"/>
    </w:p>
    <w:p w14:paraId="3D850A8B">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2025年12月8日，三门峡市陕州区财政局印发《关于开展 2024年度区级财政支出重点项目绩效评价工作的通知》（三陕财效(2025]5号），明确此次绩效评价的目的：聚焦重点领域，上级和区委、区政府重大政策及民生实事落实情况，对财政资金实施结果跟踪问效，掌握资金使用和实施情况，总结经验，找出存在问题，并提出意见建议。增强“花钱必问效，无效必问责”预算绩效理念，提高政策规划和预算编制精准性，强化预算支出和约束责任。逐步建立科学、规范、完善的预算绩效评价管理体系，推动财政资源配置科学化和资金使用效益最大化。</w:t>
      </w:r>
    </w:p>
    <w:p w14:paraId="18D9711B">
      <w:pPr>
        <w:numPr>
          <w:ilvl w:val="0"/>
          <w:numId w:val="12"/>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3" w:name="_Toc30055"/>
      <w:r>
        <w:rPr>
          <w:rFonts w:hint="eastAsia" w:ascii="宋体" w:hAnsi="宋体" w:eastAsia="宋体" w:cs="宋体"/>
          <w:color w:val="000000" w:themeColor="text1"/>
          <w:kern w:val="44"/>
          <w:sz w:val="28"/>
          <w:szCs w:val="28"/>
          <w:lang w:val="en-US" w:eastAsia="zh-CN"/>
          <w14:textFill>
            <w14:solidFill>
              <w14:schemeClr w14:val="tx1"/>
            </w14:solidFill>
          </w14:textFill>
        </w:rPr>
        <w:t>评价原则</w:t>
      </w:r>
      <w:bookmarkEnd w:id="13"/>
    </w:p>
    <w:p w14:paraId="16329C82">
      <w:pPr>
        <w:pStyle w:val="11"/>
        <w:numPr>
          <w:ilvl w:val="0"/>
          <w:numId w:val="13"/>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科学规范：绩效评价应当运用科学合理的方法，按照规范的</w:t>
      </w:r>
    </w:p>
    <w:p w14:paraId="02950705">
      <w:pPr>
        <w:pStyle w:val="11"/>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程序，对政策项目绩效进行客观、公正的反映。评价方法、指标体系、数据采集需符合财政管理和项目运行的客观规律，严格遵循既定的评价流程与技术标准，避免主观臆断，保障评价过程的严谨性和结果的可信度。</w:t>
      </w:r>
    </w:p>
    <w:p w14:paraId="390F714B">
      <w:pPr>
        <w:pStyle w:val="11"/>
        <w:numPr>
          <w:ilvl w:val="0"/>
          <w:numId w:val="13"/>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绩效相关原则：评价内容需紧密围绕项目的预期绩效目标，</w:t>
      </w:r>
    </w:p>
    <w:p w14:paraId="66BF4220">
      <w:pPr>
        <w:pStyle w:val="11"/>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聚焦资金使用与绩效产出之间的关联度，重点分析财政资金投入对项目目标实现的贡献程度，避免评价内容与项目绩效无关的冗余信息。</w:t>
      </w:r>
    </w:p>
    <w:p w14:paraId="1F62E334">
      <w:pPr>
        <w:pStyle w:val="11"/>
        <w:numPr>
          <w:ilvl w:val="0"/>
          <w:numId w:val="13"/>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定量与定性相结合原则：对能够量化的产出、效益指标（如</w:t>
      </w:r>
    </w:p>
    <w:p w14:paraId="0244B265">
      <w:pPr>
        <w:pStyle w:val="11"/>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项目完成率、资金节约率、受益人数等）采用定量分析；对难以量化的社会效益、生态效益、群众满意度等内容，采用定性分析并结合专家评估、问卷调查等方式佐证，实现评价结果的全面性与准确性。</w:t>
      </w:r>
    </w:p>
    <w:p w14:paraId="52BE19E3">
      <w:pPr>
        <w:pStyle w:val="11"/>
        <w:numPr>
          <w:ilvl w:val="0"/>
          <w:numId w:val="13"/>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公平公正：评价主体需保持中立立场，不受项目相关方的干</w:t>
      </w:r>
    </w:p>
    <w:p w14:paraId="7D7F9C88">
      <w:pPr>
        <w:pStyle w:val="11"/>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预或利益影响。</w:t>
      </w:r>
    </w:p>
    <w:p w14:paraId="7F6F9011">
      <w:pPr>
        <w:pStyle w:val="11"/>
        <w:numPr>
          <w:ilvl w:val="0"/>
          <w:numId w:val="13"/>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公开透明：</w:t>
      </w:r>
      <w:r>
        <w:rPr>
          <w:rFonts w:hint="eastAsia" w:ascii="宋体" w:hAnsi="宋体" w:eastAsia="宋体" w:cs="宋体"/>
          <w:color w:val="000000" w:themeColor="text1"/>
          <w:kern w:val="44"/>
          <w:sz w:val="28"/>
          <w:szCs w:val="28"/>
          <w:lang w:val="en-US" w:eastAsia="zh-CN"/>
          <w14:textFill>
            <w14:solidFill>
              <w14:schemeClr w14:val="tx1"/>
            </w14:solidFill>
          </w14:textFill>
        </w:rPr>
        <w:t>绩效</w:t>
      </w: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评价标准、过程、结果应依法依规向社会公</w:t>
      </w:r>
    </w:p>
    <w:p w14:paraId="7F58F4A8">
      <w:pPr>
        <w:pStyle w:val="11"/>
        <w:numPr>
          <w:ilvl w:val="0"/>
          <w:numId w:val="0"/>
        </w:numPr>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开（涉密内容除外），</w:t>
      </w:r>
      <w:r>
        <w:rPr>
          <w:rFonts w:hint="eastAsia" w:ascii="宋体" w:hAnsi="宋体" w:eastAsia="宋体" w:cs="宋体"/>
          <w:color w:val="000000" w:themeColor="text1"/>
          <w:kern w:val="44"/>
          <w:sz w:val="28"/>
          <w:szCs w:val="28"/>
          <w:lang w:val="en-US" w:eastAsia="zh-CN"/>
          <w14:textFill>
            <w14:solidFill>
              <w14:schemeClr w14:val="tx1"/>
            </w14:solidFill>
          </w14:textFill>
        </w:rPr>
        <w:t>自觉</w:t>
      </w:r>
      <w:r>
        <w:rPr>
          <w:rFonts w:hint="eastAsia" w:ascii="宋体" w:hAnsi="宋体" w:eastAsia="宋体" w:cs="宋体"/>
          <w:color w:val="000000" w:themeColor="text1"/>
          <w:kern w:val="44"/>
          <w:sz w:val="28"/>
          <w:szCs w:val="28"/>
          <w:lang w:val="en-US" w:eastAsia="zh-CN" w:bidi="ar-SA"/>
          <w14:textFill>
            <w14:solidFill>
              <w14:schemeClr w14:val="tx1"/>
            </w14:solidFill>
          </w14:textFill>
        </w:rPr>
        <w:t>接受社会监督，确保评价的公开性与透明度。</w:t>
      </w:r>
    </w:p>
    <w:p w14:paraId="2342C7F2">
      <w:pPr>
        <w:numPr>
          <w:ilvl w:val="0"/>
          <w:numId w:val="12"/>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4" w:name="_Toc1759"/>
      <w:r>
        <w:rPr>
          <w:rFonts w:hint="eastAsia" w:ascii="宋体" w:hAnsi="宋体" w:eastAsia="宋体" w:cs="宋体"/>
          <w:color w:val="000000" w:themeColor="text1"/>
          <w:kern w:val="44"/>
          <w:sz w:val="28"/>
          <w:szCs w:val="28"/>
          <w:lang w:val="en-US" w:eastAsia="zh-CN"/>
          <w14:textFill>
            <w14:solidFill>
              <w14:schemeClr w14:val="tx1"/>
            </w14:solidFill>
          </w14:textFill>
        </w:rPr>
        <w:t>评价方法</w:t>
      </w:r>
      <w:bookmarkEnd w:id="14"/>
    </w:p>
    <w:p w14:paraId="74423AB3">
      <w:pPr>
        <w:spacing w:line="360" w:lineRule="auto"/>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绩效评价方法的选用应当坚持简便有效的原则。根据评价对象的具体情况，可采用一种或多种方法进行绩效评价。</w:t>
      </w:r>
    </w:p>
    <w:p w14:paraId="5F843E7D">
      <w:pPr>
        <w:spacing w:line="360" w:lineRule="auto"/>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绩效评价方法主要采用比较法、因素分析法、公众评判法等。</w:t>
      </w:r>
    </w:p>
    <w:p w14:paraId="79DA553B">
      <w:pPr>
        <w:pStyle w:val="11"/>
        <w:numPr>
          <w:ilvl w:val="0"/>
          <w:numId w:val="14"/>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比较法。是指通过对绩效目标与实施效果、历史与当期情况、</w:t>
      </w:r>
    </w:p>
    <w:p w14:paraId="411CB888">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不同部门和地区同类支出的比较，综合分析绩效目标实现程度。</w:t>
      </w:r>
    </w:p>
    <w:p w14:paraId="3B5D3582">
      <w:pPr>
        <w:pStyle w:val="11"/>
        <w:numPr>
          <w:ilvl w:val="0"/>
          <w:numId w:val="14"/>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因素分析法。是指通过综合分析影响绩效目标实现、实施效</w:t>
      </w:r>
    </w:p>
    <w:p w14:paraId="1874F987">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果的内外因素，评价绩效目标实现程度。</w:t>
      </w:r>
    </w:p>
    <w:p w14:paraId="02398F54">
      <w:pPr>
        <w:pStyle w:val="11"/>
        <w:numPr>
          <w:ilvl w:val="0"/>
          <w:numId w:val="14"/>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公众评判法。是指通过专家评估、公众问卷及抽样调查等对</w:t>
      </w:r>
    </w:p>
    <w:p w14:paraId="5DB35257">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财政支出效果进行评判，评价绩效目标实现程度。</w:t>
      </w:r>
    </w:p>
    <w:p w14:paraId="63C89D4D">
      <w:pPr>
        <w:pStyle w:val="11"/>
        <w:numPr>
          <w:ilvl w:val="0"/>
          <w:numId w:val="14"/>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其他评价方法。</w:t>
      </w:r>
    </w:p>
    <w:p w14:paraId="366494F7">
      <w:pPr>
        <w:numPr>
          <w:ilvl w:val="0"/>
          <w:numId w:val="12"/>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5" w:name="_Toc17452"/>
      <w:r>
        <w:rPr>
          <w:rFonts w:hint="eastAsia" w:ascii="宋体" w:hAnsi="宋体" w:eastAsia="宋体" w:cs="宋体"/>
          <w:color w:val="000000" w:themeColor="text1"/>
          <w:kern w:val="44"/>
          <w:sz w:val="28"/>
          <w:szCs w:val="28"/>
          <w:lang w:val="en-US" w:eastAsia="zh-CN"/>
          <w14:textFill>
            <w14:solidFill>
              <w14:schemeClr w14:val="tx1"/>
            </w14:solidFill>
          </w14:textFill>
        </w:rPr>
        <w:t>指标体系</w:t>
      </w:r>
      <w:bookmarkEnd w:id="15"/>
    </w:p>
    <w:p w14:paraId="6529B691">
      <w:pPr>
        <w:pStyle w:val="11"/>
        <w:numPr>
          <w:ilvl w:val="0"/>
          <w:numId w:val="15"/>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绩效评价指标是指衡量绩效目标实现程度的考核工具。绩效</w:t>
      </w:r>
    </w:p>
    <w:p w14:paraId="7049C9F9">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评价指标的确定应当遵循以下原则：</w:t>
      </w:r>
    </w:p>
    <w:p w14:paraId="11A51D37">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①相关性原则。绩效评价指标应当与绩效目标有直接的联系，能够恰当反映目标的实现程度。</w:t>
      </w:r>
    </w:p>
    <w:p w14:paraId="10792D63">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②重要性原则。绩效评价指标应当优先使用最具评价对象代表性、最能反映评价要求的核心指标。</w:t>
      </w:r>
    </w:p>
    <w:p w14:paraId="208CACA6">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③可比性原则。对同类评价对象要设定共性的绩效评价指标，以便于评价结果相互比较。</w:t>
      </w:r>
    </w:p>
    <w:p w14:paraId="78306A54">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④系统性原则。绩效评价指标应当将定量指标与定性指标相结合，系统反映财政支出所产生的社会效益、经济效益、环境效益和可持续影响等。</w:t>
      </w:r>
    </w:p>
    <w:p w14:paraId="16BC7110">
      <w:pPr>
        <w:spacing w:line="600" w:lineRule="exact"/>
        <w:ind w:firstLine="548" w:firstLineChars="196"/>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⑤经济性原则。绩效评价指标设计应当通俗易懂、简便易行，数据的获得应当考虑现实条件和可操作性，符合成本效益原则。</w:t>
      </w:r>
    </w:p>
    <w:p w14:paraId="7904AF32">
      <w:pPr>
        <w:pStyle w:val="11"/>
        <w:numPr>
          <w:ilvl w:val="0"/>
          <w:numId w:val="15"/>
        </w:numPr>
        <w:ind w:left="454" w:leftChars="0" w:firstLine="113" w:firstLine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绩效评价指标分为共性指标和个性指标。</w:t>
      </w:r>
    </w:p>
    <w:p w14:paraId="0257A3A3">
      <w:pPr>
        <w:pStyle w:val="11"/>
        <w:numPr>
          <w:ilvl w:val="0"/>
          <w:numId w:val="0"/>
        </w:numPr>
        <w:tabs>
          <w:tab w:val="left" w:pos="0"/>
        </w:tabs>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①共性指标是适用于所有评价对象的指标。主要包括预算编制和执行情况，财务管理状况，资产配置、使用、处置及其收益管理情况以及社会效益、经济效益等。</w:t>
      </w:r>
    </w:p>
    <w:p w14:paraId="1C8B188D">
      <w:pPr>
        <w:pStyle w:val="11"/>
        <w:numPr>
          <w:ilvl w:val="0"/>
          <w:numId w:val="0"/>
        </w:numPr>
        <w:tabs>
          <w:tab w:val="left" w:pos="0"/>
        </w:tabs>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②个性指标是针对项目特点设定的，适用于不同项目的业绩评价指标。</w:t>
      </w:r>
    </w:p>
    <w:p w14:paraId="6042A816">
      <w:pPr>
        <w:pStyle w:val="11"/>
        <w:numPr>
          <w:ilvl w:val="0"/>
          <w:numId w:val="15"/>
        </w:numPr>
        <w:ind w:left="454" w:leftChars="0" w:firstLine="113" w:firstLineChars="0"/>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结合三门峡市陕州区退役军人事务局优抚对象补助经费项目</w:t>
      </w:r>
    </w:p>
    <w:p w14:paraId="1C5E2AA7">
      <w:pPr>
        <w:pStyle w:val="11"/>
        <w:numPr>
          <w:ilvl w:val="0"/>
          <w:numId w:val="0"/>
        </w:numPr>
        <w:tabs>
          <w:tab w:val="left" w:pos="0"/>
        </w:tabs>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的实际情况，共制定三级指标，分别</w:t>
      </w:r>
      <w:r>
        <w:rPr>
          <w:rFonts w:hint="eastAsia" w:ascii="宋体" w:hAnsi="宋体" w:eastAsia="宋体" w:cs="宋体"/>
          <w:color w:val="000000" w:themeColor="text1"/>
          <w:kern w:val="44"/>
          <w:sz w:val="28"/>
          <w:szCs w:val="28"/>
          <w:lang w:val="en-US" w:eastAsia="zh-CN"/>
          <w14:textFill>
            <w14:solidFill>
              <w14:schemeClr w14:val="tx1"/>
            </w14:solidFill>
          </w14:textFill>
        </w:rPr>
        <w:t>是</w:t>
      </w:r>
      <w:r>
        <w:rPr>
          <w:rFonts w:hint="eastAsia" w:ascii="宋体" w:hAnsi="宋体" w:cs="宋体"/>
          <w:color w:val="000000" w:themeColor="text1"/>
          <w:kern w:val="44"/>
          <w:sz w:val="28"/>
          <w:szCs w:val="28"/>
          <w:lang w:val="en-US" w:eastAsia="zh-CN"/>
          <w14:textFill>
            <w14:solidFill>
              <w14:schemeClr w14:val="tx1"/>
            </w14:solidFill>
          </w14:textFill>
        </w:rPr>
        <w:t>一级指标</w:t>
      </w:r>
      <w:r>
        <w:rPr>
          <w:rFonts w:hint="eastAsia" w:ascii="宋体" w:hAnsi="宋体" w:eastAsia="宋体" w:cs="宋体"/>
          <w:color w:val="000000" w:themeColor="text1"/>
          <w:kern w:val="44"/>
          <w:sz w:val="28"/>
          <w:szCs w:val="28"/>
          <w:lang w:val="en-US" w:eastAsia="zh-CN"/>
          <w14:textFill>
            <w14:solidFill>
              <w14:schemeClr w14:val="tx1"/>
            </w14:solidFill>
          </w14:textFill>
        </w:rPr>
        <w:t>、</w:t>
      </w:r>
      <w:r>
        <w:rPr>
          <w:rFonts w:hint="eastAsia" w:ascii="宋体" w:hAnsi="宋体" w:cs="宋体"/>
          <w:color w:val="000000" w:themeColor="text1"/>
          <w:kern w:val="44"/>
          <w:sz w:val="28"/>
          <w:szCs w:val="28"/>
          <w:lang w:val="en-US" w:eastAsia="zh-CN"/>
          <w14:textFill>
            <w14:solidFill>
              <w14:schemeClr w14:val="tx1"/>
            </w14:solidFill>
          </w14:textFill>
        </w:rPr>
        <w:t>二级指标</w:t>
      </w:r>
      <w:r>
        <w:rPr>
          <w:rFonts w:hint="eastAsia" w:ascii="宋体" w:hAnsi="宋体" w:eastAsia="宋体" w:cs="宋体"/>
          <w:color w:val="000000" w:themeColor="text1"/>
          <w:kern w:val="44"/>
          <w:sz w:val="28"/>
          <w:szCs w:val="28"/>
          <w:lang w:val="en-US" w:eastAsia="zh-CN"/>
          <w14:textFill>
            <w14:solidFill>
              <w14:schemeClr w14:val="tx1"/>
            </w14:solidFill>
          </w14:textFill>
        </w:rPr>
        <w:t>、</w:t>
      </w:r>
      <w:r>
        <w:rPr>
          <w:rFonts w:hint="eastAsia" w:ascii="宋体" w:hAnsi="宋体" w:cs="宋体"/>
          <w:color w:val="000000" w:themeColor="text1"/>
          <w:kern w:val="44"/>
          <w:sz w:val="28"/>
          <w:szCs w:val="28"/>
          <w:lang w:val="en-US" w:eastAsia="zh-CN"/>
          <w14:textFill>
            <w14:solidFill>
              <w14:schemeClr w14:val="tx1"/>
            </w14:solidFill>
          </w14:textFill>
        </w:rPr>
        <w:t>三级指标</w:t>
      </w:r>
      <w:r>
        <w:rPr>
          <w:rFonts w:hint="eastAsia" w:ascii="宋体" w:hAnsi="宋体" w:eastAsia="宋体" w:cs="宋体"/>
          <w:color w:val="000000" w:themeColor="text1"/>
          <w:kern w:val="44"/>
          <w:sz w:val="28"/>
          <w:szCs w:val="28"/>
          <w:lang w:val="en-US" w:eastAsia="zh-CN"/>
          <w14:textFill>
            <w14:solidFill>
              <w14:schemeClr w14:val="tx1"/>
            </w14:solidFill>
          </w14:textFill>
        </w:rPr>
        <w:t>。三级指标具有层级嵌套关系，自上而下分解、自下而上支撑，共同构成完整的绩效评价指标体系。三者的逻辑关系表现为：一级指标定方向，二级指标分维度，三级指标定标准，层层递进、环环相扣，确保评价既覆盖核心维度，又具备可操作性。</w:t>
      </w:r>
    </w:p>
    <w:p w14:paraId="407D045A">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①一级指标：是绩效评价的核心维度，统领整个指标体系，通常包括决策指标、管理指标、产出指标、效果指标等，明确评价的核心方向。</w:t>
      </w:r>
    </w:p>
    <w:p w14:paraId="517FD075">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②二级指标：是对一级指标的细化拆分，承接一级指标的核心内容，同时为三级指标划定范围。</w:t>
      </w:r>
    </w:p>
    <w:p w14:paraId="0F516BA1">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③三级指标：是具体可量化、可衡量的评价条目，是</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二级指标的落地载体，直接对应项目的具体绩效表现。</w:t>
      </w:r>
    </w:p>
    <w:p w14:paraId="02979749">
      <w:pPr>
        <w:pStyle w:val="11"/>
        <w:numPr>
          <w:ilvl w:val="0"/>
          <w:numId w:val="15"/>
        </w:numPr>
        <w:ind w:left="454" w:leftChars="0" w:firstLine="113" w:firstLineChars="0"/>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三门峡市陕州区退役军人事务局优抚对象补助经费项目，绩</w:t>
      </w:r>
    </w:p>
    <w:p w14:paraId="0C667B62">
      <w:pPr>
        <w:pStyle w:val="11"/>
        <w:numPr>
          <w:ilvl w:val="0"/>
          <w:numId w:val="0"/>
        </w:numPr>
        <w:tabs>
          <w:tab w:val="left" w:pos="0"/>
        </w:tabs>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bidi="ar-SA"/>
          <w14:textFill>
            <w14:solidFill>
              <w14:schemeClr w14:val="tx1"/>
            </w14:solidFill>
          </w14:textFill>
        </w:rPr>
        <w:t>效评价指标体系见下表：</w:t>
      </w:r>
    </w:p>
    <w:tbl>
      <w:tblPr>
        <w:tblStyle w:val="12"/>
        <w:tblW w:w="834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5"/>
        <w:gridCol w:w="660"/>
        <w:gridCol w:w="1431"/>
        <w:gridCol w:w="885"/>
        <w:gridCol w:w="1905"/>
        <w:gridCol w:w="2400"/>
      </w:tblGrid>
      <w:tr w14:paraId="6EB93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blHeader/>
        </w:trPr>
        <w:tc>
          <w:tcPr>
            <w:tcW w:w="8346" w:type="dxa"/>
            <w:gridSpan w:val="6"/>
            <w:tcBorders>
              <w:top w:val="nil"/>
              <w:left w:val="nil"/>
              <w:bottom w:val="nil"/>
              <w:right w:val="nil"/>
            </w:tcBorders>
            <w:shd w:val="clear" w:color="auto" w:fill="auto"/>
            <w:vAlign w:val="center"/>
          </w:tcPr>
          <w:p w14:paraId="493516CA">
            <w:pPr>
              <w:keepNext w:val="0"/>
              <w:keepLines w:val="0"/>
              <w:widowControl/>
              <w:suppressLineNumbers w:val="0"/>
              <w:jc w:val="center"/>
              <w:textAlignment w:val="center"/>
              <w:rPr>
                <w:rFonts w:hint="default" w:ascii="宋体" w:hAnsi="宋体" w:eastAsia="宋体" w:cs="宋体"/>
                <w:b/>
                <w:bCs/>
                <w:i w:val="0"/>
                <w:iCs w:val="0"/>
                <w:color w:val="000000"/>
                <w:sz w:val="28"/>
                <w:szCs w:val="28"/>
                <w:u w:val="none"/>
                <w:lang w:val="en-US"/>
              </w:rPr>
            </w:pPr>
            <w:r>
              <w:rPr>
                <w:rFonts w:hint="eastAsia" w:ascii="宋体" w:hAnsi="宋体" w:eastAsia="宋体" w:cs="宋体"/>
                <w:b/>
                <w:bCs/>
                <w:i w:val="0"/>
                <w:iCs w:val="0"/>
                <w:color w:val="000000"/>
                <w:kern w:val="0"/>
                <w:sz w:val="28"/>
                <w:szCs w:val="28"/>
                <w:u w:val="none"/>
                <w:lang w:val="en-US" w:eastAsia="zh-CN" w:bidi="ar"/>
              </w:rPr>
              <w:t>陕州区退役军人事务局优抚对象补助经费-绩效评价指标体系</w:t>
            </w:r>
          </w:p>
        </w:tc>
      </w:tr>
      <w:tr w14:paraId="2D040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blHeader/>
        </w:trPr>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A61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853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932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63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43B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145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r>
      <w:tr w14:paraId="66432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6A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 策</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EEE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35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4A6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19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立项依据充分性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A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340DD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986C1">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86E5B">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A0C1F">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DFC66">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47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立项程序规范性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5E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1BC7D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BA000">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C3443">
            <w:pPr>
              <w:jc w:val="center"/>
              <w:rPr>
                <w:rFonts w:hint="eastAsia" w:ascii="宋体" w:hAnsi="宋体" w:eastAsia="宋体" w:cs="宋体"/>
                <w:i w:val="0"/>
                <w:iCs w:val="0"/>
                <w:color w:val="000000"/>
                <w:sz w:val="18"/>
                <w:szCs w:val="18"/>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7D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0A9C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3D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绩效目标合理性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BD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4B224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537D5">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B5708">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1CA88">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047AC">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EE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绩效指标明确性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9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52E4A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B0FC1">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ED60A">
            <w:pPr>
              <w:jc w:val="center"/>
              <w:rPr>
                <w:rFonts w:hint="eastAsia" w:ascii="宋体" w:hAnsi="宋体" w:eastAsia="宋体" w:cs="宋体"/>
                <w:i w:val="0"/>
                <w:iCs w:val="0"/>
                <w:color w:val="000000"/>
                <w:sz w:val="18"/>
                <w:szCs w:val="18"/>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FE4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资金安排</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43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6C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预算编制合理性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08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1F729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E1B30">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59187">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AA6CD">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2AB69">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7D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资金分配合理性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55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r>
      <w:tr w14:paraId="11756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65F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33EB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6D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业务管理</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CA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13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01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760AA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CA3C1">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EB0BF">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41FA1">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D353D">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ED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制度执行有效性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5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76DA3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11ADC">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2C58E">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50E6E">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C09C3">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3F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项目质量可控性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27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20E8A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D97DA">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C243C">
            <w:pPr>
              <w:jc w:val="center"/>
              <w:rPr>
                <w:rFonts w:hint="eastAsia" w:ascii="宋体" w:hAnsi="宋体" w:eastAsia="宋体" w:cs="宋体"/>
                <w:i w:val="0"/>
                <w:iCs w:val="0"/>
                <w:color w:val="000000"/>
                <w:sz w:val="18"/>
                <w:szCs w:val="18"/>
                <w:u w:val="none"/>
              </w:rPr>
            </w:pPr>
          </w:p>
        </w:tc>
        <w:tc>
          <w:tcPr>
            <w:tcW w:w="1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707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预算管理</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D7E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2B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E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345FF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82C73">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9EA11">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074C3">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47349">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52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到位及时率</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8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08A84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0C499">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301BF">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E801A">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8CDFF">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26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2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5DD9B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54D91">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B78A7">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1D30D">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84212">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36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9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45E1B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AA667">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693B0">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7E688">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9F036">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A2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资金使用合规性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8E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01679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7F1CD">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CFB80">
            <w:pPr>
              <w:jc w:val="center"/>
              <w:rPr>
                <w:rFonts w:hint="eastAsia" w:ascii="宋体" w:hAnsi="宋体" w:eastAsia="宋体" w:cs="宋体"/>
                <w:i w:val="0"/>
                <w:iCs w:val="0"/>
                <w:color w:val="000000"/>
                <w:sz w:val="18"/>
                <w:szCs w:val="18"/>
                <w:u w:val="none"/>
              </w:rPr>
            </w:pPr>
          </w:p>
        </w:tc>
        <w:tc>
          <w:tcPr>
            <w:tcW w:w="1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1C25F">
            <w:pPr>
              <w:jc w:val="center"/>
              <w:rPr>
                <w:rFonts w:hint="eastAsia" w:ascii="宋体" w:hAnsi="宋体" w:eastAsia="宋体" w:cs="宋体"/>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85B27">
            <w:pPr>
              <w:jc w:val="center"/>
              <w:rPr>
                <w:rFonts w:hint="eastAsia" w:ascii="宋体" w:hAnsi="宋体" w:eastAsia="宋体" w:cs="宋体"/>
                <w:i w:val="0"/>
                <w:iCs w:val="0"/>
                <w:color w:val="000000"/>
                <w:sz w:val="18"/>
                <w:szCs w:val="18"/>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A1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财务监控有效性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4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E9EE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FFE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 出</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1B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E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产出数量</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F2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2A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实际完成率</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EA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7FE5F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33A02">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DD40E">
            <w:pPr>
              <w:jc w:val="center"/>
              <w:rPr>
                <w:rFonts w:hint="eastAsia" w:ascii="宋体" w:hAnsi="宋体" w:eastAsia="宋体" w:cs="宋体"/>
                <w:i w:val="0"/>
                <w:iCs w:val="0"/>
                <w:color w:val="000000"/>
                <w:sz w:val="18"/>
                <w:szCs w:val="18"/>
                <w:u w:val="none"/>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09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产出时效</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E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B1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完成及时率</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A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75556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9E653">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E3413">
            <w:pPr>
              <w:jc w:val="center"/>
              <w:rPr>
                <w:rFonts w:hint="eastAsia" w:ascii="宋体" w:hAnsi="宋体" w:eastAsia="宋体" w:cs="宋体"/>
                <w:i w:val="0"/>
                <w:iCs w:val="0"/>
                <w:color w:val="000000"/>
                <w:sz w:val="18"/>
                <w:szCs w:val="18"/>
                <w:u w:val="none"/>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D6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产出质量</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9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D5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资金发放准确率</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1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0A7DF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0D3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877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0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D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B1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C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r>
      <w:tr w14:paraId="191D5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exact"/>
        </w:trPr>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8F79A">
            <w:pPr>
              <w:jc w:val="center"/>
              <w:rPr>
                <w:rFonts w:hint="eastAsia" w:ascii="宋体" w:hAnsi="宋体" w:eastAsia="宋体" w:cs="宋体"/>
                <w:i w:val="0"/>
                <w:iCs w:val="0"/>
                <w:color w:val="000000"/>
                <w:sz w:val="18"/>
                <w:szCs w:val="18"/>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297F2">
            <w:pPr>
              <w:jc w:val="center"/>
              <w:rPr>
                <w:rFonts w:hint="eastAsia" w:ascii="宋体" w:hAnsi="宋体" w:eastAsia="宋体" w:cs="宋体"/>
                <w:i w:val="0"/>
                <w:iCs w:val="0"/>
                <w:color w:val="000000"/>
                <w:sz w:val="18"/>
                <w:szCs w:val="18"/>
                <w:u w:val="none"/>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E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5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6E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1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14:paraId="129D8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exact"/>
        </w:trPr>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0CE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整体评价</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F59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1B6B">
            <w:pPr>
              <w:jc w:val="center"/>
              <w:rPr>
                <w:rFonts w:hint="eastAsia" w:ascii="宋体" w:hAnsi="宋体" w:eastAsia="宋体" w:cs="宋体"/>
                <w:b/>
                <w:bCs/>
                <w:i w:val="0"/>
                <w:iCs w:val="0"/>
                <w:color w:val="000000"/>
                <w:sz w:val="18"/>
                <w:szCs w:val="18"/>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E6B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FF80">
            <w:pPr>
              <w:jc w:val="center"/>
              <w:rPr>
                <w:rFonts w:hint="eastAsia" w:ascii="宋体" w:hAnsi="宋体" w:eastAsia="宋体" w:cs="宋体"/>
                <w:b/>
                <w:bCs/>
                <w:i w:val="0"/>
                <w:iCs w:val="0"/>
                <w:color w:val="000000"/>
                <w:sz w:val="18"/>
                <w:szCs w:val="18"/>
                <w:u w:val="none"/>
              </w:rPr>
            </w:pP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422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r>
    </w:tbl>
    <w:p w14:paraId="7E8763EC">
      <w:pPr>
        <w:numPr>
          <w:ilvl w:val="0"/>
          <w:numId w:val="11"/>
        </w:numPr>
        <w:spacing w:line="360" w:lineRule="auto"/>
        <w:ind w:left="0" w:leftChars="0" w:firstLine="420" w:firstLineChars="0"/>
        <w:jc w:val="left"/>
        <w:outlineLvl w:val="1"/>
        <w:rPr>
          <w:rFonts w:hint="eastAsia" w:ascii="宋体" w:hAnsi="宋体" w:eastAsia="宋体" w:cs="宋体"/>
          <w:color w:val="000000" w:themeColor="text1"/>
          <w:kern w:val="44"/>
          <w:sz w:val="28"/>
          <w:szCs w:val="28"/>
          <w14:textFill>
            <w14:solidFill>
              <w14:schemeClr w14:val="tx1"/>
            </w14:solidFill>
          </w14:textFill>
        </w:rPr>
      </w:pPr>
      <w:bookmarkStart w:id="16" w:name="_Toc25941"/>
      <w:r>
        <w:rPr>
          <w:rFonts w:hint="eastAsia" w:ascii="宋体" w:hAnsi="宋体" w:eastAsia="宋体" w:cs="宋体"/>
          <w:color w:val="000000" w:themeColor="text1"/>
          <w:kern w:val="44"/>
          <w:sz w:val="28"/>
          <w:szCs w:val="28"/>
          <w14:textFill>
            <w14:solidFill>
              <w14:schemeClr w14:val="tx1"/>
            </w14:solidFill>
          </w14:textFill>
        </w:rPr>
        <w:t>评价组织实施</w:t>
      </w:r>
      <w:bookmarkEnd w:id="16"/>
      <w:bookmarkStart w:id="17" w:name="_Toc169183188"/>
    </w:p>
    <w:p w14:paraId="7852CC3B">
      <w:pPr>
        <w:spacing w:line="600" w:lineRule="exact"/>
        <w:ind w:firstLine="627" w:firstLineChars="196"/>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sz w:val="32"/>
          <w:szCs w:val="32"/>
          <w14:textFill>
            <w14:solidFill>
              <w14:schemeClr w14:val="tx1"/>
            </w14:solidFill>
          </w14:textFill>
        </w:rPr>
        <w:t>绩效评价工作</w:t>
      </w:r>
      <w:r>
        <w:rPr>
          <w:rFonts w:hint="eastAsia" w:ascii="宋体" w:hAnsi="宋体" w:eastAsia="宋体" w:cs="宋体"/>
          <w:color w:val="000000" w:themeColor="text1"/>
          <w:sz w:val="32"/>
          <w:szCs w:val="32"/>
          <w:lang w:val="en-US" w:eastAsia="zh-CN"/>
          <w14:textFill>
            <w14:solidFill>
              <w14:schemeClr w14:val="tx1"/>
            </w14:solidFill>
          </w14:textFill>
        </w:rPr>
        <w:t>组织实施，</w:t>
      </w:r>
      <w:r>
        <w:rPr>
          <w:rFonts w:hint="eastAsia" w:ascii="宋体" w:hAnsi="宋体" w:eastAsia="宋体" w:cs="宋体"/>
          <w:color w:val="000000" w:themeColor="text1"/>
          <w:sz w:val="32"/>
          <w:szCs w:val="32"/>
          <w14:textFill>
            <w14:solidFill>
              <w14:schemeClr w14:val="tx1"/>
            </w14:solidFill>
          </w14:textFill>
        </w:rPr>
        <w:t>一般分为准备、实施和撰写报告三个阶段。</w:t>
      </w:r>
    </w:p>
    <w:p w14:paraId="0837D365">
      <w:pPr>
        <w:numPr>
          <w:ilvl w:val="0"/>
          <w:numId w:val="16"/>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8" w:name="_Toc11293"/>
      <w:r>
        <w:rPr>
          <w:rFonts w:hint="eastAsia" w:ascii="宋体" w:hAnsi="宋体" w:eastAsia="宋体" w:cs="宋体"/>
          <w:color w:val="000000" w:themeColor="text1"/>
          <w:kern w:val="44"/>
          <w:sz w:val="28"/>
          <w:szCs w:val="28"/>
          <w:lang w:val="en-US" w:eastAsia="zh-CN"/>
          <w14:textFill>
            <w14:solidFill>
              <w14:schemeClr w14:val="tx1"/>
            </w14:solidFill>
          </w14:textFill>
        </w:rPr>
        <w:t>绩效评价准备阶段</w:t>
      </w:r>
      <w:bookmarkEnd w:id="18"/>
    </w:p>
    <w:p w14:paraId="3E875BBC">
      <w:pPr>
        <w:pStyle w:val="11"/>
        <w:numPr>
          <w:ilvl w:val="0"/>
          <w:numId w:val="17"/>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确定评价对象。根据三门峡市陕州区财政局《关于开展2024</w:t>
      </w:r>
    </w:p>
    <w:p w14:paraId="4D089B5A">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年度区级财政支出重点项目绩效评价工作的通知》（三陕财效(2025)5号）的要求，本次绩效评价对象为三门峡市陕州区退役军人事务局优抚对象补助经费项目</w:t>
      </w:r>
      <w:r>
        <w:rPr>
          <w:rFonts w:hint="eastAsia" w:ascii="宋体" w:hAnsi="宋体" w:cs="宋体"/>
          <w:color w:val="000000" w:themeColor="text1"/>
          <w:kern w:val="44"/>
          <w:sz w:val="28"/>
          <w:szCs w:val="28"/>
          <w:lang w:val="en-US" w:eastAsia="zh-CN" w:bidi="ar-SA"/>
          <w14:textFill>
            <w14:solidFill>
              <w14:schemeClr w14:val="tx1"/>
            </w14:solidFill>
          </w14:textFill>
        </w:rPr>
        <w:t>，评价期间：2024年1月-12月</w:t>
      </w:r>
      <w:r>
        <w:rPr>
          <w:rFonts w:hint="eastAsia" w:ascii="宋体" w:hAnsi="宋体" w:eastAsia="宋体" w:cs="宋体"/>
          <w:color w:val="000000" w:themeColor="text1"/>
          <w:kern w:val="44"/>
          <w:sz w:val="28"/>
          <w:szCs w:val="28"/>
          <w:lang w:val="en-US" w:eastAsia="zh-CN" w:bidi="ar-SA"/>
          <w14:textFill>
            <w14:solidFill>
              <w14:schemeClr w14:val="tx1"/>
            </w14:solidFill>
          </w14:textFill>
        </w:rPr>
        <w:t>。</w:t>
      </w:r>
    </w:p>
    <w:p w14:paraId="6806D74B">
      <w:pPr>
        <w:pStyle w:val="11"/>
        <w:numPr>
          <w:ilvl w:val="0"/>
          <w:numId w:val="17"/>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成立评价工作组。根据工作要求结合项目实施情况本单位成</w:t>
      </w:r>
    </w:p>
    <w:p w14:paraId="06F0CD18">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立绩效评价工作组，具体负责实施绩效评价。评价工作组主要负责拟定绩效评价工作方案，实施具体绩效评价，撰写并向评价组织者提交绩效评价报告等工作。</w:t>
      </w:r>
    </w:p>
    <w:p w14:paraId="1C09678E">
      <w:pPr>
        <w:pStyle w:val="11"/>
        <w:numPr>
          <w:ilvl w:val="0"/>
          <w:numId w:val="0"/>
        </w:numPr>
        <w:tabs>
          <w:tab w:val="left" w:pos="0"/>
        </w:tabs>
        <w:ind w:firstLine="560" w:firstLineChars="200"/>
        <w:rPr>
          <w:rFonts w:hint="eastAsia" w:ascii="宋体" w:hAnsi="宋体" w:cs="宋体"/>
          <w:color w:val="000000" w:themeColor="text1"/>
          <w:kern w:val="44"/>
          <w:sz w:val="28"/>
          <w:szCs w:val="28"/>
          <w:lang w:val="en-US" w:eastAsia="zh-CN" w:bidi="ar-SA"/>
          <w14:textFill>
            <w14:solidFill>
              <w14:schemeClr w14:val="tx1"/>
            </w14:solidFill>
          </w14:textFill>
        </w:rPr>
      </w:pPr>
      <w:r>
        <w:rPr>
          <w:rFonts w:hint="eastAsia" w:ascii="宋体" w:hAnsi="宋体" w:cs="宋体"/>
          <w:color w:val="000000" w:themeColor="text1"/>
          <w:kern w:val="44"/>
          <w:sz w:val="28"/>
          <w:szCs w:val="28"/>
          <w:lang w:val="en-US" w:eastAsia="zh-CN" w:bidi="ar-SA"/>
          <w14:textFill>
            <w14:solidFill>
              <w14:schemeClr w14:val="tx1"/>
            </w14:solidFill>
          </w14:textFill>
        </w:rPr>
        <w:t>绩效评价工作组人员分工如下：</w:t>
      </w:r>
    </w:p>
    <w:tbl>
      <w:tblPr>
        <w:tblStyle w:val="13"/>
        <w:tblW w:w="8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650"/>
        <w:gridCol w:w="2160"/>
        <w:gridCol w:w="3750"/>
      </w:tblGrid>
      <w:tr w14:paraId="6C27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016596E2">
            <w:pPr>
              <w:pStyle w:val="11"/>
              <w:numPr>
                <w:ilvl w:val="0"/>
                <w:numId w:val="0"/>
              </w:numPr>
              <w:tabs>
                <w:tab w:val="left" w:pos="0"/>
              </w:tabs>
              <w:jc w:val="center"/>
              <w:rPr>
                <w:rFonts w:hint="default" w:ascii="宋体" w:hAnsi="宋体" w:cs="宋体"/>
                <w:b/>
                <w:bCs/>
                <w:color w:val="000000" w:themeColor="text1"/>
                <w:kern w:val="44"/>
                <w:sz w:val="28"/>
                <w:szCs w:val="28"/>
                <w:vertAlign w:val="baseline"/>
                <w:lang w:val="en-US" w:eastAsia="zh-CN" w:bidi="ar-SA"/>
                <w14:textFill>
                  <w14:solidFill>
                    <w14:schemeClr w14:val="tx1"/>
                  </w14:solidFill>
                </w14:textFill>
              </w:rPr>
            </w:pPr>
            <w:r>
              <w:rPr>
                <w:rFonts w:hint="eastAsia" w:ascii="宋体" w:hAnsi="宋体" w:cs="宋体"/>
                <w:b/>
                <w:bCs/>
                <w:color w:val="000000" w:themeColor="text1"/>
                <w:kern w:val="44"/>
                <w:sz w:val="28"/>
                <w:szCs w:val="28"/>
                <w:vertAlign w:val="baseline"/>
                <w:lang w:val="en-US" w:eastAsia="zh-CN" w:bidi="ar-SA"/>
                <w14:textFill>
                  <w14:solidFill>
                    <w14:schemeClr w14:val="tx1"/>
                  </w14:solidFill>
                </w14:textFill>
              </w:rPr>
              <w:t>姓名</w:t>
            </w:r>
          </w:p>
        </w:tc>
        <w:tc>
          <w:tcPr>
            <w:tcW w:w="1650" w:type="dxa"/>
            <w:vAlign w:val="center"/>
          </w:tcPr>
          <w:p w14:paraId="4A614A45">
            <w:pPr>
              <w:pStyle w:val="11"/>
              <w:numPr>
                <w:ilvl w:val="0"/>
                <w:numId w:val="0"/>
              </w:numPr>
              <w:tabs>
                <w:tab w:val="left" w:pos="0"/>
              </w:tabs>
              <w:jc w:val="center"/>
              <w:rPr>
                <w:rFonts w:hint="default" w:ascii="宋体" w:hAnsi="宋体" w:cs="宋体"/>
                <w:b/>
                <w:bCs/>
                <w:color w:val="000000" w:themeColor="text1"/>
                <w:kern w:val="44"/>
                <w:sz w:val="28"/>
                <w:szCs w:val="28"/>
                <w:vertAlign w:val="baseline"/>
                <w:lang w:val="en-US" w:eastAsia="zh-CN" w:bidi="ar-SA"/>
                <w14:textFill>
                  <w14:solidFill>
                    <w14:schemeClr w14:val="tx1"/>
                  </w14:solidFill>
                </w14:textFill>
              </w:rPr>
            </w:pPr>
            <w:r>
              <w:rPr>
                <w:rFonts w:hint="eastAsia" w:ascii="宋体" w:hAnsi="宋体" w:cs="宋体"/>
                <w:b/>
                <w:bCs/>
                <w:color w:val="000000" w:themeColor="text1"/>
                <w:kern w:val="44"/>
                <w:sz w:val="28"/>
                <w:szCs w:val="28"/>
                <w:vertAlign w:val="baseline"/>
                <w:lang w:val="en-US" w:eastAsia="zh-CN" w:bidi="ar-SA"/>
                <w14:textFill>
                  <w14:solidFill>
                    <w14:schemeClr w14:val="tx1"/>
                  </w14:solidFill>
                </w14:textFill>
              </w:rPr>
              <w:t>职务</w:t>
            </w:r>
          </w:p>
        </w:tc>
        <w:tc>
          <w:tcPr>
            <w:tcW w:w="2160" w:type="dxa"/>
            <w:vAlign w:val="center"/>
          </w:tcPr>
          <w:p w14:paraId="6F9BD87A">
            <w:pPr>
              <w:pStyle w:val="11"/>
              <w:numPr>
                <w:ilvl w:val="0"/>
                <w:numId w:val="0"/>
              </w:numPr>
              <w:tabs>
                <w:tab w:val="left" w:pos="0"/>
              </w:tabs>
              <w:jc w:val="center"/>
              <w:rPr>
                <w:rFonts w:hint="default" w:ascii="宋体" w:hAnsi="宋体" w:cs="宋体"/>
                <w:b/>
                <w:bCs/>
                <w:color w:val="000000" w:themeColor="text1"/>
                <w:kern w:val="44"/>
                <w:sz w:val="28"/>
                <w:szCs w:val="28"/>
                <w:vertAlign w:val="baseline"/>
                <w:lang w:val="en-US" w:eastAsia="zh-CN" w:bidi="ar-SA"/>
                <w14:textFill>
                  <w14:solidFill>
                    <w14:schemeClr w14:val="tx1"/>
                  </w14:solidFill>
                </w14:textFill>
              </w:rPr>
            </w:pPr>
            <w:r>
              <w:rPr>
                <w:rFonts w:hint="eastAsia" w:ascii="宋体" w:hAnsi="宋体" w:cs="宋体"/>
                <w:b/>
                <w:bCs/>
                <w:color w:val="000000" w:themeColor="text1"/>
                <w:kern w:val="44"/>
                <w:sz w:val="28"/>
                <w:szCs w:val="28"/>
                <w:vertAlign w:val="baseline"/>
                <w:lang w:val="en-US" w:eastAsia="zh-CN" w:bidi="ar-SA"/>
                <w14:textFill>
                  <w14:solidFill>
                    <w14:schemeClr w14:val="tx1"/>
                  </w14:solidFill>
                </w14:textFill>
              </w:rPr>
              <w:t>职称/执业资格</w:t>
            </w:r>
          </w:p>
        </w:tc>
        <w:tc>
          <w:tcPr>
            <w:tcW w:w="3750" w:type="dxa"/>
            <w:vAlign w:val="center"/>
          </w:tcPr>
          <w:p w14:paraId="7F1E7ADA">
            <w:pPr>
              <w:pStyle w:val="11"/>
              <w:numPr>
                <w:ilvl w:val="0"/>
                <w:numId w:val="0"/>
              </w:numPr>
              <w:tabs>
                <w:tab w:val="left" w:pos="0"/>
              </w:tabs>
              <w:jc w:val="center"/>
              <w:rPr>
                <w:rFonts w:hint="default" w:ascii="宋体" w:hAnsi="宋体" w:cs="宋体"/>
                <w:b/>
                <w:bCs/>
                <w:color w:val="000000" w:themeColor="text1"/>
                <w:kern w:val="44"/>
                <w:sz w:val="28"/>
                <w:szCs w:val="28"/>
                <w:vertAlign w:val="baseline"/>
                <w:lang w:val="en-US" w:eastAsia="zh-CN" w:bidi="ar-SA"/>
                <w14:textFill>
                  <w14:solidFill>
                    <w14:schemeClr w14:val="tx1"/>
                  </w14:solidFill>
                </w14:textFill>
              </w:rPr>
            </w:pPr>
            <w:r>
              <w:rPr>
                <w:rFonts w:hint="eastAsia" w:ascii="宋体" w:hAnsi="宋体" w:cs="宋体"/>
                <w:b/>
                <w:bCs/>
                <w:color w:val="000000" w:themeColor="text1"/>
                <w:kern w:val="44"/>
                <w:sz w:val="28"/>
                <w:szCs w:val="28"/>
                <w:vertAlign w:val="baseline"/>
                <w:lang w:val="en-US" w:eastAsia="zh-CN" w:bidi="ar-SA"/>
                <w14:textFill>
                  <w14:solidFill>
                    <w14:schemeClr w14:val="tx1"/>
                  </w14:solidFill>
                </w14:textFill>
              </w:rPr>
              <w:t>主要工作内容</w:t>
            </w:r>
          </w:p>
        </w:tc>
      </w:tr>
      <w:tr w14:paraId="0DC1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4557F3BB">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赵桥</w:t>
            </w:r>
          </w:p>
        </w:tc>
        <w:tc>
          <w:tcPr>
            <w:tcW w:w="1650" w:type="dxa"/>
            <w:vAlign w:val="center"/>
          </w:tcPr>
          <w:p w14:paraId="3233DBC6">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项目负责人</w:t>
            </w:r>
          </w:p>
        </w:tc>
        <w:tc>
          <w:tcPr>
            <w:tcW w:w="2160" w:type="dxa"/>
            <w:vAlign w:val="center"/>
          </w:tcPr>
          <w:p w14:paraId="44803D3F">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高级会计师、注册会计师</w:t>
            </w:r>
          </w:p>
        </w:tc>
        <w:tc>
          <w:tcPr>
            <w:tcW w:w="3750" w:type="dxa"/>
            <w:vAlign w:val="center"/>
          </w:tcPr>
          <w:p w14:paraId="76376DDE">
            <w:pPr>
              <w:pStyle w:val="11"/>
              <w:numPr>
                <w:ilvl w:val="0"/>
                <w:numId w:val="0"/>
              </w:numPr>
              <w:tabs>
                <w:tab w:val="left" w:pos="0"/>
              </w:tabs>
              <w:rPr>
                <w:rFonts w:hint="eastAsia"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负责项目整体组织实施、人员安排及协调，指导工作开展，项目考核细则与方法、工作方案、报告等重点工作内容的</w:t>
            </w:r>
          </w:p>
          <w:p w14:paraId="5C4A1FA5">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审核。</w:t>
            </w:r>
          </w:p>
        </w:tc>
      </w:tr>
      <w:tr w14:paraId="3071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23BCC209">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刘小利</w:t>
            </w:r>
          </w:p>
        </w:tc>
        <w:tc>
          <w:tcPr>
            <w:tcW w:w="1650" w:type="dxa"/>
            <w:vAlign w:val="center"/>
          </w:tcPr>
          <w:p w14:paraId="484FFA22">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eastAsia="宋体" w:cs="宋体"/>
                <w:color w:val="000000"/>
                <w:sz w:val="21"/>
                <w:szCs w:val="21"/>
                <w:highlight w:val="none"/>
                <w:lang w:val="en-US" w:eastAsia="zh-CN"/>
              </w:rPr>
              <w:t>项目组长</w:t>
            </w:r>
          </w:p>
        </w:tc>
        <w:tc>
          <w:tcPr>
            <w:tcW w:w="2160" w:type="dxa"/>
            <w:vAlign w:val="center"/>
          </w:tcPr>
          <w:p w14:paraId="5161F006">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注册会计师</w:t>
            </w:r>
          </w:p>
        </w:tc>
        <w:tc>
          <w:tcPr>
            <w:tcW w:w="3750" w:type="dxa"/>
            <w:vAlign w:val="center"/>
          </w:tcPr>
          <w:p w14:paraId="43607B8E">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default" w:ascii="宋体" w:hAnsi="宋体" w:cs="宋体"/>
                <w:color w:val="000000" w:themeColor="text1"/>
                <w:kern w:val="44"/>
                <w:sz w:val="21"/>
                <w:szCs w:val="21"/>
                <w:vertAlign w:val="baseline"/>
                <w:lang w:val="en-US" w:eastAsia="zh-CN" w:bidi="ar-SA"/>
                <w14:textFill>
                  <w14:solidFill>
                    <w14:schemeClr w14:val="tx1"/>
                  </w14:solidFill>
                </w14:textFill>
              </w:rPr>
              <w:t>主要负责项目方案制定、考核细则梳理、撰写报告</w:t>
            </w: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w:t>
            </w:r>
          </w:p>
        </w:tc>
      </w:tr>
      <w:tr w14:paraId="4B24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shd w:val="clear" w:color="auto" w:fill="auto"/>
            <w:vAlign w:val="center"/>
          </w:tcPr>
          <w:p w14:paraId="44581A22">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陈宏艺</w:t>
            </w:r>
          </w:p>
        </w:tc>
        <w:tc>
          <w:tcPr>
            <w:tcW w:w="1650" w:type="dxa"/>
            <w:shd w:val="clear" w:color="auto" w:fill="auto"/>
            <w:vAlign w:val="center"/>
          </w:tcPr>
          <w:p w14:paraId="6777E77A">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项目组成员</w:t>
            </w:r>
          </w:p>
        </w:tc>
        <w:tc>
          <w:tcPr>
            <w:tcW w:w="2160" w:type="dxa"/>
            <w:shd w:val="clear" w:color="auto" w:fill="auto"/>
            <w:vAlign w:val="center"/>
          </w:tcPr>
          <w:p w14:paraId="288F429F">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中级会计师</w:t>
            </w:r>
          </w:p>
        </w:tc>
        <w:tc>
          <w:tcPr>
            <w:tcW w:w="3750" w:type="dxa"/>
            <w:shd w:val="clear" w:color="auto" w:fill="auto"/>
            <w:vAlign w:val="center"/>
          </w:tcPr>
          <w:p w14:paraId="6584B76E">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default" w:ascii="宋体" w:hAnsi="宋体" w:cs="宋体"/>
                <w:color w:val="000000" w:themeColor="text1"/>
                <w:kern w:val="44"/>
                <w:sz w:val="21"/>
                <w:szCs w:val="21"/>
                <w:vertAlign w:val="baseline"/>
                <w:lang w:val="en-US" w:eastAsia="zh-CN" w:bidi="ar-SA"/>
                <w14:textFill>
                  <w14:solidFill>
                    <w14:schemeClr w14:val="tx1"/>
                  </w14:solidFill>
                </w14:textFill>
              </w:rPr>
              <w:t>直接参与项目实施，主要参与方案制定、数据采集</w:t>
            </w: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、撰写报告。</w:t>
            </w:r>
          </w:p>
        </w:tc>
      </w:tr>
      <w:tr w14:paraId="1AF3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shd w:val="clear" w:color="auto" w:fill="auto"/>
            <w:vAlign w:val="center"/>
          </w:tcPr>
          <w:p w14:paraId="23CB4A3D">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蒋卡</w:t>
            </w:r>
          </w:p>
        </w:tc>
        <w:tc>
          <w:tcPr>
            <w:tcW w:w="1650" w:type="dxa"/>
            <w:shd w:val="clear" w:color="auto" w:fill="auto"/>
            <w:vAlign w:val="center"/>
          </w:tcPr>
          <w:p w14:paraId="20AE3A78">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项目组成员</w:t>
            </w:r>
          </w:p>
        </w:tc>
        <w:tc>
          <w:tcPr>
            <w:tcW w:w="2160" w:type="dxa"/>
            <w:shd w:val="clear" w:color="auto" w:fill="auto"/>
            <w:vAlign w:val="center"/>
          </w:tcPr>
          <w:p w14:paraId="26355D6D">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w:t>
            </w:r>
          </w:p>
        </w:tc>
        <w:tc>
          <w:tcPr>
            <w:tcW w:w="3750" w:type="dxa"/>
            <w:shd w:val="clear" w:color="auto" w:fill="auto"/>
            <w:vAlign w:val="center"/>
          </w:tcPr>
          <w:p w14:paraId="01639E0A">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default" w:ascii="宋体" w:hAnsi="宋体" w:cs="宋体"/>
                <w:color w:val="000000" w:themeColor="text1"/>
                <w:kern w:val="44"/>
                <w:sz w:val="21"/>
                <w:szCs w:val="21"/>
                <w:vertAlign w:val="baseline"/>
                <w:lang w:val="en-US" w:eastAsia="zh-CN" w:bidi="ar-SA"/>
                <w14:textFill>
                  <w14:solidFill>
                    <w14:schemeClr w14:val="tx1"/>
                  </w14:solidFill>
                </w14:textFill>
              </w:rPr>
              <w:t>直接参与项目实施，主要参与方案制定、数据采集</w:t>
            </w: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、撰写报告。</w:t>
            </w:r>
          </w:p>
        </w:tc>
      </w:tr>
      <w:tr w14:paraId="4705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Align w:val="center"/>
          </w:tcPr>
          <w:p w14:paraId="4887D5D8">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eastAsia="宋体" w:cs="宋体"/>
                <w:color w:val="000000"/>
                <w:sz w:val="21"/>
                <w:szCs w:val="21"/>
                <w:highlight w:val="none"/>
                <w:lang w:val="en-US" w:eastAsia="zh-CN"/>
              </w:rPr>
              <w:t>付宪法</w:t>
            </w:r>
          </w:p>
        </w:tc>
        <w:tc>
          <w:tcPr>
            <w:tcW w:w="1650" w:type="dxa"/>
            <w:vAlign w:val="center"/>
          </w:tcPr>
          <w:p w14:paraId="235054D8">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专家组组长</w:t>
            </w:r>
          </w:p>
        </w:tc>
        <w:tc>
          <w:tcPr>
            <w:tcW w:w="2160" w:type="dxa"/>
            <w:vAlign w:val="center"/>
          </w:tcPr>
          <w:p w14:paraId="328D4D48">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注册会计师</w:t>
            </w:r>
          </w:p>
        </w:tc>
        <w:tc>
          <w:tcPr>
            <w:tcW w:w="3750" w:type="dxa"/>
            <w:vAlign w:val="center"/>
          </w:tcPr>
          <w:p w14:paraId="2923ADFD">
            <w:pPr>
              <w:pStyle w:val="11"/>
              <w:numPr>
                <w:ilvl w:val="0"/>
                <w:numId w:val="0"/>
              </w:numPr>
              <w:tabs>
                <w:tab w:val="left" w:pos="0"/>
              </w:tabs>
              <w:rPr>
                <w:rFonts w:hint="default" w:ascii="宋体" w:hAnsi="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统筹协调专家组全面完成绩效评价任务，保障评价过程规范、结果客观公正。</w:t>
            </w:r>
          </w:p>
        </w:tc>
      </w:tr>
      <w:tr w14:paraId="2B99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shd w:val="clear" w:color="auto" w:fill="auto"/>
            <w:vAlign w:val="center"/>
          </w:tcPr>
          <w:p w14:paraId="560FF829">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王斌</w:t>
            </w:r>
          </w:p>
        </w:tc>
        <w:tc>
          <w:tcPr>
            <w:tcW w:w="1650" w:type="dxa"/>
            <w:shd w:val="clear" w:color="auto" w:fill="auto"/>
            <w:vAlign w:val="center"/>
          </w:tcPr>
          <w:p w14:paraId="06925999">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专家组成员</w:t>
            </w:r>
          </w:p>
        </w:tc>
        <w:tc>
          <w:tcPr>
            <w:tcW w:w="2160" w:type="dxa"/>
            <w:shd w:val="clear" w:color="auto" w:fill="auto"/>
            <w:vAlign w:val="center"/>
          </w:tcPr>
          <w:p w14:paraId="65CC01BE">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注册会计师</w:t>
            </w:r>
          </w:p>
        </w:tc>
        <w:tc>
          <w:tcPr>
            <w:tcW w:w="3750" w:type="dxa"/>
            <w:shd w:val="clear" w:color="auto" w:fill="auto"/>
            <w:vAlign w:val="center"/>
          </w:tcPr>
          <w:p w14:paraId="57F381F9">
            <w:pPr>
              <w:pStyle w:val="11"/>
              <w:numPr>
                <w:ilvl w:val="0"/>
                <w:numId w:val="0"/>
              </w:numPr>
              <w:tabs>
                <w:tab w:val="left" w:pos="0"/>
              </w:tabs>
              <w:ind w:left="0" w:leftChars="0" w:firstLine="0" w:firstLineChars="0"/>
              <w:rPr>
                <w:rFonts w:hint="default" w:ascii="宋体" w:hAnsi="宋体" w:eastAsia="宋体" w:cs="宋体"/>
                <w:color w:val="000000" w:themeColor="text1"/>
                <w:kern w:val="44"/>
                <w:sz w:val="21"/>
                <w:szCs w:val="21"/>
                <w:vertAlign w:val="baseline"/>
                <w:lang w:val="en-US" w:eastAsia="zh-CN" w:bidi="ar-SA"/>
                <w14:textFill>
                  <w14:solidFill>
                    <w14:schemeClr w14:val="tx1"/>
                  </w14:solidFill>
                </w14:textFill>
              </w:rPr>
            </w:pPr>
            <w:r>
              <w:rPr>
                <w:rFonts w:hint="default" w:ascii="宋体" w:hAnsi="宋体" w:cs="宋体"/>
                <w:color w:val="000000" w:themeColor="text1"/>
                <w:kern w:val="44"/>
                <w:sz w:val="21"/>
                <w:szCs w:val="21"/>
                <w:vertAlign w:val="baseline"/>
                <w:lang w:val="en-US" w:eastAsia="zh-CN" w:bidi="ar-SA"/>
                <w14:textFill>
                  <w14:solidFill>
                    <w14:schemeClr w14:val="tx1"/>
                  </w14:solidFill>
                </w14:textFill>
              </w:rPr>
              <w:t>凭借专业知识与实践经验，围绕项目的实施、质量管控</w:t>
            </w:r>
            <w:r>
              <w:rPr>
                <w:rFonts w:hint="eastAsia" w:ascii="宋体" w:hAnsi="宋体" w:cs="宋体"/>
                <w:color w:val="000000" w:themeColor="text1"/>
                <w:kern w:val="44"/>
                <w:sz w:val="21"/>
                <w:szCs w:val="21"/>
                <w:vertAlign w:val="baseline"/>
                <w:lang w:val="en-US" w:eastAsia="zh-CN" w:bidi="ar-SA"/>
                <w14:textFill>
                  <w14:solidFill>
                    <w14:schemeClr w14:val="tx1"/>
                  </w14:solidFill>
                </w14:textFill>
              </w:rPr>
              <w:t>、资金支付</w:t>
            </w:r>
            <w:r>
              <w:rPr>
                <w:rFonts w:hint="default" w:ascii="宋体" w:hAnsi="宋体" w:cs="宋体"/>
                <w:color w:val="000000" w:themeColor="text1"/>
                <w:kern w:val="44"/>
                <w:sz w:val="21"/>
                <w:szCs w:val="21"/>
                <w:vertAlign w:val="baseline"/>
                <w:lang w:val="en-US" w:eastAsia="zh-CN" w:bidi="ar-SA"/>
                <w14:textFill>
                  <w14:solidFill>
                    <w14:schemeClr w14:val="tx1"/>
                  </w14:solidFill>
                </w14:textFill>
              </w:rPr>
              <w:t>等核心维度开展评价，为绩效评价结论提供技术层面的专业支撑。</w:t>
            </w:r>
          </w:p>
        </w:tc>
      </w:tr>
    </w:tbl>
    <w:p w14:paraId="2F7E9E0E">
      <w:pPr>
        <w:pStyle w:val="11"/>
        <w:numPr>
          <w:ilvl w:val="0"/>
          <w:numId w:val="17"/>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制定绩效评价工作方案。制定绩效评价工作方案内容包括：</w:t>
      </w:r>
    </w:p>
    <w:p w14:paraId="3AB75710">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评价工作的计划安排；拟采用的绩效评价指标和评价标准；拟采用的评价方法；评价依据。绩效评价工作方案报评价组织者审定。</w:t>
      </w:r>
    </w:p>
    <w:p w14:paraId="225C8772">
      <w:pPr>
        <w:pStyle w:val="11"/>
        <w:numPr>
          <w:ilvl w:val="0"/>
          <w:numId w:val="17"/>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明确评价具体内容。评价工作组与被评价部门或单位就绩效</w:t>
      </w:r>
    </w:p>
    <w:p w14:paraId="38381FE1">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评价流程、绩效评价目标、绩效评价指标、评价标准和评价方法等具体内容进行充分沟通，取得一致意见。</w:t>
      </w:r>
    </w:p>
    <w:p w14:paraId="6581F241">
      <w:pPr>
        <w:numPr>
          <w:ilvl w:val="0"/>
          <w:numId w:val="16"/>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19" w:name="_Toc30890"/>
      <w:r>
        <w:rPr>
          <w:rFonts w:hint="eastAsia" w:ascii="宋体" w:hAnsi="宋体" w:eastAsia="宋体" w:cs="宋体"/>
          <w:color w:val="000000" w:themeColor="text1"/>
          <w:kern w:val="44"/>
          <w:sz w:val="28"/>
          <w:szCs w:val="28"/>
          <w:lang w:val="en-US" w:eastAsia="zh-CN"/>
          <w14:textFill>
            <w14:solidFill>
              <w14:schemeClr w14:val="tx1"/>
            </w14:solidFill>
          </w14:textFill>
        </w:rPr>
        <w:t>绩效评价实施阶段</w:t>
      </w:r>
      <w:bookmarkEnd w:id="19"/>
    </w:p>
    <w:p w14:paraId="4C8E98D9">
      <w:pPr>
        <w:pStyle w:val="11"/>
        <w:numPr>
          <w:ilvl w:val="0"/>
          <w:numId w:val="1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收集、审核资料。评价工作组要在全面收集资料的基础上，</w:t>
      </w:r>
    </w:p>
    <w:p w14:paraId="6EF3811A">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根据评价工作方案，对已收集的资料进行分类整理、审查和分析。</w:t>
      </w:r>
    </w:p>
    <w:p w14:paraId="05250E48">
      <w:pPr>
        <w:pStyle w:val="11"/>
        <w:numPr>
          <w:ilvl w:val="0"/>
          <w:numId w:val="1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现场勘查。根据评价对象的特点和项目承担单位提供的数据</w:t>
      </w:r>
    </w:p>
    <w:p w14:paraId="0DAEE743">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资料，评价工作组可采取现场勘察、询问检查的方式进行实地考察验证。</w:t>
      </w:r>
    </w:p>
    <w:p w14:paraId="03AEB9C1">
      <w:pPr>
        <w:pStyle w:val="11"/>
        <w:numPr>
          <w:ilvl w:val="0"/>
          <w:numId w:val="1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综合评价。评价工作组根据评价工作方案确定的评价指标、</w:t>
      </w:r>
    </w:p>
    <w:p w14:paraId="49D9CF5E">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评价标准和评价方法，对评价对象的绩效情况进行全面的定量定性分析和综合评价，形成评价结论。</w:t>
      </w:r>
    </w:p>
    <w:p w14:paraId="653512DD">
      <w:pPr>
        <w:pStyle w:val="11"/>
        <w:numPr>
          <w:ilvl w:val="0"/>
          <w:numId w:val="18"/>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交换意见。评价工作组在撤点前就绩效评价工作开展情况及</w:t>
      </w:r>
    </w:p>
    <w:p w14:paraId="791CC998">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评价结论与被评价部门或单位交换意见。</w:t>
      </w:r>
    </w:p>
    <w:p w14:paraId="7BA54E64">
      <w:pPr>
        <w:numPr>
          <w:ilvl w:val="0"/>
          <w:numId w:val="16"/>
        </w:numPr>
        <w:spacing w:line="360" w:lineRule="auto"/>
        <w:ind w:left="0" w:leftChars="0" w:firstLine="283" w:firstLineChars="0"/>
        <w:jc w:val="left"/>
        <w:outlineLvl w:val="2"/>
        <w:rPr>
          <w:rFonts w:hint="eastAsia" w:ascii="宋体" w:hAnsi="宋体" w:eastAsia="宋体" w:cs="宋体"/>
          <w:color w:val="000000" w:themeColor="text1"/>
          <w:kern w:val="44"/>
          <w:sz w:val="28"/>
          <w:szCs w:val="28"/>
          <w:lang w:val="en-US" w:eastAsia="zh-CN"/>
          <w14:textFill>
            <w14:solidFill>
              <w14:schemeClr w14:val="tx1"/>
            </w14:solidFill>
          </w14:textFill>
        </w:rPr>
      </w:pPr>
      <w:bookmarkStart w:id="20" w:name="_Toc4425"/>
      <w:r>
        <w:rPr>
          <w:rFonts w:hint="eastAsia" w:ascii="宋体" w:hAnsi="宋体" w:eastAsia="宋体" w:cs="宋体"/>
          <w:color w:val="000000" w:themeColor="text1"/>
          <w:kern w:val="44"/>
          <w:sz w:val="28"/>
          <w:szCs w:val="28"/>
          <w:lang w:val="en-US" w:eastAsia="zh-CN"/>
          <w14:textFill>
            <w14:solidFill>
              <w14:schemeClr w14:val="tx1"/>
            </w14:solidFill>
          </w14:textFill>
        </w:rPr>
        <w:t>撰写和提交评价报告阶段</w:t>
      </w:r>
      <w:bookmarkEnd w:id="20"/>
    </w:p>
    <w:p w14:paraId="61D750A1">
      <w:pPr>
        <w:pStyle w:val="11"/>
        <w:numPr>
          <w:ilvl w:val="0"/>
          <w:numId w:val="1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撰写报告。按照规定的文本格式和要求撰写绩效评价报告。</w:t>
      </w:r>
    </w:p>
    <w:p w14:paraId="680BBA8C">
      <w:pPr>
        <w:pStyle w:val="11"/>
        <w:numPr>
          <w:ilvl w:val="0"/>
          <w:numId w:val="1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提交报告。在规定的时间内向评价组织者提交绩效评价报告</w:t>
      </w:r>
    </w:p>
    <w:p w14:paraId="09622873">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（草案），经评审后修改完善并提交正式绩效评价报告。</w:t>
      </w:r>
    </w:p>
    <w:p w14:paraId="10F4F0EF">
      <w:pPr>
        <w:pStyle w:val="11"/>
        <w:numPr>
          <w:ilvl w:val="0"/>
          <w:numId w:val="1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及时总结。评价实施方应及时对绩效评价工作总结，将工作</w:t>
      </w:r>
    </w:p>
    <w:p w14:paraId="1D3C543D">
      <w:pPr>
        <w:pStyle w:val="11"/>
        <w:numPr>
          <w:ilvl w:val="0"/>
          <w:numId w:val="0"/>
        </w:numPr>
        <w:tabs>
          <w:tab w:val="left" w:pos="0"/>
        </w:tabs>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背景、时间地点、基本情况、遇到的问题及工作建议等形成书面材料，随同绩效评价报告一并提交三门峡市陕州区财政局。</w:t>
      </w:r>
    </w:p>
    <w:p w14:paraId="6F4D36C5">
      <w:pPr>
        <w:pStyle w:val="11"/>
        <w:numPr>
          <w:ilvl w:val="0"/>
          <w:numId w:val="19"/>
        </w:numPr>
        <w:ind w:left="454" w:leftChars="0" w:firstLine="113" w:firstLineChars="0"/>
        <w:rPr>
          <w:rFonts w:hint="eastAsia" w:ascii="宋体" w:hAnsi="宋体" w:eastAsia="宋体" w:cs="宋体"/>
          <w:color w:val="000000" w:themeColor="text1"/>
          <w:kern w:val="44"/>
          <w:sz w:val="28"/>
          <w:szCs w:val="28"/>
          <w:lang w:val="en-US" w:eastAsia="zh-CN" w:bidi="ar-SA"/>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建立档案。评价工作结束后，评价工作组应妥善保管工作底</w:t>
      </w:r>
    </w:p>
    <w:p w14:paraId="0118D61C">
      <w:pPr>
        <w:pStyle w:val="11"/>
        <w:numPr>
          <w:ilvl w:val="0"/>
          <w:numId w:val="0"/>
        </w:numPr>
        <w:tabs>
          <w:tab w:val="left" w:pos="0"/>
        </w:tabs>
        <w:rPr>
          <w:rFonts w:hint="eastAsia" w:ascii="宋体" w:hAnsi="宋体" w:eastAsia="宋体" w:cs="宋体"/>
          <w:color w:val="000000" w:themeColor="text1"/>
          <w:kern w:val="44"/>
          <w:sz w:val="28"/>
          <w:szCs w:val="28"/>
          <w14:textFill>
            <w14:solidFill>
              <w14:schemeClr w14:val="tx1"/>
            </w14:solidFill>
          </w14:textFill>
        </w:rPr>
      </w:pPr>
      <w:r>
        <w:rPr>
          <w:rFonts w:hint="eastAsia" w:ascii="宋体" w:hAnsi="宋体" w:eastAsia="宋体" w:cs="宋体"/>
          <w:color w:val="000000" w:themeColor="text1"/>
          <w:kern w:val="44"/>
          <w:sz w:val="28"/>
          <w:szCs w:val="28"/>
          <w:lang w:val="en-US" w:eastAsia="zh-CN" w:bidi="ar-SA"/>
          <w14:textFill>
            <w14:solidFill>
              <w14:schemeClr w14:val="tx1"/>
            </w14:solidFill>
          </w14:textFill>
        </w:rPr>
        <w:t>稿和评价报告等有关资料，建立绩效评价档案。</w:t>
      </w:r>
    </w:p>
    <w:bookmarkEnd w:id="17"/>
    <w:p w14:paraId="5DE90AFD">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21" w:name="_Toc27083"/>
      <w:r>
        <w:rPr>
          <w:rFonts w:hint="eastAsia" w:ascii="宋体" w:hAnsi="宋体" w:eastAsia="宋体" w:cs="宋体"/>
          <w:b/>
          <w:bCs/>
          <w:snapToGrid w:val="0"/>
          <w:color w:val="000000" w:themeColor="text1"/>
          <w:kern w:val="0"/>
          <w:sz w:val="28"/>
          <w:szCs w:val="28"/>
          <w14:textFill>
            <w14:solidFill>
              <w14:schemeClr w14:val="tx1"/>
            </w14:solidFill>
          </w14:textFill>
        </w:rPr>
        <w:t>绩效评价分析</w:t>
      </w:r>
      <w:bookmarkEnd w:id="21"/>
    </w:p>
    <w:p w14:paraId="76034D9F">
      <w:pPr>
        <w:numPr>
          <w:ilvl w:val="0"/>
          <w:numId w:val="20"/>
        </w:numPr>
        <w:spacing w:line="360" w:lineRule="auto"/>
        <w:ind w:left="0" w:leftChars="0" w:firstLine="283" w:firstLineChars="0"/>
        <w:jc w:val="left"/>
        <w:outlineLvl w:val="1"/>
        <w:rPr>
          <w:rFonts w:hint="eastAsia" w:ascii="宋体" w:hAnsi="宋体" w:eastAsia="宋体" w:cs="宋体"/>
          <w:b w:val="0"/>
          <w:bCs w:val="0"/>
          <w:snapToGrid w:val="0"/>
          <w:color w:val="000000" w:themeColor="text1"/>
          <w:kern w:val="0"/>
          <w:sz w:val="28"/>
          <w:szCs w:val="28"/>
          <w14:textFill>
            <w14:solidFill>
              <w14:schemeClr w14:val="tx1"/>
            </w14:solidFill>
          </w14:textFill>
        </w:rPr>
      </w:pPr>
      <w:bookmarkStart w:id="22" w:name="_Toc24982"/>
      <w:r>
        <w:rPr>
          <w:rFonts w:hint="eastAsia" w:ascii="宋体" w:hAnsi="宋体" w:eastAsia="宋体" w:cs="宋体"/>
          <w:b w:val="0"/>
          <w:bCs w:val="0"/>
          <w:snapToGrid w:val="0"/>
          <w:color w:val="000000" w:themeColor="text1"/>
          <w:kern w:val="0"/>
          <w:sz w:val="28"/>
          <w:szCs w:val="28"/>
          <w14:textFill>
            <w14:solidFill>
              <w14:schemeClr w14:val="tx1"/>
            </w14:solidFill>
          </w14:textFill>
        </w:rPr>
        <w:t>项目绩效目标完成情况分析</w:t>
      </w:r>
      <w:bookmarkEnd w:id="22"/>
    </w:p>
    <w:p w14:paraId="0FA97456">
      <w:pPr>
        <w:numPr>
          <w:ilvl w:val="0"/>
          <w:numId w:val="21"/>
        </w:numPr>
        <w:spacing w:line="360" w:lineRule="auto"/>
        <w:ind w:left="0" w:leftChars="0" w:firstLine="283" w:firstLineChars="0"/>
        <w:jc w:val="left"/>
        <w:outlineLvl w:val="2"/>
        <w:rPr>
          <w:rFonts w:hint="eastAsia" w:ascii="宋体" w:hAnsi="宋体" w:eastAsia="宋体" w:cs="宋体"/>
          <w:color w:val="000000" w:themeColor="text1"/>
          <w:kern w:val="44"/>
          <w:sz w:val="28"/>
          <w:szCs w:val="28"/>
          <w:highlight w:val="none"/>
          <w14:textFill>
            <w14:solidFill>
              <w14:schemeClr w14:val="tx1"/>
            </w14:solidFill>
          </w14:textFill>
        </w:rPr>
      </w:pPr>
      <w:bookmarkStart w:id="23" w:name="_Toc31984"/>
      <w:r>
        <w:rPr>
          <w:rFonts w:hint="eastAsia" w:ascii="宋体" w:hAnsi="宋体" w:eastAsia="宋体" w:cs="宋体"/>
          <w:color w:val="000000" w:themeColor="text1"/>
          <w:kern w:val="44"/>
          <w:sz w:val="28"/>
          <w:szCs w:val="28"/>
          <w:highlight w:val="none"/>
          <w14:textFill>
            <w14:solidFill>
              <w14:schemeClr w14:val="tx1"/>
            </w14:solidFill>
          </w14:textFill>
        </w:rPr>
        <w:t>项目绩效目标评价分析</w:t>
      </w:r>
      <w:bookmarkEnd w:id="23"/>
    </w:p>
    <w:p w14:paraId="5BB0E589">
      <w:pPr>
        <w:numPr>
          <w:ilvl w:val="0"/>
          <w:numId w:val="0"/>
        </w:numPr>
        <w:spacing w:line="360" w:lineRule="auto"/>
        <w:ind w:firstLine="560" w:firstLineChars="200"/>
        <w:jc w:val="left"/>
        <w:outlineLvl w:val="9"/>
        <w:rPr>
          <w:rFonts w:hint="default"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三门峡市陕州区退役军人事务局未能提供抚恤经费项目的绩效目标、绩效指标。</w:t>
      </w:r>
    </w:p>
    <w:p w14:paraId="272A832A">
      <w:pPr>
        <w:numPr>
          <w:ilvl w:val="0"/>
          <w:numId w:val="21"/>
        </w:numPr>
        <w:spacing w:line="360" w:lineRule="auto"/>
        <w:ind w:left="0" w:leftChars="0" w:firstLine="283" w:firstLineChars="0"/>
        <w:jc w:val="left"/>
        <w:outlineLvl w:val="2"/>
        <w:rPr>
          <w:rFonts w:hint="eastAsia" w:ascii="宋体" w:hAnsi="宋体" w:eastAsia="宋体" w:cs="宋体"/>
          <w:color w:val="000000" w:themeColor="text1"/>
          <w:kern w:val="44"/>
          <w:sz w:val="28"/>
          <w:szCs w:val="28"/>
          <w14:textFill>
            <w14:solidFill>
              <w14:schemeClr w14:val="tx1"/>
            </w14:solidFill>
          </w14:textFill>
        </w:rPr>
      </w:pPr>
      <w:bookmarkStart w:id="24" w:name="_Toc20130"/>
      <w:r>
        <w:rPr>
          <w:rFonts w:hint="eastAsia" w:ascii="宋体" w:hAnsi="宋体" w:eastAsia="宋体" w:cs="宋体"/>
          <w:color w:val="000000" w:themeColor="text1"/>
          <w:kern w:val="44"/>
          <w:sz w:val="28"/>
          <w:szCs w:val="28"/>
          <w14:textFill>
            <w14:solidFill>
              <w14:schemeClr w14:val="tx1"/>
            </w14:solidFill>
          </w14:textFill>
        </w:rPr>
        <w:t>资金使用及管理情况分析</w:t>
      </w:r>
      <w:bookmarkEnd w:id="24"/>
    </w:p>
    <w:p w14:paraId="2794522D">
      <w:pPr>
        <w:numPr>
          <w:ilvl w:val="0"/>
          <w:numId w:val="0"/>
        </w:numPr>
        <w:spacing w:line="360" w:lineRule="auto"/>
        <w:ind w:firstLine="560" w:firstLineChars="200"/>
        <w:jc w:val="left"/>
        <w:rPr>
          <w:rFonts w:hint="eastAsia" w:ascii="宋体" w:hAnsi="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项目单位三门峡市陕州区退役军人事务局内部控制健全，有严格的资金使用及管理制度</w:t>
      </w:r>
      <w:r>
        <w:rPr>
          <w:rFonts w:hint="eastAsia" w:ascii="宋体" w:hAnsi="宋体" w:cs="宋体"/>
          <w:color w:val="000000" w:themeColor="text1"/>
          <w:kern w:val="44"/>
          <w:sz w:val="28"/>
          <w:szCs w:val="28"/>
          <w:lang w:val="en-US" w:eastAsia="zh-CN"/>
          <w14:textFill>
            <w14:solidFill>
              <w14:schemeClr w14:val="tx1"/>
            </w14:solidFill>
          </w14:textFill>
        </w:rPr>
        <w:t>。</w:t>
      </w:r>
    </w:p>
    <w:p w14:paraId="7461B4F8">
      <w:pPr>
        <w:numPr>
          <w:ilvl w:val="0"/>
          <w:numId w:val="0"/>
        </w:numPr>
        <w:spacing w:line="360" w:lineRule="auto"/>
        <w:ind w:firstLine="560" w:firstLineChars="200"/>
        <w:jc w:val="left"/>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eastAsia="宋体" w:cs="宋体"/>
          <w:color w:val="000000" w:themeColor="text1"/>
          <w:kern w:val="44"/>
          <w:sz w:val="28"/>
          <w:szCs w:val="28"/>
          <w:lang w:val="en-US" w:eastAsia="zh-CN"/>
          <w14:textFill>
            <w14:solidFill>
              <w14:schemeClr w14:val="tx1"/>
            </w14:solidFill>
          </w14:textFill>
        </w:rPr>
        <w:t>抽查项目部分付款凭证，其报账需先由报账员整理报账资料，包括但不限于</w:t>
      </w:r>
      <w:r>
        <w:rPr>
          <w:rFonts w:hint="eastAsia" w:ascii="宋体" w:hAnsi="宋体" w:cs="宋体"/>
          <w:color w:val="000000" w:themeColor="text1"/>
          <w:kern w:val="44"/>
          <w:sz w:val="28"/>
          <w:szCs w:val="28"/>
          <w:lang w:val="en-US" w:eastAsia="zh-CN"/>
          <w14:textFill>
            <w14:solidFill>
              <w14:schemeClr w14:val="tx1"/>
            </w14:solidFill>
          </w14:textFill>
        </w:rPr>
        <w:t>资金请示、优抚对象抚恤生活补助发放汇总表、优抚对象抚恤生活补助发放明细表</w:t>
      </w:r>
      <w:r>
        <w:rPr>
          <w:rFonts w:hint="eastAsia" w:ascii="宋体" w:hAnsi="宋体" w:eastAsia="宋体" w:cs="宋体"/>
          <w:color w:val="000000" w:themeColor="text1"/>
          <w:kern w:val="44"/>
          <w:sz w:val="28"/>
          <w:szCs w:val="28"/>
          <w:lang w:val="en-US" w:eastAsia="zh-CN"/>
          <w14:textFill>
            <w14:solidFill>
              <w14:schemeClr w14:val="tx1"/>
            </w14:solidFill>
          </w14:textFill>
        </w:rPr>
        <w:t>，报账资料由报账员审核无误后由</w:t>
      </w:r>
      <w:r>
        <w:rPr>
          <w:rFonts w:hint="eastAsia" w:ascii="宋体" w:hAnsi="宋体" w:cs="宋体"/>
          <w:color w:val="000000" w:themeColor="text1"/>
          <w:kern w:val="44"/>
          <w:sz w:val="28"/>
          <w:szCs w:val="28"/>
          <w:lang w:val="en-US" w:eastAsia="zh-CN"/>
          <w14:textFill>
            <w14:solidFill>
              <w14:schemeClr w14:val="tx1"/>
            </w14:solidFill>
          </w14:textFill>
        </w:rPr>
        <w:t>主管、审核签字，最后</w:t>
      </w:r>
      <w:r>
        <w:rPr>
          <w:rFonts w:hint="eastAsia" w:ascii="宋体" w:hAnsi="宋体" w:eastAsia="宋体" w:cs="宋体"/>
          <w:color w:val="000000" w:themeColor="text1"/>
          <w:kern w:val="44"/>
          <w:sz w:val="28"/>
          <w:szCs w:val="28"/>
          <w:lang w:val="en-US" w:eastAsia="zh-CN"/>
          <w14:textFill>
            <w14:solidFill>
              <w14:schemeClr w14:val="tx1"/>
            </w14:solidFill>
          </w14:textFill>
        </w:rPr>
        <w:t>转账支付，财务记账，装订凭证。建设单位内部控制健全，设计合理，得到有效执行。</w:t>
      </w:r>
    </w:p>
    <w:p w14:paraId="2D5A04A9">
      <w:pPr>
        <w:numPr>
          <w:ilvl w:val="0"/>
          <w:numId w:val="0"/>
        </w:numPr>
        <w:spacing w:line="360" w:lineRule="auto"/>
        <w:ind w:firstLine="560" w:firstLineChars="200"/>
        <w:jc w:val="left"/>
        <w:rPr>
          <w:rFonts w:hint="eastAsia" w:ascii="宋体" w:hAnsi="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根据河南省人民政府办公厅《关于进一步加强惠民惠农财政补贴资金“一卡通”管理的实施意见》（豫政办〔2021〕24号）的规定</w:t>
      </w:r>
      <w:r>
        <w:rPr>
          <w:rFonts w:hint="eastAsia" w:ascii="宋体" w:hAnsi="宋体" w:eastAsia="宋体" w:cs="宋体"/>
          <w:i w:val="0"/>
          <w:iCs w:val="0"/>
          <w:caps w:val="0"/>
          <w:color w:val="000000"/>
          <w:spacing w:val="0"/>
          <w:sz w:val="27"/>
          <w:szCs w:val="27"/>
          <w:shd w:val="clear" w:fill="FFFFFF"/>
        </w:rPr>
        <w:t>到2023年，</w:t>
      </w:r>
      <w:r>
        <w:rPr>
          <w:rFonts w:hint="eastAsia" w:ascii="宋体" w:hAnsi="宋体" w:cs="宋体"/>
          <w:color w:val="000000" w:themeColor="text1"/>
          <w:kern w:val="44"/>
          <w:sz w:val="28"/>
          <w:szCs w:val="28"/>
          <w:lang w:val="en-US" w:eastAsia="zh-CN"/>
          <w14:textFill>
            <w14:solidFill>
              <w14:schemeClr w14:val="tx1"/>
            </w14:solidFill>
          </w14:textFill>
        </w:rPr>
        <w:t>所有直接兑付到人到户的补贴资金原则上均通过“一卡通”方式集中发放，并纳入惠民惠农财政补贴资金“一卡通”系统（以下简称“一卡通”系统）统一管理，清理整合补贴政策和资金、规范代发金融机构和发放流程、加强数据归集共享、搭建集中统一发放管理平台、加强公开公示等工作基本完成，在坚持中央统筹的前提下，省负总责、市县抓落实的监管格局基本建成，实现“一张清单管制度”“一个平台管发放”，补贴政策更加科学，资金绩效显著提升。</w:t>
      </w:r>
    </w:p>
    <w:p w14:paraId="71694A98">
      <w:pPr>
        <w:numPr>
          <w:ilvl w:val="0"/>
          <w:numId w:val="0"/>
        </w:numPr>
        <w:spacing w:line="360" w:lineRule="auto"/>
        <w:ind w:firstLine="560" w:firstLineChars="200"/>
        <w:jc w:val="left"/>
        <w:rPr>
          <w:rFonts w:hint="default" w:ascii="宋体" w:hAnsi="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抽查</w:t>
      </w: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三门峡市陕州区退役军人事务局优抚对象补助经费</w:t>
      </w:r>
      <w:r>
        <w:rPr>
          <w:rFonts w:hint="eastAsia" w:ascii="宋体" w:hAnsi="宋体" w:cs="宋体"/>
          <w:color w:val="000000" w:themeColor="text1"/>
          <w:kern w:val="44"/>
          <w:sz w:val="28"/>
          <w:szCs w:val="28"/>
          <w:lang w:val="en-US" w:eastAsia="zh-CN"/>
          <w14:textFill>
            <w14:solidFill>
              <w14:schemeClr w14:val="tx1"/>
            </w14:solidFill>
          </w14:textFill>
        </w:rPr>
        <w:t>在2024年期间的转账记录，资金皆是由三门峡市陕州区财政国库集中支付中心直接转账到三门峡市陕州区惠民惠农补贴资金一卡通专户，项目单位</w:t>
      </w: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三门峡市陕州区退役军人事务局</w:t>
      </w:r>
      <w:r>
        <w:rPr>
          <w:rFonts w:hint="eastAsia" w:ascii="宋体" w:hAnsi="宋体" w:cs="宋体"/>
          <w:color w:val="000000" w:themeColor="text1"/>
          <w:kern w:val="44"/>
          <w:sz w:val="28"/>
          <w:szCs w:val="28"/>
          <w:lang w:val="en-US" w:eastAsia="zh-CN"/>
          <w14:textFill>
            <w14:solidFill>
              <w14:schemeClr w14:val="tx1"/>
            </w14:solidFill>
          </w14:textFill>
        </w:rPr>
        <w:t>不直接接触补助资金，符合河南省人民政府办公厅《关于进一步加强惠民惠农财政补贴资金“一卡通”管理的实施意见》（豫政办〔2021〕24号）的相关规定。</w:t>
      </w:r>
    </w:p>
    <w:p w14:paraId="36DF9C6D">
      <w:pPr>
        <w:numPr>
          <w:ilvl w:val="0"/>
          <w:numId w:val="21"/>
        </w:numPr>
        <w:spacing w:line="360" w:lineRule="auto"/>
        <w:ind w:left="0" w:leftChars="0" w:firstLine="283" w:firstLineChars="0"/>
        <w:jc w:val="left"/>
        <w:outlineLvl w:val="2"/>
        <w:rPr>
          <w:rFonts w:hint="eastAsia" w:ascii="宋体" w:hAnsi="宋体" w:eastAsia="宋体" w:cs="宋体"/>
          <w:color w:val="000000" w:themeColor="text1"/>
          <w:kern w:val="44"/>
          <w:sz w:val="28"/>
          <w:szCs w:val="28"/>
          <w14:textFill>
            <w14:solidFill>
              <w14:schemeClr w14:val="tx1"/>
            </w14:solidFill>
          </w14:textFill>
        </w:rPr>
      </w:pPr>
      <w:bookmarkStart w:id="25" w:name="_Toc10873"/>
      <w:r>
        <w:rPr>
          <w:rFonts w:hint="eastAsia" w:ascii="宋体" w:hAnsi="宋体" w:eastAsia="宋体" w:cs="宋体"/>
          <w:color w:val="000000" w:themeColor="text1"/>
          <w:kern w:val="44"/>
          <w:sz w:val="28"/>
          <w:szCs w:val="28"/>
          <w14:textFill>
            <w14:solidFill>
              <w14:schemeClr w14:val="tx1"/>
            </w14:solidFill>
          </w14:textFill>
        </w:rPr>
        <w:t>项目组织情况分析</w:t>
      </w:r>
      <w:bookmarkEnd w:id="25"/>
    </w:p>
    <w:p w14:paraId="64039834">
      <w:pPr>
        <w:numPr>
          <w:ilvl w:val="0"/>
          <w:numId w:val="0"/>
        </w:numPr>
        <w:spacing w:line="360" w:lineRule="auto"/>
        <w:ind w:firstLine="560" w:firstLineChars="200"/>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项目单位</w:t>
      </w:r>
      <w:r>
        <w:rPr>
          <w:rFonts w:hint="eastAsia" w:ascii="宋体" w:hAnsi="宋体" w:eastAsia="宋体" w:cs="宋体"/>
          <w:color w:val="000000" w:themeColor="text1"/>
          <w:kern w:val="44"/>
          <w:sz w:val="28"/>
          <w:szCs w:val="28"/>
          <w:lang w:val="en-US" w:eastAsia="zh-CN"/>
          <w14:textFill>
            <w14:solidFill>
              <w14:schemeClr w14:val="tx1"/>
            </w14:solidFill>
          </w14:textFill>
        </w:rPr>
        <w:t>三门峡市陕州区退役军人事务局</w:t>
      </w:r>
      <w:r>
        <w:rPr>
          <w:rFonts w:hint="eastAsia" w:ascii="宋体" w:hAnsi="宋体" w:cs="宋体"/>
          <w:color w:val="000000" w:themeColor="text1"/>
          <w:kern w:val="44"/>
          <w:sz w:val="28"/>
          <w:szCs w:val="28"/>
          <w:lang w:val="en-US" w:eastAsia="zh-CN"/>
          <w14:textFill>
            <w14:solidFill>
              <w14:schemeClr w14:val="tx1"/>
            </w14:solidFill>
          </w14:textFill>
        </w:rPr>
        <w:t>每月统计出下月需要的抚恤经费金额，形成《三门峡市陕州区退役军人事务局关于拨付抚恤经费的请示》，获得退役军人事务局领导批示后，下月资金由三门峡市陕州区财政国库集中支付中心直接转账到三门峡市陕州区惠民惠农补贴资金一卡通专户，支付给符合规定的</w:t>
      </w:r>
      <w:r>
        <w:rPr>
          <w:rFonts w:hint="eastAsia" w:ascii="宋体" w:hAnsi="宋体" w:cs="宋体"/>
          <w:color w:val="000000" w:themeColor="text1"/>
          <w:kern w:val="44"/>
          <w:sz w:val="28"/>
          <w:szCs w:val="28"/>
          <w:highlight w:val="none"/>
          <w:lang w:val="en-US" w:eastAsia="zh-CN"/>
          <w14:textFill>
            <w14:solidFill>
              <w14:schemeClr w14:val="tx1"/>
            </w14:solidFill>
          </w14:textFill>
        </w:rPr>
        <w:t>三属人员（烈士遗属、因公牺牲军人遗属、病故军人遗属）、在乡老复员军人、带病回乡退伍军人、残疾军人、两参人员、年满60周岁农村籍退役士兵、烈士子女等。</w:t>
      </w:r>
    </w:p>
    <w:p w14:paraId="4E101F3D">
      <w:pPr>
        <w:numPr>
          <w:ilvl w:val="0"/>
          <w:numId w:val="21"/>
        </w:numPr>
        <w:spacing w:line="360" w:lineRule="auto"/>
        <w:ind w:left="0" w:leftChars="0" w:firstLine="283" w:firstLineChars="0"/>
        <w:jc w:val="left"/>
        <w:outlineLvl w:val="2"/>
        <w:rPr>
          <w:rFonts w:hint="eastAsia" w:ascii="宋体" w:hAnsi="宋体" w:eastAsia="宋体" w:cs="宋体"/>
          <w:color w:val="000000" w:themeColor="text1"/>
          <w:kern w:val="44"/>
          <w:sz w:val="28"/>
          <w:szCs w:val="28"/>
          <w14:textFill>
            <w14:solidFill>
              <w14:schemeClr w14:val="tx1"/>
            </w14:solidFill>
          </w14:textFill>
        </w:rPr>
      </w:pPr>
      <w:bookmarkStart w:id="26" w:name="_Toc12192"/>
      <w:r>
        <w:rPr>
          <w:rFonts w:hint="eastAsia" w:ascii="宋体" w:hAnsi="宋体" w:eastAsia="宋体" w:cs="宋体"/>
          <w:color w:val="000000" w:themeColor="text1"/>
          <w:kern w:val="44"/>
          <w:sz w:val="28"/>
          <w:szCs w:val="28"/>
          <w14:textFill>
            <w14:solidFill>
              <w14:schemeClr w14:val="tx1"/>
            </w14:solidFill>
          </w14:textFill>
        </w:rPr>
        <w:t>项目管理情况分析</w:t>
      </w:r>
      <w:bookmarkEnd w:id="26"/>
    </w:p>
    <w:p w14:paraId="72913179">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陕州区</w:t>
      </w:r>
      <w:r>
        <w:rPr>
          <w:rFonts w:hint="eastAsia" w:ascii="宋体" w:hAnsi="宋体" w:eastAsia="宋体" w:cs="宋体"/>
          <w:color w:val="000000" w:themeColor="text1"/>
          <w:kern w:val="44"/>
          <w:sz w:val="28"/>
          <w:szCs w:val="28"/>
          <w:highlight w:val="none"/>
          <w14:textFill>
            <w14:solidFill>
              <w14:schemeClr w14:val="tx1"/>
            </w14:solidFill>
          </w14:textFill>
        </w:rPr>
        <w:t>退役军人事务局严格按照规定办理审批手续，根据重点优抚对象提交的申请和有关材料，由退役军人服务中心负责人员信息核查确认、并提供相关证明资料，经审核确认后发放。</w:t>
      </w:r>
    </w:p>
    <w:p w14:paraId="1FDBF301">
      <w:pPr>
        <w:numPr>
          <w:ilvl w:val="0"/>
          <w:numId w:val="21"/>
        </w:numPr>
        <w:spacing w:line="360" w:lineRule="auto"/>
        <w:ind w:left="0" w:leftChars="0" w:firstLine="283" w:firstLineChars="0"/>
        <w:jc w:val="left"/>
        <w:outlineLvl w:val="2"/>
        <w:rPr>
          <w:rFonts w:hint="eastAsia" w:ascii="宋体" w:hAnsi="宋体" w:eastAsia="宋体" w:cs="宋体"/>
          <w:color w:val="000000" w:themeColor="text1"/>
          <w:kern w:val="44"/>
          <w:sz w:val="28"/>
          <w:szCs w:val="28"/>
          <w:highlight w:val="none"/>
          <w14:textFill>
            <w14:solidFill>
              <w14:schemeClr w14:val="tx1"/>
            </w14:solidFill>
          </w14:textFill>
        </w:rPr>
      </w:pPr>
      <w:bookmarkStart w:id="27" w:name="_Toc29657"/>
      <w:r>
        <w:rPr>
          <w:rFonts w:hint="eastAsia" w:ascii="宋体" w:hAnsi="宋体" w:eastAsia="宋体" w:cs="宋体"/>
          <w:color w:val="000000" w:themeColor="text1"/>
          <w:kern w:val="44"/>
          <w:sz w:val="28"/>
          <w:szCs w:val="28"/>
          <w:highlight w:val="none"/>
          <w14:textFill>
            <w14:solidFill>
              <w14:schemeClr w14:val="tx1"/>
            </w14:solidFill>
          </w14:textFill>
        </w:rPr>
        <w:t>项目产出及效果评价分析</w:t>
      </w:r>
      <w:bookmarkEnd w:id="27"/>
    </w:p>
    <w:p w14:paraId="7F2DDE8E">
      <w:pPr>
        <w:numPr>
          <w:ilvl w:val="0"/>
          <w:numId w:val="0"/>
        </w:numPr>
        <w:spacing w:line="360" w:lineRule="auto"/>
        <w:ind w:firstLine="560" w:firstLineChars="200"/>
        <w:jc w:val="both"/>
        <w:outlineLvl w:val="9"/>
        <w:rPr>
          <w:rFonts w:hint="default" w:ascii="宋体" w:hAnsi="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产出数量：2024年退役军人事务局发放优抚资金共16,803,172.12元，其中12月发放优抚资金共1,393,256.90元，包含三属抚恤25人69,841.76元、伤残抚恤179人共412,768.56元、在乡老复员军人补助19人共37,715.00元、带病回乡退伍军人补助208人177,053.46元、两参人员补助260人共218,400.00元、年满60周岁农村籍退役士兵生活补助1443人共454,018.12元、烈士子女补助34人共23,460.00元。</w:t>
      </w:r>
    </w:p>
    <w:p w14:paraId="5223CD01">
      <w:pPr>
        <w:numPr>
          <w:ilvl w:val="0"/>
          <w:numId w:val="0"/>
        </w:numPr>
        <w:spacing w:line="360" w:lineRule="auto"/>
        <w:ind w:left="283" w:leftChars="0" w:firstLine="280" w:firstLineChars="100"/>
        <w:jc w:val="left"/>
        <w:outlineLvl w:val="9"/>
        <w:rPr>
          <w:rFonts w:hint="default" w:ascii="宋体" w:hAnsi="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产出时效：抽查财务记账凭证及一卡通发放记录优抚资金每月及时发放。</w:t>
      </w:r>
    </w:p>
    <w:p w14:paraId="5063774B">
      <w:pPr>
        <w:numPr>
          <w:ilvl w:val="0"/>
          <w:numId w:val="0"/>
        </w:numPr>
        <w:spacing w:line="360" w:lineRule="auto"/>
        <w:ind w:left="283" w:leftChars="0" w:firstLine="280" w:firstLineChars="100"/>
        <w:jc w:val="left"/>
        <w:outlineLvl w:val="9"/>
        <w:rPr>
          <w:rFonts w:hint="default" w:ascii="宋体" w:hAnsi="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产出质量:经过对优抚对象补助资金发放明细分析复核和优抚对象档案资料的抽查审核，优抚资金资金发放准确率100%。</w:t>
      </w:r>
    </w:p>
    <w:p w14:paraId="6B9D4EF4">
      <w:pPr>
        <w:numPr>
          <w:ilvl w:val="0"/>
          <w:numId w:val="0"/>
        </w:numPr>
        <w:spacing w:line="360" w:lineRule="auto"/>
        <w:ind w:firstLine="560" w:firstLineChars="200"/>
        <w:jc w:val="left"/>
        <w:outlineLvl w:val="9"/>
        <w:rPr>
          <w:rFonts w:hint="eastAsia" w:ascii="宋体" w:hAnsi="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社会效益：优抚资金提升优抚对象收入与消费能力，缓解生活、医疗、养老等困难；化解了矛盾隐患、减少诉求纠纷，增强获得感与幸福感，提升社会治理效能；向现役军人传递“奉献有回报、退役有保障”的明确预期，消除后顾之忧，巩固军队凝聚力与战斗力；提升参军吸引力。</w:t>
      </w:r>
    </w:p>
    <w:p w14:paraId="7B859DCB">
      <w:pPr>
        <w:numPr>
          <w:ilvl w:val="0"/>
          <w:numId w:val="0"/>
        </w:numPr>
        <w:spacing w:line="360" w:lineRule="auto"/>
        <w:ind w:firstLine="560" w:firstLineChars="200"/>
        <w:jc w:val="left"/>
        <w:outlineLvl w:val="9"/>
        <w:rPr>
          <w:rFonts w:hint="default" w:ascii="宋体" w:hAnsi="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服务对象满意度：对优抚对象发放满意度调查问卷207份，综合满意度93.54%。</w:t>
      </w:r>
    </w:p>
    <w:p w14:paraId="55EFE0ED">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28" w:name="_Toc4887"/>
      <w:r>
        <w:rPr>
          <w:rFonts w:hint="eastAsia" w:ascii="宋体" w:hAnsi="宋体" w:cs="宋体"/>
          <w:b/>
          <w:bCs/>
          <w:snapToGrid w:val="0"/>
          <w:color w:val="000000" w:themeColor="text1"/>
          <w:kern w:val="0"/>
          <w:sz w:val="28"/>
          <w:szCs w:val="28"/>
          <w:lang w:val="en-US" w:eastAsia="zh-CN"/>
          <w14:textFill>
            <w14:solidFill>
              <w14:schemeClr w14:val="tx1"/>
            </w14:solidFill>
          </w14:textFill>
        </w:rPr>
        <w:t>评价结论</w:t>
      </w:r>
      <w:bookmarkEnd w:id="28"/>
    </w:p>
    <w:p w14:paraId="36981F1A">
      <w:pPr>
        <w:numPr>
          <w:ilvl w:val="0"/>
          <w:numId w:val="0"/>
        </w:numPr>
        <w:spacing w:line="360" w:lineRule="auto"/>
        <w:ind w:firstLine="560" w:firstLineChars="200"/>
        <w:jc w:val="left"/>
        <w:outlineLvl w:val="9"/>
        <w:rPr>
          <w:rFonts w:hint="eastAsia" w:eastAsia="宋体"/>
          <w:highlight w:val="yellow"/>
          <w:lang w:eastAsia="zh-CN"/>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根据</w:t>
      </w:r>
      <w:r>
        <w:rPr>
          <w:rFonts w:hint="eastAsia" w:ascii="宋体" w:hAnsi="宋体" w:eastAsia="宋体" w:cs="宋体"/>
          <w:color w:val="000000" w:themeColor="text1"/>
          <w:kern w:val="44"/>
          <w:sz w:val="28"/>
          <w:szCs w:val="28"/>
          <w:lang w:val="en-US" w:eastAsia="zh-CN"/>
          <w14:textFill>
            <w14:solidFill>
              <w14:schemeClr w14:val="tx1"/>
            </w14:solidFill>
          </w14:textFill>
        </w:rPr>
        <w:t>2025年12月8日，三门峡市陕州区财政局印发《关于开展 2024年度区级财政支出重点项目绩效评价工作的通知》（三陕财效(2025]5号），</w:t>
      </w: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绩效评价的内容包括对项目绩效目标的设定情况、资金投入和使用情况，为实现绩效目标制定的制度、采取的措施、绩效目标实现程度及效果等。按评价指标体系和评分标准对每个指标分别评分，根据权重汇总后评出最终分数。</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839"/>
        <w:gridCol w:w="2422"/>
        <w:gridCol w:w="2131"/>
      </w:tblGrid>
      <w:tr w14:paraId="46B6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687DCA15">
            <w:pPr>
              <w:numPr>
                <w:ilvl w:val="0"/>
                <w:numId w:val="0"/>
              </w:numPr>
              <w:spacing w:line="360" w:lineRule="auto"/>
              <w:jc w:val="center"/>
              <w:outlineLvl w:val="9"/>
              <w:rPr>
                <w:rFonts w:hint="eastAsia"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kern w:val="44"/>
                <w:sz w:val="28"/>
                <w:szCs w:val="28"/>
                <w:highlight w:val="none"/>
                <w:vertAlign w:val="baseline"/>
                <w:lang w:val="en-US" w:eastAsia="zh-CN"/>
                <w14:textFill>
                  <w14:solidFill>
                    <w14:schemeClr w14:val="tx1"/>
                  </w14:solidFill>
                </w14:textFill>
              </w:rPr>
              <w:t>陕州区退役军人事务局优抚对象补助经费</w:t>
            </w:r>
            <w:r>
              <w:rPr>
                <w:rFonts w:hint="eastAsia" w:ascii="宋体" w:hAnsi="宋体" w:cs="宋体"/>
                <w:b/>
                <w:bCs/>
                <w:color w:val="000000" w:themeColor="text1"/>
                <w:kern w:val="44"/>
                <w:sz w:val="28"/>
                <w:szCs w:val="28"/>
                <w:highlight w:val="none"/>
                <w:vertAlign w:val="baseline"/>
                <w:lang w:val="en-US" w:eastAsia="zh-CN"/>
                <w14:textFill>
                  <w14:solidFill>
                    <w14:schemeClr w14:val="tx1"/>
                  </w14:solidFill>
                </w14:textFill>
              </w:rPr>
              <w:t>一级指标得分情况</w:t>
            </w:r>
          </w:p>
        </w:tc>
      </w:tr>
      <w:tr w14:paraId="2AD3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0AD2BEE">
            <w:pPr>
              <w:numPr>
                <w:ilvl w:val="0"/>
                <w:numId w:val="0"/>
              </w:numPr>
              <w:spacing w:line="360" w:lineRule="auto"/>
              <w:jc w:val="center"/>
              <w:outlineLvl w:val="9"/>
              <w:rPr>
                <w:rFonts w:hint="default" w:ascii="宋体" w:hAnsi="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一级指标</w:t>
            </w:r>
          </w:p>
        </w:tc>
        <w:tc>
          <w:tcPr>
            <w:tcW w:w="1839" w:type="dxa"/>
            <w:shd w:val="clear" w:color="auto" w:fill="auto"/>
            <w:vAlign w:val="top"/>
          </w:tcPr>
          <w:p w14:paraId="1972CE50">
            <w:pPr>
              <w:numPr>
                <w:ilvl w:val="0"/>
                <w:numId w:val="0"/>
              </w:numPr>
              <w:spacing w:line="360" w:lineRule="auto"/>
              <w:ind w:left="0" w:leftChars="0" w:firstLine="0" w:firstLineChars="0"/>
              <w:jc w:val="center"/>
              <w:outlineLvl w:val="9"/>
              <w:rPr>
                <w:rFonts w:hint="default"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bidi="ar-SA"/>
                <w14:textFill>
                  <w14:solidFill>
                    <w14:schemeClr w14:val="tx1"/>
                  </w14:solidFill>
                </w14:textFill>
              </w:rPr>
              <w:t>权重</w:t>
            </w:r>
          </w:p>
        </w:tc>
        <w:tc>
          <w:tcPr>
            <w:tcW w:w="2422" w:type="dxa"/>
            <w:shd w:val="clear" w:color="auto" w:fill="auto"/>
            <w:vAlign w:val="top"/>
          </w:tcPr>
          <w:p w14:paraId="755EF309">
            <w:pPr>
              <w:numPr>
                <w:ilvl w:val="0"/>
                <w:numId w:val="0"/>
              </w:numPr>
              <w:spacing w:line="360" w:lineRule="auto"/>
              <w:ind w:left="0" w:leftChars="0" w:firstLine="0" w:firstLineChars="0"/>
              <w:jc w:val="center"/>
              <w:outlineLvl w:val="9"/>
              <w:rPr>
                <w:rFonts w:hint="eastAsia"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得分</w:t>
            </w:r>
          </w:p>
        </w:tc>
        <w:tc>
          <w:tcPr>
            <w:tcW w:w="2131" w:type="dxa"/>
            <w:shd w:val="clear" w:color="auto" w:fill="auto"/>
            <w:vAlign w:val="top"/>
          </w:tcPr>
          <w:p w14:paraId="6CF88E90">
            <w:pPr>
              <w:numPr>
                <w:ilvl w:val="0"/>
                <w:numId w:val="0"/>
              </w:numPr>
              <w:spacing w:line="360" w:lineRule="auto"/>
              <w:ind w:left="0" w:leftChars="0" w:firstLine="0" w:firstLineChars="0"/>
              <w:jc w:val="center"/>
              <w:outlineLvl w:val="9"/>
              <w:rPr>
                <w:rFonts w:hint="default" w:ascii="宋体" w:hAnsi="宋体" w:eastAsia="宋体" w:cs="宋体"/>
                <w:color w:val="000000" w:themeColor="text1"/>
                <w:kern w:val="44"/>
                <w:sz w:val="28"/>
                <w:szCs w:val="28"/>
                <w:highlight w:val="none"/>
                <w:vertAlign w:val="baseline"/>
                <w:lang w:val="en-US" w:eastAsia="zh-CN" w:bidi="ar-SA"/>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得分率</w:t>
            </w:r>
          </w:p>
        </w:tc>
      </w:tr>
      <w:tr w14:paraId="6A23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5351380">
            <w:pPr>
              <w:numPr>
                <w:ilvl w:val="0"/>
                <w:numId w:val="0"/>
              </w:numPr>
              <w:spacing w:line="360" w:lineRule="auto"/>
              <w:jc w:val="left"/>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决策</w:t>
            </w:r>
          </w:p>
        </w:tc>
        <w:tc>
          <w:tcPr>
            <w:tcW w:w="1839" w:type="dxa"/>
          </w:tcPr>
          <w:p w14:paraId="55D16B11">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15</w:t>
            </w:r>
          </w:p>
        </w:tc>
        <w:tc>
          <w:tcPr>
            <w:tcW w:w="2422" w:type="dxa"/>
          </w:tcPr>
          <w:p w14:paraId="0FDE3400">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10</w:t>
            </w:r>
          </w:p>
        </w:tc>
        <w:tc>
          <w:tcPr>
            <w:tcW w:w="2131" w:type="dxa"/>
            <w:vAlign w:val="top"/>
          </w:tcPr>
          <w:p w14:paraId="074FE9CF">
            <w:pPr>
              <w:keepNext w:val="0"/>
              <w:keepLines w:val="0"/>
              <w:widowControl/>
              <w:suppressLineNumbers w:val="0"/>
              <w:jc w:val="center"/>
              <w:textAlignment w:val="top"/>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eastAsia="宋体" w:cs="宋体"/>
                <w:i w:val="0"/>
                <w:iCs w:val="0"/>
                <w:color w:val="000000"/>
                <w:kern w:val="0"/>
                <w:sz w:val="28"/>
                <w:szCs w:val="28"/>
                <w:u w:val="none"/>
                <w:lang w:val="en-US" w:eastAsia="zh-CN" w:bidi="ar"/>
              </w:rPr>
              <w:t>66.67%</w:t>
            </w:r>
          </w:p>
        </w:tc>
      </w:tr>
      <w:tr w14:paraId="539F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E1A03B8">
            <w:pPr>
              <w:numPr>
                <w:ilvl w:val="0"/>
                <w:numId w:val="0"/>
              </w:numPr>
              <w:spacing w:line="360" w:lineRule="auto"/>
              <w:jc w:val="left"/>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管理</w:t>
            </w:r>
          </w:p>
        </w:tc>
        <w:tc>
          <w:tcPr>
            <w:tcW w:w="1839" w:type="dxa"/>
          </w:tcPr>
          <w:p w14:paraId="65E65A2C">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25</w:t>
            </w:r>
          </w:p>
        </w:tc>
        <w:tc>
          <w:tcPr>
            <w:tcW w:w="2422" w:type="dxa"/>
          </w:tcPr>
          <w:p w14:paraId="3486BA19">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25</w:t>
            </w:r>
          </w:p>
        </w:tc>
        <w:tc>
          <w:tcPr>
            <w:tcW w:w="2131" w:type="dxa"/>
            <w:vAlign w:val="top"/>
          </w:tcPr>
          <w:p w14:paraId="50BDC92C">
            <w:pPr>
              <w:keepNext w:val="0"/>
              <w:keepLines w:val="0"/>
              <w:widowControl/>
              <w:suppressLineNumbers w:val="0"/>
              <w:jc w:val="center"/>
              <w:textAlignment w:val="top"/>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eastAsia="宋体" w:cs="宋体"/>
                <w:i w:val="0"/>
                <w:iCs w:val="0"/>
                <w:color w:val="000000"/>
                <w:kern w:val="0"/>
                <w:sz w:val="28"/>
                <w:szCs w:val="28"/>
                <w:u w:val="none"/>
                <w:lang w:val="en-US" w:eastAsia="zh-CN" w:bidi="ar"/>
              </w:rPr>
              <w:t>100.00%</w:t>
            </w:r>
          </w:p>
        </w:tc>
      </w:tr>
      <w:tr w14:paraId="6B045C6B">
        <w:tblPrEx>
          <w:tblCellMar>
            <w:top w:w="0" w:type="dxa"/>
            <w:left w:w="108" w:type="dxa"/>
            <w:bottom w:w="0" w:type="dxa"/>
            <w:right w:w="108" w:type="dxa"/>
          </w:tblCellMar>
        </w:tblPrEx>
        <w:tc>
          <w:tcPr>
            <w:tcW w:w="2130" w:type="dxa"/>
          </w:tcPr>
          <w:p w14:paraId="6F1E2353">
            <w:pPr>
              <w:numPr>
                <w:ilvl w:val="0"/>
                <w:numId w:val="0"/>
              </w:numPr>
              <w:spacing w:line="360" w:lineRule="auto"/>
              <w:jc w:val="left"/>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产出</w:t>
            </w:r>
          </w:p>
        </w:tc>
        <w:tc>
          <w:tcPr>
            <w:tcW w:w="1839" w:type="dxa"/>
          </w:tcPr>
          <w:p w14:paraId="2E6DB6A5">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30</w:t>
            </w:r>
          </w:p>
        </w:tc>
        <w:tc>
          <w:tcPr>
            <w:tcW w:w="2422" w:type="dxa"/>
          </w:tcPr>
          <w:p w14:paraId="3D2ECC76">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30</w:t>
            </w:r>
          </w:p>
        </w:tc>
        <w:tc>
          <w:tcPr>
            <w:tcW w:w="2131" w:type="dxa"/>
            <w:vAlign w:val="top"/>
          </w:tcPr>
          <w:p w14:paraId="4DB7FAE1">
            <w:pPr>
              <w:keepNext w:val="0"/>
              <w:keepLines w:val="0"/>
              <w:widowControl/>
              <w:suppressLineNumbers w:val="0"/>
              <w:jc w:val="center"/>
              <w:textAlignment w:val="top"/>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eastAsia="宋体" w:cs="宋体"/>
                <w:i w:val="0"/>
                <w:iCs w:val="0"/>
                <w:color w:val="000000"/>
                <w:kern w:val="0"/>
                <w:sz w:val="28"/>
                <w:szCs w:val="28"/>
                <w:u w:val="none"/>
                <w:lang w:val="en-US" w:eastAsia="zh-CN" w:bidi="ar"/>
              </w:rPr>
              <w:t>100.00%</w:t>
            </w:r>
          </w:p>
        </w:tc>
      </w:tr>
      <w:tr w14:paraId="7E67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137906E">
            <w:pPr>
              <w:numPr>
                <w:ilvl w:val="0"/>
                <w:numId w:val="0"/>
              </w:numPr>
              <w:spacing w:line="360" w:lineRule="auto"/>
              <w:jc w:val="left"/>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效果</w:t>
            </w:r>
          </w:p>
        </w:tc>
        <w:tc>
          <w:tcPr>
            <w:tcW w:w="1839" w:type="dxa"/>
          </w:tcPr>
          <w:p w14:paraId="4646577D">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30</w:t>
            </w:r>
          </w:p>
        </w:tc>
        <w:tc>
          <w:tcPr>
            <w:tcW w:w="2422" w:type="dxa"/>
          </w:tcPr>
          <w:p w14:paraId="64AE0BB4">
            <w:pPr>
              <w:numPr>
                <w:ilvl w:val="0"/>
                <w:numId w:val="0"/>
              </w:numPr>
              <w:spacing w:line="360" w:lineRule="auto"/>
              <w:jc w:val="center"/>
              <w:outlineLvl w:val="9"/>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color w:val="000000" w:themeColor="text1"/>
                <w:kern w:val="44"/>
                <w:sz w:val="28"/>
                <w:szCs w:val="28"/>
                <w:highlight w:val="none"/>
                <w:vertAlign w:val="baseline"/>
                <w:lang w:val="en-US" w:eastAsia="zh-CN"/>
                <w14:textFill>
                  <w14:solidFill>
                    <w14:schemeClr w14:val="tx1"/>
                  </w14:solidFill>
                </w14:textFill>
              </w:rPr>
              <w:t>29.1</w:t>
            </w:r>
          </w:p>
        </w:tc>
        <w:tc>
          <w:tcPr>
            <w:tcW w:w="2131" w:type="dxa"/>
            <w:vAlign w:val="top"/>
          </w:tcPr>
          <w:p w14:paraId="0E64FF90">
            <w:pPr>
              <w:keepNext w:val="0"/>
              <w:keepLines w:val="0"/>
              <w:widowControl/>
              <w:suppressLineNumbers w:val="0"/>
              <w:jc w:val="center"/>
              <w:textAlignment w:val="top"/>
              <w:rPr>
                <w:rFonts w:hint="default" w:ascii="宋体" w:hAnsi="宋体" w:eastAsia="宋体" w:cs="宋体"/>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eastAsia="宋体" w:cs="宋体"/>
                <w:i w:val="0"/>
                <w:iCs w:val="0"/>
                <w:color w:val="000000"/>
                <w:kern w:val="0"/>
                <w:sz w:val="28"/>
                <w:szCs w:val="28"/>
                <w:u w:val="none"/>
                <w:lang w:val="en-US" w:eastAsia="zh-CN" w:bidi="ar"/>
              </w:rPr>
              <w:t>97.00%</w:t>
            </w:r>
          </w:p>
        </w:tc>
      </w:tr>
      <w:tr w14:paraId="7F66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4C2AB69">
            <w:pPr>
              <w:numPr>
                <w:ilvl w:val="0"/>
                <w:numId w:val="0"/>
              </w:numPr>
              <w:spacing w:line="360" w:lineRule="auto"/>
              <w:jc w:val="center"/>
              <w:outlineLvl w:val="9"/>
              <w:rPr>
                <w:rFonts w:hint="default" w:ascii="宋体" w:hAnsi="宋体" w:cs="宋体"/>
                <w:b/>
                <w:bCs/>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b/>
                <w:bCs/>
                <w:color w:val="000000" w:themeColor="text1"/>
                <w:kern w:val="44"/>
                <w:sz w:val="28"/>
                <w:szCs w:val="28"/>
                <w:highlight w:val="none"/>
                <w:vertAlign w:val="baseline"/>
                <w:lang w:val="en-US" w:eastAsia="zh-CN"/>
                <w14:textFill>
                  <w14:solidFill>
                    <w14:schemeClr w14:val="tx1"/>
                  </w14:solidFill>
                </w14:textFill>
              </w:rPr>
              <w:t>合计</w:t>
            </w:r>
          </w:p>
        </w:tc>
        <w:tc>
          <w:tcPr>
            <w:tcW w:w="1839" w:type="dxa"/>
          </w:tcPr>
          <w:p w14:paraId="32EFB3F1">
            <w:pPr>
              <w:numPr>
                <w:ilvl w:val="0"/>
                <w:numId w:val="0"/>
              </w:numPr>
              <w:spacing w:line="360" w:lineRule="auto"/>
              <w:jc w:val="center"/>
              <w:outlineLvl w:val="9"/>
              <w:rPr>
                <w:rFonts w:hint="default" w:ascii="宋体" w:hAnsi="宋体" w:eastAsia="宋体" w:cs="宋体"/>
                <w:b/>
                <w:bCs/>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cs="宋体"/>
                <w:b/>
                <w:bCs/>
                <w:color w:val="000000" w:themeColor="text1"/>
                <w:kern w:val="44"/>
                <w:sz w:val="28"/>
                <w:szCs w:val="28"/>
                <w:highlight w:val="none"/>
                <w:vertAlign w:val="baseline"/>
                <w:lang w:val="en-US" w:eastAsia="zh-CN"/>
                <w14:textFill>
                  <w14:solidFill>
                    <w14:schemeClr w14:val="tx1"/>
                  </w14:solidFill>
                </w14:textFill>
              </w:rPr>
              <w:t>100</w:t>
            </w:r>
          </w:p>
        </w:tc>
        <w:tc>
          <w:tcPr>
            <w:tcW w:w="2422" w:type="dxa"/>
          </w:tcPr>
          <w:p w14:paraId="5CDCB8B3">
            <w:pPr>
              <w:numPr>
                <w:ilvl w:val="0"/>
                <w:numId w:val="0"/>
              </w:numPr>
              <w:spacing w:line="360" w:lineRule="auto"/>
              <w:jc w:val="center"/>
              <w:outlineLvl w:val="9"/>
              <w:rPr>
                <w:rFonts w:hint="default" w:ascii="宋体" w:hAnsi="宋体" w:eastAsia="宋体" w:cs="宋体"/>
                <w:b/>
                <w:bCs/>
                <w:color w:val="000000" w:themeColor="text1"/>
                <w:kern w:val="44"/>
                <w:sz w:val="28"/>
                <w:szCs w:val="28"/>
                <w:highlight w:val="none"/>
                <w:vertAlign w:val="baseline"/>
                <w:lang w:val="en-US" w:eastAsia="zh-CN"/>
                <w14:textFill>
                  <w14:solidFill>
                    <w14:schemeClr w14:val="tx1"/>
                  </w14:solidFill>
                </w14:textFill>
              </w:rPr>
            </w:pPr>
            <w:r>
              <w:rPr>
                <w:rFonts w:hint="default" w:ascii="宋体" w:hAnsi="宋体" w:eastAsia="宋体" w:cs="宋体"/>
                <w:b/>
                <w:bCs/>
                <w:color w:val="000000" w:themeColor="text1"/>
                <w:kern w:val="44"/>
                <w:sz w:val="28"/>
                <w:szCs w:val="28"/>
                <w:highlight w:val="none"/>
                <w:vertAlign w:val="baseline"/>
                <w:lang w:val="en-US" w:eastAsia="zh-CN"/>
                <w14:textFill>
                  <w14:solidFill>
                    <w14:schemeClr w14:val="tx1"/>
                  </w14:solidFill>
                </w14:textFill>
              </w:rPr>
              <w:t>94.1</w:t>
            </w:r>
          </w:p>
        </w:tc>
        <w:tc>
          <w:tcPr>
            <w:tcW w:w="2131" w:type="dxa"/>
            <w:vAlign w:val="top"/>
          </w:tcPr>
          <w:p w14:paraId="2BD2BC38">
            <w:pPr>
              <w:keepNext w:val="0"/>
              <w:keepLines w:val="0"/>
              <w:widowControl/>
              <w:suppressLineNumbers w:val="0"/>
              <w:jc w:val="center"/>
              <w:textAlignment w:val="top"/>
              <w:rPr>
                <w:rFonts w:hint="default" w:ascii="宋体" w:hAnsi="宋体" w:eastAsia="宋体" w:cs="宋体"/>
                <w:b/>
                <w:bCs/>
                <w:color w:val="000000" w:themeColor="text1"/>
                <w:kern w:val="44"/>
                <w:sz w:val="28"/>
                <w:szCs w:val="28"/>
                <w:highlight w:val="none"/>
                <w:vertAlign w:val="baseline"/>
                <w:lang w:val="en-US" w:eastAsia="zh-CN"/>
                <w14:textFill>
                  <w14:solidFill>
                    <w14:schemeClr w14:val="tx1"/>
                  </w14:solidFill>
                </w14:textFill>
              </w:rPr>
            </w:pPr>
            <w:r>
              <w:rPr>
                <w:rFonts w:hint="eastAsia" w:ascii="宋体" w:hAnsi="宋体" w:eastAsia="宋体" w:cs="宋体"/>
                <w:i w:val="0"/>
                <w:iCs w:val="0"/>
                <w:color w:val="000000"/>
                <w:kern w:val="0"/>
                <w:sz w:val="28"/>
                <w:szCs w:val="28"/>
                <w:u w:val="none"/>
                <w:lang w:val="en-US" w:eastAsia="zh-CN" w:bidi="ar"/>
              </w:rPr>
              <w:t>94.10%</w:t>
            </w:r>
          </w:p>
        </w:tc>
      </w:tr>
    </w:tbl>
    <w:p w14:paraId="49CC24CA">
      <w:pPr>
        <w:numPr>
          <w:ilvl w:val="0"/>
          <w:numId w:val="0"/>
        </w:numPr>
        <w:spacing w:line="360" w:lineRule="auto"/>
        <w:ind w:firstLine="560" w:firstLineChars="200"/>
        <w:jc w:val="left"/>
        <w:outlineLvl w:val="9"/>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根据相关办法，绩效评价结果实行百分制、四级分类，分别是 90(含)-100分为优、80(含)-90分为良，60(含)-80分为中，60分以下为差。</w:t>
      </w:r>
    </w:p>
    <w:p w14:paraId="42E7A5DD">
      <w:pPr>
        <w:numPr>
          <w:ilvl w:val="0"/>
          <w:numId w:val="0"/>
        </w:numPr>
        <w:spacing w:line="360" w:lineRule="auto"/>
        <w:ind w:firstLine="560" w:firstLineChars="200"/>
        <w:jc w:val="left"/>
        <w:outlineLvl w:val="9"/>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44"/>
          <w:sz w:val="28"/>
          <w:szCs w:val="28"/>
          <w:highlight w:val="none"/>
          <w:lang w:val="en-US" w:eastAsia="zh-CN"/>
          <w14:textFill>
            <w14:solidFill>
              <w14:schemeClr w14:val="tx1"/>
            </w14:solidFill>
          </w14:textFill>
        </w:rPr>
        <w:t>陕州区退役军人事务局优抚对象补助经费绩效评价综合评分为</w:t>
      </w:r>
      <w:r>
        <w:rPr>
          <w:rFonts w:hint="eastAsia" w:ascii="宋体" w:hAnsi="宋体" w:cs="宋体"/>
          <w:color w:val="000000" w:themeColor="text1"/>
          <w:kern w:val="44"/>
          <w:sz w:val="28"/>
          <w:szCs w:val="28"/>
          <w:highlight w:val="none"/>
          <w:lang w:val="en-US" w:eastAsia="zh-CN"/>
          <w14:textFill>
            <w14:solidFill>
              <w14:schemeClr w14:val="tx1"/>
            </w14:solidFill>
          </w14:textFill>
        </w:rPr>
        <w:t>94.1分等级：优。</w:t>
      </w:r>
    </w:p>
    <w:p w14:paraId="484CB29C">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29" w:name="_Toc31953"/>
      <w:r>
        <w:rPr>
          <w:rFonts w:hint="eastAsia" w:ascii="宋体" w:hAnsi="宋体" w:eastAsia="宋体" w:cs="宋体"/>
          <w:b/>
          <w:bCs/>
          <w:snapToGrid w:val="0"/>
          <w:color w:val="000000" w:themeColor="text1"/>
          <w:kern w:val="0"/>
          <w:sz w:val="28"/>
          <w:szCs w:val="28"/>
          <w14:textFill>
            <w14:solidFill>
              <w14:schemeClr w14:val="tx1"/>
            </w14:solidFill>
          </w14:textFill>
        </w:rPr>
        <w:t>存在问题和建议</w:t>
      </w:r>
      <w:bookmarkEnd w:id="29"/>
      <w:bookmarkStart w:id="30" w:name="_Toc169183194"/>
    </w:p>
    <w:p w14:paraId="6E5B4E90">
      <w:pPr>
        <w:numPr>
          <w:ilvl w:val="0"/>
          <w:numId w:val="22"/>
        </w:numPr>
        <w:spacing w:line="360" w:lineRule="auto"/>
        <w:ind w:left="0" w:leftChars="0" w:firstLine="420" w:firstLineChars="0"/>
        <w:jc w:val="left"/>
        <w:outlineLvl w:val="0"/>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bookmarkStart w:id="31" w:name="_Toc1972"/>
      <w:r>
        <w:rPr>
          <w:rFonts w:hint="eastAsia" w:ascii="宋体" w:hAnsi="宋体" w:cs="宋体"/>
          <w:b w:val="0"/>
          <w:bCs w:val="0"/>
          <w:snapToGrid w:val="0"/>
          <w:color w:val="000000" w:themeColor="text1"/>
          <w:kern w:val="0"/>
          <w:sz w:val="28"/>
          <w:szCs w:val="28"/>
          <w:lang w:val="en-US" w:eastAsia="zh-CN"/>
          <w14:textFill>
            <w14:solidFill>
              <w14:schemeClr w14:val="tx1"/>
            </w14:solidFill>
          </w14:textFill>
        </w:rPr>
        <w:t>问题</w:t>
      </w:r>
      <w:bookmarkEnd w:id="31"/>
    </w:p>
    <w:p w14:paraId="01D410C0">
      <w:pPr>
        <w:numPr>
          <w:ilvl w:val="0"/>
          <w:numId w:val="23"/>
        </w:numPr>
        <w:spacing w:line="360" w:lineRule="auto"/>
        <w:ind w:left="0" w:leftChars="0" w:firstLine="283" w:firstLineChars="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预算项目未设立绩效目标和指标</w:t>
      </w:r>
    </w:p>
    <w:p w14:paraId="44F62DA9">
      <w:pPr>
        <w:numPr>
          <w:ilvl w:val="0"/>
          <w:numId w:val="0"/>
        </w:numPr>
        <w:spacing w:line="360" w:lineRule="auto"/>
        <w:ind w:firstLine="560" w:firstLineChars="20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合理设置绩效目标和指标是预算编制环节的重要内容，是绩效评价的重要依据。陕州区退役军人事务局在项目支出绩效目标和指标设定方面，需要进一步加强，明确和细化绩效目标和指标。</w:t>
      </w:r>
    </w:p>
    <w:p w14:paraId="2522F706">
      <w:pPr>
        <w:numPr>
          <w:ilvl w:val="0"/>
          <w:numId w:val="23"/>
        </w:numPr>
        <w:spacing w:line="360" w:lineRule="auto"/>
        <w:ind w:left="0" w:leftChars="0" w:firstLine="283" w:firstLineChars="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工作人员服务意识有待增强</w:t>
      </w:r>
    </w:p>
    <w:p w14:paraId="3A3F93F5">
      <w:pPr>
        <w:numPr>
          <w:ilvl w:val="0"/>
          <w:numId w:val="0"/>
        </w:numPr>
        <w:spacing w:line="360" w:lineRule="auto"/>
        <w:ind w:firstLine="560" w:firstLineChars="20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bookmarkStart w:id="32" w:name="_Toc10338"/>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根据对被补助对象满意度调查问卷，被调查者提出的问题和建议有：希望工作人员能够对待老人多点耐心，关于退役军人的各种政策能否直接短信提醒到个人，每月到账的优抚金能否注明补助月份，增加对优抚对象走访了解的次数。</w:t>
      </w:r>
    </w:p>
    <w:p w14:paraId="708EECAB">
      <w:pPr>
        <w:numPr>
          <w:ilvl w:val="0"/>
          <w:numId w:val="22"/>
        </w:numPr>
        <w:spacing w:line="360" w:lineRule="auto"/>
        <w:ind w:left="0" w:leftChars="0" w:firstLine="420" w:firstLineChars="0"/>
        <w:jc w:val="left"/>
        <w:outlineLvl w:val="0"/>
        <w:rPr>
          <w:rFonts w:hint="eastAsia" w:ascii="宋体" w:hAnsi="宋体" w:cs="宋体"/>
          <w:b w:val="0"/>
          <w:bCs w:val="0"/>
          <w:snapToGrid w:val="0"/>
          <w:color w:val="000000" w:themeColor="text1"/>
          <w:kern w:val="0"/>
          <w:sz w:val="28"/>
          <w:szCs w:val="28"/>
          <w:lang w:val="en-US" w:eastAsia="zh-CN"/>
          <w14:textFill>
            <w14:solidFill>
              <w14:schemeClr w14:val="tx1"/>
            </w14:solidFill>
          </w14:textFill>
        </w:rPr>
      </w:pPr>
      <w:bookmarkStart w:id="33" w:name="_Toc29575"/>
      <w:r>
        <w:rPr>
          <w:rFonts w:hint="eastAsia" w:ascii="宋体" w:hAnsi="宋体" w:cs="宋体"/>
          <w:b w:val="0"/>
          <w:bCs w:val="0"/>
          <w:snapToGrid w:val="0"/>
          <w:color w:val="000000" w:themeColor="text1"/>
          <w:kern w:val="0"/>
          <w:sz w:val="28"/>
          <w:szCs w:val="28"/>
          <w:lang w:val="en-US" w:eastAsia="zh-CN"/>
          <w14:textFill>
            <w14:solidFill>
              <w14:schemeClr w14:val="tx1"/>
            </w14:solidFill>
          </w14:textFill>
        </w:rPr>
        <w:t>建议</w:t>
      </w:r>
      <w:bookmarkEnd w:id="32"/>
      <w:bookmarkEnd w:id="33"/>
    </w:p>
    <w:p w14:paraId="38CA0A8B">
      <w:pPr>
        <w:numPr>
          <w:ilvl w:val="0"/>
          <w:numId w:val="24"/>
        </w:numPr>
        <w:spacing w:line="360" w:lineRule="auto"/>
        <w:ind w:left="0" w:leftChars="0" w:firstLine="283" w:firstLineChars="0"/>
        <w:jc w:val="left"/>
        <w:rPr>
          <w:rFonts w:hint="eastAsia" w:ascii="宋体" w:hAnsi="宋体" w:cs="宋体"/>
          <w:color w:val="000000" w:themeColor="text1"/>
          <w:kern w:val="44"/>
          <w:sz w:val="28"/>
          <w:szCs w:val="28"/>
          <w:highlight w:val="none"/>
          <w:lang w:val="en-US" w:eastAsia="zh-CN"/>
          <w14:textFill>
            <w14:solidFill>
              <w14:schemeClr w14:val="tx1"/>
            </w14:solidFill>
          </w14:textFill>
        </w:rPr>
      </w:pPr>
      <w:bookmarkStart w:id="34" w:name="_Toc8904"/>
      <w:r>
        <w:rPr>
          <w:rFonts w:hint="eastAsia" w:ascii="宋体" w:hAnsi="宋体" w:cs="宋体"/>
          <w:color w:val="000000" w:themeColor="text1"/>
          <w:kern w:val="44"/>
          <w:sz w:val="28"/>
          <w:szCs w:val="28"/>
          <w:highlight w:val="none"/>
          <w:lang w:val="en-US" w:eastAsia="zh-CN"/>
          <w14:textFill>
            <w14:solidFill>
              <w14:schemeClr w14:val="tx1"/>
            </w14:solidFill>
          </w14:textFill>
        </w:rPr>
        <w:t>制定合理明确的绩效目标，加强绩效管理工作</w:t>
      </w:r>
      <w:bookmarkEnd w:id="34"/>
    </w:p>
    <w:p w14:paraId="11FF68ED">
      <w:pPr>
        <w:numPr>
          <w:ilvl w:val="0"/>
          <w:numId w:val="0"/>
        </w:numPr>
        <w:spacing w:line="360" w:lineRule="auto"/>
        <w:ind w:firstLine="560" w:firstLineChars="20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建议陕州区退役军人事务局建立“预算编制有目标、预算执行有监控、预算完成有评价、评价结果有反馈、反馈结果有应用”的全过程预算绩效管理机制。在预算编制环节，合理设置绩效目标，为绩效评价奠定基础。绩效目标既要符合单位实际情况，又要切实可行，且尽可能量化量化、以数量指标为主。</w:t>
      </w:r>
    </w:p>
    <w:p w14:paraId="329A2872">
      <w:pPr>
        <w:numPr>
          <w:ilvl w:val="0"/>
          <w:numId w:val="24"/>
        </w:numPr>
        <w:spacing w:line="360" w:lineRule="auto"/>
        <w:ind w:left="0" w:leftChars="0" w:firstLine="283" w:firstLineChars="0"/>
        <w:jc w:val="left"/>
        <w:rPr>
          <w:rFonts w:hint="eastAsia" w:ascii="宋体" w:hAnsi="宋体" w:cs="宋体"/>
          <w:color w:val="000000" w:themeColor="text1"/>
          <w:kern w:val="44"/>
          <w:sz w:val="28"/>
          <w:szCs w:val="28"/>
          <w:highlight w:val="none"/>
          <w:lang w:val="en-US" w:eastAsia="zh-CN"/>
          <w14:textFill>
            <w14:solidFill>
              <w14:schemeClr w14:val="tx1"/>
            </w14:solidFill>
          </w14:textFill>
        </w:rPr>
      </w:pPr>
      <w:r>
        <w:rPr>
          <w:rFonts w:hint="eastAsia" w:ascii="宋体" w:hAnsi="宋体" w:cs="宋体"/>
          <w:color w:val="000000" w:themeColor="text1"/>
          <w:kern w:val="44"/>
          <w:sz w:val="28"/>
          <w:szCs w:val="28"/>
          <w:highlight w:val="none"/>
          <w:lang w:val="en-US" w:eastAsia="zh-CN"/>
          <w14:textFill>
            <w14:solidFill>
              <w14:schemeClr w14:val="tx1"/>
            </w14:solidFill>
          </w14:textFill>
        </w:rPr>
        <w:t>加强内部管理与培训，提升服务水平</w:t>
      </w:r>
    </w:p>
    <w:p w14:paraId="235D9775">
      <w:pPr>
        <w:numPr>
          <w:ilvl w:val="0"/>
          <w:numId w:val="0"/>
        </w:numPr>
        <w:spacing w:line="360" w:lineRule="auto"/>
        <w:ind w:firstLine="560" w:firstLineChars="200"/>
        <w:jc w:val="left"/>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sz w:val="28"/>
          <w:szCs w:val="28"/>
          <w:lang w:val="en-US" w:eastAsia="zh-CN"/>
          <w14:textFill>
            <w14:solidFill>
              <w14:schemeClr w14:val="tx1"/>
            </w14:solidFill>
          </w14:textFill>
        </w:rPr>
        <w:t>建议提升工作人员服务的意识和服务热情。定期可以组织相关会议或活动，通过学习其他县市先进案例开拓工作视野，总结先进工作经验，并积极运用至日常服务工作中。制定相关激励机制，提升职工工作积极性。</w:t>
      </w:r>
    </w:p>
    <w:bookmarkEnd w:id="30"/>
    <w:p w14:paraId="42E62729">
      <w:pPr>
        <w:numPr>
          <w:ilvl w:val="0"/>
          <w:numId w:val="1"/>
        </w:numPr>
        <w:spacing w:line="360" w:lineRule="auto"/>
        <w:ind w:left="0" w:leftChars="0" w:firstLine="283" w:firstLineChars="0"/>
        <w:jc w:val="left"/>
        <w:outlineLvl w:val="0"/>
        <w:rPr>
          <w:rFonts w:hint="eastAsia" w:ascii="宋体" w:hAnsi="宋体" w:eastAsia="宋体" w:cs="宋体"/>
          <w:b/>
          <w:bCs/>
          <w:snapToGrid w:val="0"/>
          <w:color w:val="000000" w:themeColor="text1"/>
          <w:kern w:val="0"/>
          <w:sz w:val="28"/>
          <w:szCs w:val="28"/>
          <w14:textFill>
            <w14:solidFill>
              <w14:schemeClr w14:val="tx1"/>
            </w14:solidFill>
          </w14:textFill>
        </w:rPr>
      </w:pPr>
      <w:bookmarkStart w:id="35" w:name="_Toc7308"/>
      <w:r>
        <w:rPr>
          <w:rFonts w:hint="eastAsia" w:ascii="宋体" w:hAnsi="宋体" w:eastAsia="宋体" w:cs="宋体"/>
          <w:b/>
          <w:bCs/>
          <w:snapToGrid w:val="0"/>
          <w:color w:val="000000" w:themeColor="text1"/>
          <w:kern w:val="0"/>
          <w:sz w:val="28"/>
          <w:szCs w:val="28"/>
          <w14:textFill>
            <w14:solidFill>
              <w14:schemeClr w14:val="tx1"/>
            </w14:solidFill>
          </w14:textFill>
        </w:rPr>
        <w:t>附件</w:t>
      </w:r>
      <w:bookmarkEnd w:id="35"/>
    </w:p>
    <w:p w14:paraId="322883D5">
      <w:pPr>
        <w:numPr>
          <w:ilvl w:val="0"/>
          <w:numId w:val="25"/>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优抚对象补助经费项目问卷统计报告</w:t>
      </w:r>
    </w:p>
    <w:p w14:paraId="4D080D9C">
      <w:pPr>
        <w:numPr>
          <w:ilvl w:val="0"/>
          <w:numId w:val="25"/>
        </w:numPr>
        <w:spacing w:line="360" w:lineRule="auto"/>
        <w:ind w:left="0" w:leftChars="0" w:firstLine="283" w:firstLineChars="0"/>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优抚对象补助经费项目绩效评价评分表</w:t>
      </w:r>
    </w:p>
    <w:p w14:paraId="2E3B261D">
      <w:pPr>
        <w:numPr>
          <w:ilvl w:val="0"/>
          <w:numId w:val="25"/>
        </w:numPr>
        <w:spacing w:line="360" w:lineRule="auto"/>
        <w:ind w:left="0" w:leftChars="0" w:firstLine="283" w:firstLineChars="0"/>
        <w:jc w:val="left"/>
        <w:outlineLvl w:val="9"/>
        <w:rPr>
          <w:rFonts w:hint="default" w:ascii="宋体" w:hAnsi="宋体" w:eastAsia="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项目组成员资质证书</w:t>
      </w:r>
    </w:p>
    <w:p w14:paraId="40852A95">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5CBE5CA8">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643DED48">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297DE7E6">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2D675471">
      <w:pPr>
        <w:widowControl w:val="0"/>
        <w:numPr>
          <w:ilvl w:val="0"/>
          <w:numId w:val="0"/>
        </w:numPr>
        <w:spacing w:line="360" w:lineRule="auto"/>
        <w:jc w:val="right"/>
        <w:outlineLvl w:val="9"/>
        <w:rPr>
          <w:rFonts w:hint="default" w:ascii="宋体" w:hAnsi="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河南德友会计师事务所（普通合伙）</w:t>
      </w:r>
    </w:p>
    <w:p w14:paraId="27BD901C">
      <w:pPr>
        <w:widowControl w:val="0"/>
        <w:numPr>
          <w:ilvl w:val="0"/>
          <w:numId w:val="0"/>
        </w:numPr>
        <w:spacing w:line="360" w:lineRule="auto"/>
        <w:jc w:val="center"/>
        <w:outlineLvl w:val="9"/>
        <w:rPr>
          <w:rFonts w:hint="default" w:ascii="宋体" w:hAnsi="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t xml:space="preserve">                       2025年12月23日</w:t>
      </w:r>
    </w:p>
    <w:p w14:paraId="24B994AB">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4BD07A3E">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5471D29B">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37A1A54C">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523D8BD5">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285E7701">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15532D53">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281950FA">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7BDBFE8F">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61AB264C">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05A1B369">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3553D92E">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3580AFA5">
      <w:pPr>
        <w:numPr>
          <w:ilvl w:val="0"/>
          <w:numId w:val="26"/>
        </w:numPr>
        <w:spacing w:line="360" w:lineRule="auto"/>
        <w:ind w:left="0" w:leftChars="0" w:firstLine="283" w:firstLineChars="0"/>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bookmarkStart w:id="36" w:name="_Toc26166"/>
      <w:r>
        <w:rPr>
          <w:rFonts w:hint="eastAsia" w:ascii="宋体" w:hAnsi="宋体" w:cs="宋体"/>
          <w:color w:val="000000" w:themeColor="text1"/>
          <w:kern w:val="44"/>
          <w:sz w:val="28"/>
          <w:szCs w:val="28"/>
          <w:lang w:val="en-US" w:eastAsia="zh-CN"/>
          <w14:textFill>
            <w14:solidFill>
              <w14:schemeClr w14:val="tx1"/>
            </w14:solidFill>
          </w14:textFill>
        </w:rPr>
        <w:t>优抚对象补助经费项目问卷统计报告</w:t>
      </w:r>
      <w:bookmarkEnd w:id="36"/>
    </w:p>
    <w:p w14:paraId="5D53B8F5">
      <w:pPr>
        <w:widowControl w:val="0"/>
        <w:numPr>
          <w:ilvl w:val="0"/>
          <w:numId w:val="0"/>
        </w:numPr>
        <w:spacing w:line="360" w:lineRule="auto"/>
        <w:jc w:val="left"/>
        <w:outlineLvl w:val="9"/>
        <w:rPr>
          <w:rFonts w:hint="eastAsia" w:ascii="宋体" w:hAnsi="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1" name="图片 1" descr="fcff4f821774d5febce69e2c9f2de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cff4f821774d5febce69e2c9f2ded4d"/>
                    <pic:cNvPicPr>
                      <a:picLocks noChangeAspect="1"/>
                    </pic:cNvPicPr>
                  </pic:nvPicPr>
                  <pic:blipFill>
                    <a:blip r:embed="rId6"/>
                    <a:stretch>
                      <a:fillRect/>
                    </a:stretch>
                  </pic:blipFill>
                  <pic:spPr>
                    <a:xfrm>
                      <a:off x="0" y="0"/>
                      <a:ext cx="5269230" cy="7452360"/>
                    </a:xfrm>
                    <a:prstGeom prst="rect">
                      <a:avLst/>
                    </a:prstGeom>
                  </pic:spPr>
                </pic:pic>
              </a:graphicData>
            </a:graphic>
          </wp:inline>
        </w:drawing>
      </w:r>
    </w:p>
    <w:p w14:paraId="01A4A242">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40E02FC7">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0B0715D8">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1FD37683">
      <w:pPr>
        <w:widowControl w:val="0"/>
        <w:numPr>
          <w:ilvl w:val="0"/>
          <w:numId w:val="0"/>
        </w:numPr>
        <w:spacing w:line="360" w:lineRule="auto"/>
        <w:jc w:val="left"/>
        <w:outlineLvl w:val="9"/>
        <w:rPr>
          <w:rFonts w:hint="eastAsia" w:ascii="宋体" w:hAnsi="宋体" w:cs="宋体"/>
          <w:color w:val="000000" w:themeColor="text1"/>
          <w:kern w:val="44"/>
          <w:sz w:val="28"/>
          <w:szCs w:val="28"/>
          <w:lang w:val="en-US" w:eastAsia="zh-CN"/>
          <w14:textFill>
            <w14:solidFill>
              <w14:schemeClr w14:val="tx1"/>
            </w14:solidFill>
          </w14:textFill>
        </w:rPr>
      </w:pPr>
      <w:r>
        <w:rPr>
          <w:rFonts w:hint="eastAsia" w:ascii="宋体" w:hAnsi="宋体" w:cs="宋体"/>
          <w:color w:val="000000" w:themeColor="text1"/>
          <w:kern w:val="44"/>
          <w:sz w:val="28"/>
          <w:szCs w:val="28"/>
          <w:lang w:val="en-US" w:eastAsia="zh-CN"/>
          <w14:textFill>
            <w14:solidFill>
              <w14:schemeClr w14:val="tx1"/>
            </w14:solidFill>
          </w14:textFill>
        </w:rPr>
        <w:drawing>
          <wp:inline distT="0" distB="0" distL="114300" distR="114300">
            <wp:extent cx="5269230" cy="7452360"/>
            <wp:effectExtent l="0" t="0" r="7620" b="15240"/>
            <wp:docPr id="2" name="图片 2" descr="7681c94b25838753b121b6d70315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681c94b25838753b121b6d703150429"/>
                    <pic:cNvPicPr>
                      <a:picLocks noChangeAspect="1"/>
                    </pic:cNvPicPr>
                  </pic:nvPicPr>
                  <pic:blipFill>
                    <a:blip r:embed="rId7"/>
                    <a:stretch>
                      <a:fillRect/>
                    </a:stretch>
                  </pic:blipFill>
                  <pic:spPr>
                    <a:xfrm>
                      <a:off x="0" y="0"/>
                      <a:ext cx="5269230" cy="7452360"/>
                    </a:xfrm>
                    <a:prstGeom prst="rect">
                      <a:avLst/>
                    </a:prstGeom>
                  </pic:spPr>
                </pic:pic>
              </a:graphicData>
            </a:graphic>
          </wp:inline>
        </w:drawing>
      </w:r>
    </w:p>
    <w:p w14:paraId="4F40E892">
      <w:pPr>
        <w:widowControl w:val="0"/>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p>
    <w:p w14:paraId="3F693116">
      <w:pPr>
        <w:numPr>
          <w:ilvl w:val="0"/>
          <w:numId w:val="0"/>
        </w:numPr>
        <w:spacing w:line="360" w:lineRule="auto"/>
        <w:ind w:left="283" w:leftChars="0"/>
        <w:jc w:val="left"/>
        <w:outlineLvl w:val="1"/>
        <w:rPr>
          <w:rFonts w:hint="eastAsia" w:ascii="宋体" w:hAnsi="宋体" w:cs="宋体"/>
          <w:color w:val="000000" w:themeColor="text1"/>
          <w:kern w:val="44"/>
          <w:sz w:val="28"/>
          <w:szCs w:val="28"/>
          <w:lang w:val="en-US" w:eastAsia="zh-CN"/>
          <w14:textFill>
            <w14:solidFill>
              <w14:schemeClr w14:val="tx1"/>
            </w14:solidFill>
          </w14:textFill>
        </w:rPr>
        <w:sectPr>
          <w:footerReference r:id="rId4" w:type="default"/>
          <w:pgSz w:w="11906" w:h="16838"/>
          <w:pgMar w:top="1440" w:right="1800" w:bottom="1440" w:left="1800" w:header="851" w:footer="992" w:gutter="0"/>
          <w:pgNumType w:fmt="decimal"/>
          <w:cols w:space="425" w:num="1"/>
          <w:docGrid w:type="lines" w:linePitch="312" w:charSpace="0"/>
        </w:sectPr>
      </w:pPr>
    </w:p>
    <w:p w14:paraId="6B44E87B">
      <w:pPr>
        <w:numPr>
          <w:ilvl w:val="0"/>
          <w:numId w:val="26"/>
        </w:numPr>
        <w:spacing w:line="360" w:lineRule="auto"/>
        <w:ind w:left="0" w:leftChars="0" w:firstLine="283" w:firstLineChars="0"/>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bookmarkStart w:id="37" w:name="_Toc23676"/>
      <w:r>
        <w:rPr>
          <w:rFonts w:hint="eastAsia" w:ascii="宋体" w:hAnsi="宋体" w:cs="宋体"/>
          <w:color w:val="000000" w:themeColor="text1"/>
          <w:kern w:val="44"/>
          <w:sz w:val="28"/>
          <w:szCs w:val="28"/>
          <w:lang w:val="en-US" w:eastAsia="zh-CN"/>
          <w14:textFill>
            <w14:solidFill>
              <w14:schemeClr w14:val="tx1"/>
            </w14:solidFill>
          </w14:textFill>
        </w:rPr>
        <w:t>优抚对象补助经费项目绩效评价评分表</w:t>
      </w:r>
      <w:bookmarkEnd w:id="37"/>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0"/>
        <w:gridCol w:w="489"/>
        <w:gridCol w:w="699"/>
        <w:gridCol w:w="489"/>
        <w:gridCol w:w="659"/>
        <w:gridCol w:w="541"/>
        <w:gridCol w:w="1524"/>
        <w:gridCol w:w="4320"/>
        <w:gridCol w:w="1723"/>
        <w:gridCol w:w="579"/>
        <w:gridCol w:w="2461"/>
      </w:tblGrid>
      <w:tr w14:paraId="11714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blHeader/>
        </w:trPr>
        <w:tc>
          <w:tcPr>
            <w:tcW w:w="5000" w:type="pct"/>
            <w:gridSpan w:val="11"/>
            <w:tcBorders>
              <w:top w:val="nil"/>
              <w:left w:val="nil"/>
              <w:bottom w:val="nil"/>
              <w:right w:val="nil"/>
            </w:tcBorders>
            <w:shd w:val="clear" w:color="auto" w:fill="auto"/>
            <w:vAlign w:val="center"/>
          </w:tcPr>
          <w:p w14:paraId="30DAA586">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陕州区退役军人事务局优抚对象补助经费-绩效评价评分表</w:t>
            </w:r>
          </w:p>
        </w:tc>
      </w:tr>
      <w:tr w14:paraId="3A356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blHeader/>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65A4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9982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86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0876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D75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F5F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068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指标解释</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51C7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指标说明</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FF5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评价标准及评分规则</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1B32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得分</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E97A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扣分详情</w:t>
            </w:r>
          </w:p>
        </w:tc>
      </w:tr>
      <w:tr w14:paraId="620B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25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决 策</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3B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2478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D05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0E6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立项依据充分性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C86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4C55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项目立项是否符合法律法规、相关政策、发展规划以及部门职责，用以反映和考核项目立项依据情况。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152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B7D1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具备一个得分要素，得到指标分值的20%。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9C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68C1F">
            <w:pPr>
              <w:jc w:val="center"/>
              <w:rPr>
                <w:rFonts w:hint="eastAsia" w:ascii="宋体" w:hAnsi="宋体" w:eastAsia="宋体" w:cs="宋体"/>
                <w:i w:val="0"/>
                <w:iCs w:val="0"/>
                <w:color w:val="000000"/>
                <w:sz w:val="18"/>
                <w:szCs w:val="18"/>
                <w:u w:val="none"/>
              </w:rPr>
            </w:pPr>
          </w:p>
        </w:tc>
      </w:tr>
      <w:tr w14:paraId="5F4EB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9CC4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86CCD">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249EF">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041F8">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6762D">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9FF63">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1C50C">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60F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①项目立项是否符合国家法律法规、国民经济发展规划和相关政策；</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B7AA9">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51C98">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1BD7">
            <w:pPr>
              <w:jc w:val="center"/>
              <w:rPr>
                <w:rFonts w:hint="eastAsia" w:ascii="宋体" w:hAnsi="宋体" w:eastAsia="宋体" w:cs="宋体"/>
                <w:i w:val="0"/>
                <w:iCs w:val="0"/>
                <w:color w:val="000000"/>
                <w:sz w:val="18"/>
                <w:szCs w:val="18"/>
                <w:u w:val="none"/>
              </w:rPr>
            </w:pPr>
          </w:p>
        </w:tc>
      </w:tr>
      <w:tr w14:paraId="3BEEE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3AA3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798AA">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3F2C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AD7F3">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1CB97">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D76E6">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0D162">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5DD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②项目立项是否符合行业发展规划和政策要求；</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80D15">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BB8DA">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8F39">
            <w:pPr>
              <w:jc w:val="center"/>
              <w:rPr>
                <w:rFonts w:hint="eastAsia" w:ascii="宋体" w:hAnsi="宋体" w:eastAsia="宋体" w:cs="宋体"/>
                <w:i w:val="0"/>
                <w:iCs w:val="0"/>
                <w:color w:val="000000"/>
                <w:sz w:val="18"/>
                <w:szCs w:val="18"/>
                <w:u w:val="none"/>
              </w:rPr>
            </w:pPr>
          </w:p>
        </w:tc>
      </w:tr>
      <w:tr w14:paraId="6D749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DF87A">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F5229">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BB29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A4F72">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A5CF8">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D18C1">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3A012">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8A6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③项目立项是否与部门职责范围相符，属于部门履职所需；</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0712D">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9293B">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2396">
            <w:pPr>
              <w:jc w:val="center"/>
              <w:rPr>
                <w:rFonts w:hint="eastAsia" w:ascii="宋体" w:hAnsi="宋体" w:eastAsia="宋体" w:cs="宋体"/>
                <w:i w:val="0"/>
                <w:iCs w:val="0"/>
                <w:color w:val="000000"/>
                <w:sz w:val="18"/>
                <w:szCs w:val="18"/>
                <w:u w:val="none"/>
              </w:rPr>
            </w:pPr>
          </w:p>
        </w:tc>
      </w:tr>
      <w:tr w14:paraId="1DD46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2ECD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E41F4">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2545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345BE">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77A89">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3A1B2">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B4D3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DA1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④项目是否属于公共财政支持范围，是否符合中央、地方事权支出责任划分原则；</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FF210">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3E00">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DA53F">
            <w:pPr>
              <w:jc w:val="center"/>
              <w:rPr>
                <w:rFonts w:hint="eastAsia" w:ascii="宋体" w:hAnsi="宋体" w:eastAsia="宋体" w:cs="宋体"/>
                <w:i w:val="0"/>
                <w:iCs w:val="0"/>
                <w:color w:val="000000"/>
                <w:sz w:val="18"/>
                <w:szCs w:val="18"/>
                <w:u w:val="none"/>
              </w:rPr>
            </w:pPr>
          </w:p>
        </w:tc>
      </w:tr>
      <w:tr w14:paraId="1A959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40CC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AFB39">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9F0D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E0ED6">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52A02">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2E774">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01DF8">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0DD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⑤该项目是否与相关部门同类项目或者部门内部相关项目交叉重复。</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E612C">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633E">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01A6A">
            <w:pPr>
              <w:jc w:val="center"/>
              <w:rPr>
                <w:rFonts w:hint="eastAsia" w:ascii="宋体" w:hAnsi="宋体" w:eastAsia="宋体" w:cs="宋体"/>
                <w:i w:val="0"/>
                <w:iCs w:val="0"/>
                <w:color w:val="000000"/>
                <w:sz w:val="18"/>
                <w:szCs w:val="18"/>
                <w:u w:val="none"/>
              </w:rPr>
            </w:pPr>
          </w:p>
        </w:tc>
      </w:tr>
      <w:tr w14:paraId="6F4B8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3B99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D5084">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C1ED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54C82">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DD27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立项程序规范性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61DF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4EE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项目的申请、设立过程是否符合相关要求，用以反映和考核项目立项的规范情况。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33D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3704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具备要素①和②之一的，得到指标分值的50%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D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20CD">
            <w:pPr>
              <w:jc w:val="center"/>
              <w:rPr>
                <w:rFonts w:hint="eastAsia" w:ascii="宋体" w:hAnsi="宋体" w:eastAsia="宋体" w:cs="宋体"/>
                <w:i w:val="0"/>
                <w:iCs w:val="0"/>
                <w:color w:val="000000"/>
                <w:sz w:val="18"/>
                <w:szCs w:val="18"/>
                <w:u w:val="none"/>
              </w:rPr>
            </w:pPr>
          </w:p>
        </w:tc>
      </w:tr>
      <w:tr w14:paraId="732EA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1604A">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8DC7B">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1784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6F302">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B1011">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81BDE">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3C0D1">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26E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①项目是否按照规定的程序申请设立；</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A3EC0">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E2A61">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B98E">
            <w:pPr>
              <w:jc w:val="center"/>
              <w:rPr>
                <w:rFonts w:hint="eastAsia" w:ascii="宋体" w:hAnsi="宋体" w:eastAsia="宋体" w:cs="宋体"/>
                <w:i w:val="0"/>
                <w:iCs w:val="0"/>
                <w:color w:val="000000"/>
                <w:sz w:val="18"/>
                <w:szCs w:val="18"/>
                <w:u w:val="none"/>
              </w:rPr>
            </w:pPr>
          </w:p>
        </w:tc>
      </w:tr>
      <w:tr w14:paraId="7C146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1AB8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D1BD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A9F9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31D75">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3A500">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6711B">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3569D">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A8B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②审批文件、材料是否符合相关要求；</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ED21E">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9C0F">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3992">
            <w:pPr>
              <w:jc w:val="center"/>
              <w:rPr>
                <w:rFonts w:hint="eastAsia" w:ascii="宋体" w:hAnsi="宋体" w:eastAsia="宋体" w:cs="宋体"/>
                <w:i w:val="0"/>
                <w:iCs w:val="0"/>
                <w:color w:val="000000"/>
                <w:sz w:val="18"/>
                <w:szCs w:val="18"/>
                <w:u w:val="none"/>
              </w:rPr>
            </w:pPr>
          </w:p>
        </w:tc>
      </w:tr>
      <w:tr w14:paraId="5561B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C19F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5DE72">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531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AAF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A22D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绩效目标合理性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5F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2B8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项目所设定的绩效目标是否符合实际、切实可行，用以反映和考核项目绩效目标与项目实施的相符情况。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BE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评价要点：（如未要求制定预算绩效目标，也可考核其他工作任务目标）</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A2835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具备要素①，得到指标分值的50%；如不具备，该指标分值为0。具备要素②③，分别得到指标分值的25%。</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BC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354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根据陕州区退役军人事务局2024年预算公开，预算项目支出未设定绩效目标。</w:t>
            </w:r>
          </w:p>
        </w:tc>
      </w:tr>
      <w:tr w14:paraId="68DFB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198B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2C818">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6554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069BD">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4987A">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3AB8D">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DB064">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F5C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①项目是否有绩效目标；</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439B1">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E654">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10E07">
            <w:pPr>
              <w:jc w:val="left"/>
              <w:rPr>
                <w:rFonts w:hint="eastAsia" w:ascii="宋体" w:hAnsi="宋体" w:eastAsia="宋体" w:cs="宋体"/>
                <w:i w:val="0"/>
                <w:iCs w:val="0"/>
                <w:color w:val="000000"/>
                <w:sz w:val="18"/>
                <w:szCs w:val="18"/>
                <w:u w:val="none"/>
              </w:rPr>
            </w:pPr>
          </w:p>
        </w:tc>
      </w:tr>
      <w:tr w14:paraId="4843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F23B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0D6B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B331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6DC7C">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286D8">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C04B3">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8809B">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D4C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②项目绩效目标与实际工作内容是否具有相关性；</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31F8C">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5108">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4999A">
            <w:pPr>
              <w:jc w:val="left"/>
              <w:rPr>
                <w:rFonts w:hint="eastAsia" w:ascii="宋体" w:hAnsi="宋体" w:eastAsia="宋体" w:cs="宋体"/>
                <w:i w:val="0"/>
                <w:iCs w:val="0"/>
                <w:color w:val="000000"/>
                <w:sz w:val="18"/>
                <w:szCs w:val="18"/>
                <w:u w:val="none"/>
              </w:rPr>
            </w:pPr>
          </w:p>
        </w:tc>
      </w:tr>
      <w:tr w14:paraId="626B8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964B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8ED4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7918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7FA0A">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35C03">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E9AD6">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C2D8B">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2CC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③项目预期产出和效果是否符合正常的业绩水平。</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D24E3">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9AE48">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C7631">
            <w:pPr>
              <w:jc w:val="left"/>
              <w:rPr>
                <w:rFonts w:hint="eastAsia" w:ascii="宋体" w:hAnsi="宋体" w:eastAsia="宋体" w:cs="宋体"/>
                <w:i w:val="0"/>
                <w:iCs w:val="0"/>
                <w:color w:val="000000"/>
                <w:sz w:val="18"/>
                <w:szCs w:val="18"/>
                <w:u w:val="none"/>
              </w:rPr>
            </w:pPr>
          </w:p>
        </w:tc>
      </w:tr>
      <w:tr w14:paraId="66597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FF43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88AD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7929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53691">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A2A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绩效指标明确性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0AF0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F89F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依据绩效目标设定的绩效指标是否清晰、细化、可衡量等，用以反映和考核项目绩效目标的明细化情况。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A20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8674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具备得分要素①，得到指标分值的40%；具备得分要素②和③，各得到指标分值的30%。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02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447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根据陕州区退役军人事务局2024年预算公开，预算项目支出未设定绩效目标。</w:t>
            </w:r>
          </w:p>
        </w:tc>
      </w:tr>
      <w:tr w14:paraId="6E5EA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FF27F">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51FAA">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3C3D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96309">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B2100">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DE480">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22896">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8DE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①是否将项目绩效目标细化分解为具体的绩效指标；</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F2B53">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EC80F">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833BA">
            <w:pPr>
              <w:jc w:val="center"/>
              <w:rPr>
                <w:rFonts w:hint="eastAsia" w:ascii="宋体" w:hAnsi="宋体" w:eastAsia="宋体" w:cs="宋体"/>
                <w:i w:val="0"/>
                <w:iCs w:val="0"/>
                <w:color w:val="000000"/>
                <w:sz w:val="18"/>
                <w:szCs w:val="18"/>
                <w:u w:val="none"/>
              </w:rPr>
            </w:pPr>
          </w:p>
        </w:tc>
      </w:tr>
      <w:tr w14:paraId="4C4A4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004E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937E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C65CA">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8C6B5">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74CF6">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FF3AB">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87836">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1BA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②是否通过清晰、可衡量的指标值予以体现；</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07126">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7597">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3BC0F">
            <w:pPr>
              <w:jc w:val="center"/>
              <w:rPr>
                <w:rFonts w:hint="eastAsia" w:ascii="宋体" w:hAnsi="宋体" w:eastAsia="宋体" w:cs="宋体"/>
                <w:i w:val="0"/>
                <w:iCs w:val="0"/>
                <w:color w:val="000000"/>
                <w:sz w:val="18"/>
                <w:szCs w:val="18"/>
                <w:u w:val="none"/>
              </w:rPr>
            </w:pPr>
          </w:p>
        </w:tc>
      </w:tr>
      <w:tr w14:paraId="73641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AF54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CF1BB">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2929A">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AD1C9">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1BBC1">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4548F">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924F5">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18E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③是否与项目目标任务数或计划数相对应。</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5C1A5">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88257">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F3740">
            <w:pPr>
              <w:jc w:val="center"/>
              <w:rPr>
                <w:rFonts w:hint="eastAsia" w:ascii="宋体" w:hAnsi="宋体" w:eastAsia="宋体" w:cs="宋体"/>
                <w:i w:val="0"/>
                <w:iCs w:val="0"/>
                <w:color w:val="000000"/>
                <w:sz w:val="18"/>
                <w:szCs w:val="18"/>
                <w:u w:val="none"/>
              </w:rPr>
            </w:pPr>
          </w:p>
        </w:tc>
      </w:tr>
      <w:tr w14:paraId="391BE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9C73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1296D">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43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资金安排</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D75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4B27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预算编制合理性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AD47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62C8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项目预算编制是否有明确标准，资金额度与年度目标是否相适应，用以反映和考核项目预算编制的科学性、合理性情况。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9AB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C809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1E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7E06">
            <w:pPr>
              <w:jc w:val="center"/>
              <w:rPr>
                <w:rFonts w:hint="eastAsia" w:ascii="宋体" w:hAnsi="宋体" w:eastAsia="宋体" w:cs="宋体"/>
                <w:i w:val="0"/>
                <w:iCs w:val="0"/>
                <w:color w:val="000000"/>
                <w:sz w:val="18"/>
                <w:szCs w:val="18"/>
                <w:u w:val="none"/>
              </w:rPr>
            </w:pPr>
          </w:p>
        </w:tc>
      </w:tr>
      <w:tr w14:paraId="5BC26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6CD3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D97A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A9AE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0FCDE">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A96E8">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05DF7">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2F2E3">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86C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①预算内容与项目实际内容是否匹配；</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FE4F5">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3ACED">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4A938">
            <w:pPr>
              <w:jc w:val="center"/>
              <w:rPr>
                <w:rFonts w:hint="eastAsia" w:ascii="宋体" w:hAnsi="宋体" w:eastAsia="宋体" w:cs="宋体"/>
                <w:i w:val="0"/>
                <w:iCs w:val="0"/>
                <w:color w:val="000000"/>
                <w:sz w:val="18"/>
                <w:szCs w:val="18"/>
                <w:u w:val="none"/>
              </w:rPr>
            </w:pPr>
          </w:p>
        </w:tc>
      </w:tr>
      <w:tr w14:paraId="7B7D4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F004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BE37B">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45A9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E4BDE">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B884F">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E7A00">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F9264">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2B3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②预算额度测算依据是否充分，是否按标准编制；</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AD3EB">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86E0">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CF2C">
            <w:pPr>
              <w:jc w:val="center"/>
              <w:rPr>
                <w:rFonts w:hint="eastAsia" w:ascii="宋体" w:hAnsi="宋体" w:eastAsia="宋体" w:cs="宋体"/>
                <w:i w:val="0"/>
                <w:iCs w:val="0"/>
                <w:color w:val="000000"/>
                <w:sz w:val="18"/>
                <w:szCs w:val="18"/>
                <w:u w:val="none"/>
              </w:rPr>
            </w:pPr>
          </w:p>
        </w:tc>
      </w:tr>
      <w:tr w14:paraId="1092E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63A4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8BDAB">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9F48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0E7F6">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5F5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资金分配合理性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EC6E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17A0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项目预算资金分配是否有测算依据，与地方实际是否相适应，用以反映和考核项目预算资金分配的科学性、合理性情况。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9B6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77AA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B3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B13441">
            <w:pPr>
              <w:jc w:val="center"/>
              <w:rPr>
                <w:rFonts w:hint="eastAsia" w:ascii="宋体" w:hAnsi="宋体" w:eastAsia="宋体" w:cs="宋体"/>
                <w:i w:val="0"/>
                <w:iCs w:val="0"/>
                <w:color w:val="000000"/>
                <w:sz w:val="18"/>
                <w:szCs w:val="18"/>
                <w:u w:val="none"/>
              </w:rPr>
            </w:pPr>
          </w:p>
        </w:tc>
      </w:tr>
      <w:tr w14:paraId="155DC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D9FD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B26FA">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59BA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DE48A">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0121F">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3FEE1">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A23A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421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①预算资金分配依据是否充分；</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32A18">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5BA6">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25FDD">
            <w:pPr>
              <w:jc w:val="center"/>
              <w:rPr>
                <w:rFonts w:hint="eastAsia" w:ascii="宋体" w:hAnsi="宋体" w:eastAsia="宋体" w:cs="宋体"/>
                <w:i w:val="0"/>
                <w:iCs w:val="0"/>
                <w:color w:val="000000"/>
                <w:sz w:val="18"/>
                <w:szCs w:val="18"/>
                <w:u w:val="none"/>
              </w:rPr>
            </w:pPr>
          </w:p>
        </w:tc>
      </w:tr>
      <w:tr w14:paraId="27321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487E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260FA">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2B73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EBB4D">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85F73">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A981F">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37165">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3CF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②资金分配额度是否合理，与地方实际是否相适应。</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AE0FC">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5EBB">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5026F">
            <w:pPr>
              <w:jc w:val="center"/>
              <w:rPr>
                <w:rFonts w:hint="eastAsia" w:ascii="宋体" w:hAnsi="宋体" w:eastAsia="宋体" w:cs="宋体"/>
                <w:i w:val="0"/>
                <w:iCs w:val="0"/>
                <w:color w:val="000000"/>
                <w:sz w:val="18"/>
                <w:szCs w:val="18"/>
                <w:u w:val="none"/>
              </w:rPr>
            </w:pPr>
          </w:p>
        </w:tc>
      </w:tr>
      <w:tr w14:paraId="6269D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E8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229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A0AD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业务管理</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548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EEC8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018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37DF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项目实施单位的业务管理制度是否健全，用以反映和考核业务管理制度对项目顺利实施的保障情况。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B14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C8D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8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4E37">
            <w:pPr>
              <w:jc w:val="center"/>
              <w:rPr>
                <w:rFonts w:hint="eastAsia" w:ascii="宋体" w:hAnsi="宋体" w:eastAsia="宋体" w:cs="宋体"/>
                <w:i w:val="0"/>
                <w:iCs w:val="0"/>
                <w:color w:val="000000"/>
                <w:sz w:val="18"/>
                <w:szCs w:val="18"/>
                <w:u w:val="none"/>
              </w:rPr>
            </w:pPr>
          </w:p>
        </w:tc>
      </w:tr>
      <w:tr w14:paraId="1673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E4E8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EC6E8">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FC03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383F7">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4CA31">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BD1FD">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99B25">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3AE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①是否已制定或具有相应的业务管理制度；</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2958D">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5C4D7">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AFC5">
            <w:pPr>
              <w:jc w:val="center"/>
              <w:rPr>
                <w:rFonts w:hint="eastAsia" w:ascii="宋体" w:hAnsi="宋体" w:eastAsia="宋体" w:cs="宋体"/>
                <w:i w:val="0"/>
                <w:iCs w:val="0"/>
                <w:color w:val="000000"/>
                <w:sz w:val="18"/>
                <w:szCs w:val="18"/>
                <w:u w:val="none"/>
              </w:rPr>
            </w:pPr>
          </w:p>
        </w:tc>
      </w:tr>
      <w:tr w14:paraId="4FBEF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74B8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C3A9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D1A7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F407A">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F590C">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3F050">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D408E">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85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②业务管理制度是否合法、合规、完整。</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02217">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56FF4">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D7F5">
            <w:pPr>
              <w:jc w:val="center"/>
              <w:rPr>
                <w:rFonts w:hint="eastAsia" w:ascii="宋体" w:hAnsi="宋体" w:eastAsia="宋体" w:cs="宋体"/>
                <w:i w:val="0"/>
                <w:iCs w:val="0"/>
                <w:color w:val="000000"/>
                <w:sz w:val="18"/>
                <w:szCs w:val="18"/>
                <w:u w:val="none"/>
              </w:rPr>
            </w:pPr>
          </w:p>
        </w:tc>
      </w:tr>
      <w:tr w14:paraId="1B821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C290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A0CE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0317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EAA22">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DB4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制度执行有效性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D8B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63F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项目实施是否符合相关业务管理规定，用以反映和考核业务管理制度的有效执行情况。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F30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59C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具备一个得分要素，得1分。</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D3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6338D2">
            <w:pPr>
              <w:jc w:val="center"/>
              <w:rPr>
                <w:rFonts w:hint="eastAsia" w:ascii="宋体" w:hAnsi="宋体" w:eastAsia="宋体" w:cs="宋体"/>
                <w:i w:val="0"/>
                <w:iCs w:val="0"/>
                <w:color w:val="000000"/>
                <w:sz w:val="18"/>
                <w:szCs w:val="18"/>
                <w:u w:val="none"/>
              </w:rPr>
            </w:pPr>
          </w:p>
        </w:tc>
      </w:tr>
      <w:tr w14:paraId="772E8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0BED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2038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3CD5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1B164">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7B926">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44744">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80F05">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BE5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①是否遵守相关法律法规和业务管理规定；</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03E42">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FA032">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84B5C">
            <w:pPr>
              <w:jc w:val="center"/>
              <w:rPr>
                <w:rFonts w:hint="eastAsia" w:ascii="宋体" w:hAnsi="宋体" w:eastAsia="宋体" w:cs="宋体"/>
                <w:i w:val="0"/>
                <w:iCs w:val="0"/>
                <w:color w:val="000000"/>
                <w:sz w:val="18"/>
                <w:szCs w:val="18"/>
                <w:u w:val="none"/>
              </w:rPr>
            </w:pPr>
          </w:p>
        </w:tc>
      </w:tr>
      <w:tr w14:paraId="5A8A5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BDF2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04571">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A4F0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55F7F">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31FE9">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FA5A8">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5E749">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9E1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②项目调整及支出调整手续是否完备；</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668AB">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83F0">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2236E">
            <w:pPr>
              <w:jc w:val="center"/>
              <w:rPr>
                <w:rFonts w:hint="eastAsia" w:ascii="宋体" w:hAnsi="宋体" w:eastAsia="宋体" w:cs="宋体"/>
                <w:i w:val="0"/>
                <w:iCs w:val="0"/>
                <w:color w:val="000000"/>
                <w:sz w:val="18"/>
                <w:szCs w:val="18"/>
                <w:u w:val="none"/>
              </w:rPr>
            </w:pPr>
          </w:p>
        </w:tc>
      </w:tr>
      <w:tr w14:paraId="0485E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11766">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6760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88BB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713A6">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E92F4">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12F8C">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615C7">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B9F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③项目资料是否齐全并及时归档；</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FCA9A">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8841">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3393D">
            <w:pPr>
              <w:jc w:val="center"/>
              <w:rPr>
                <w:rFonts w:hint="eastAsia" w:ascii="宋体" w:hAnsi="宋体" w:eastAsia="宋体" w:cs="宋体"/>
                <w:i w:val="0"/>
                <w:iCs w:val="0"/>
                <w:color w:val="000000"/>
                <w:sz w:val="18"/>
                <w:szCs w:val="18"/>
                <w:u w:val="none"/>
              </w:rPr>
            </w:pPr>
          </w:p>
        </w:tc>
      </w:tr>
      <w:tr w14:paraId="0B53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3648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EB7DD">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C0E9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8C1DB">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A61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项目质量可控性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95C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DA4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项目实施单位是否为达到项目质量要求而采取了必需的措施,用以反映和考核项目实施单位对项目质量的控制情况。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AC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31776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具备一个得分要素，得1.5分。</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516A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CF29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14:paraId="71B34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866F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A587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18BE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9F82E">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C1587">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9E9DF">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33A17">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8E5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①是否已制定或具有相应的项目质量要求或标准；</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ADA0A">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989E">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2C377">
            <w:pPr>
              <w:jc w:val="center"/>
              <w:rPr>
                <w:rFonts w:hint="eastAsia" w:ascii="宋体" w:hAnsi="宋体" w:eastAsia="宋体" w:cs="宋体"/>
                <w:i w:val="0"/>
                <w:iCs w:val="0"/>
                <w:color w:val="000000"/>
                <w:sz w:val="18"/>
                <w:szCs w:val="18"/>
                <w:u w:val="none"/>
              </w:rPr>
            </w:pPr>
          </w:p>
        </w:tc>
      </w:tr>
      <w:tr w14:paraId="7C216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D9DB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62A46">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2666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64D98">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80796">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4C8FC">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E1C4A">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203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②对被补助对象资格审查是否采取了必需的控制措施或手段。</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8CB84">
            <w:pPr>
              <w:jc w:val="both"/>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B6BC">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4EAF3">
            <w:pPr>
              <w:jc w:val="center"/>
              <w:rPr>
                <w:rFonts w:hint="eastAsia" w:ascii="宋体" w:hAnsi="宋体" w:eastAsia="宋体" w:cs="宋体"/>
                <w:i w:val="0"/>
                <w:iCs w:val="0"/>
                <w:color w:val="000000"/>
                <w:sz w:val="18"/>
                <w:szCs w:val="18"/>
                <w:u w:val="none"/>
              </w:rPr>
            </w:pPr>
          </w:p>
        </w:tc>
      </w:tr>
      <w:tr w14:paraId="05C09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A789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27B6E">
            <w:pPr>
              <w:jc w:val="center"/>
              <w:rPr>
                <w:rFonts w:hint="eastAsia" w:ascii="宋体" w:hAnsi="宋体" w:eastAsia="宋体" w:cs="宋体"/>
                <w:i w:val="0"/>
                <w:iCs w:val="0"/>
                <w:color w:val="000000"/>
                <w:sz w:val="18"/>
                <w:szCs w:val="18"/>
                <w:u w:val="none"/>
              </w:rPr>
            </w:pP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99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预算管理</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2F4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64C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E934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14E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实际到位资金与计划投入资金的比率，用以反映和考核资金落实情况对项目实施的总体保障程度。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34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资金到位率=（实际到位资金/计划投入资金）×100%。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2E9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资金到位率≦100%，且未对项目开展造成不良影响，得分等于指标分值*资金到位率；资金到位率﹤100%，且对项目开展造成不良影响，得分等于0。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B0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3AE5F">
            <w:pPr>
              <w:jc w:val="center"/>
              <w:rPr>
                <w:rFonts w:hint="eastAsia" w:ascii="宋体" w:hAnsi="宋体" w:eastAsia="宋体" w:cs="宋体"/>
                <w:i w:val="0"/>
                <w:iCs w:val="0"/>
                <w:color w:val="000000"/>
                <w:sz w:val="18"/>
                <w:szCs w:val="18"/>
                <w:u w:val="none"/>
              </w:rPr>
            </w:pPr>
          </w:p>
        </w:tc>
      </w:tr>
      <w:tr w14:paraId="06E49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3593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5D29F">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A740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B5306">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4481C">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21CBE">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39D3C">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B5C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实际到位资金：一定时期（本年度或项目期）内实际落实到具体项目的资金。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AE41B">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C9127">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7DC90">
            <w:pPr>
              <w:jc w:val="center"/>
              <w:rPr>
                <w:rFonts w:hint="eastAsia" w:ascii="宋体" w:hAnsi="宋体" w:eastAsia="宋体" w:cs="宋体"/>
                <w:i w:val="0"/>
                <w:iCs w:val="0"/>
                <w:color w:val="000000"/>
                <w:sz w:val="18"/>
                <w:szCs w:val="18"/>
                <w:u w:val="none"/>
              </w:rPr>
            </w:pPr>
          </w:p>
        </w:tc>
      </w:tr>
      <w:tr w14:paraId="24938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6E58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0B56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13FF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A44F6">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BE39B">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CB134">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57236">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8B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计划投入资金：一定时期（本年度或项目期）内计划投入到具体项目的资金。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93C62">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1112">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8B17E">
            <w:pPr>
              <w:jc w:val="center"/>
              <w:rPr>
                <w:rFonts w:hint="eastAsia" w:ascii="宋体" w:hAnsi="宋体" w:eastAsia="宋体" w:cs="宋体"/>
                <w:i w:val="0"/>
                <w:iCs w:val="0"/>
                <w:color w:val="000000"/>
                <w:sz w:val="18"/>
                <w:szCs w:val="18"/>
                <w:u w:val="none"/>
              </w:rPr>
            </w:pPr>
          </w:p>
        </w:tc>
      </w:tr>
      <w:tr w14:paraId="077C6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F1473">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637E7">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7B54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DF2BB">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8CE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到位及时率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01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B4CD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及时到位资金与应到位资金的比率，用以反映和考核项目资金落实的及时性程度。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25E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到位及时率=（及时到位资金/应到位资金）×100%。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9D26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资金到位率≦100%，且未对项目开展造成不良影响，得分等于指标分值*资金到位率；资金到位率﹤100%，且对项目开展造成不良影响，得分等于0。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A5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76A4A">
            <w:pPr>
              <w:jc w:val="center"/>
              <w:rPr>
                <w:rFonts w:hint="eastAsia" w:ascii="宋体" w:hAnsi="宋体" w:eastAsia="宋体" w:cs="宋体"/>
                <w:i w:val="0"/>
                <w:iCs w:val="0"/>
                <w:color w:val="000000"/>
                <w:sz w:val="18"/>
                <w:szCs w:val="18"/>
                <w:u w:val="none"/>
              </w:rPr>
            </w:pPr>
          </w:p>
        </w:tc>
      </w:tr>
      <w:tr w14:paraId="7996E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1DE9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771A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0270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B295C">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BF7B3">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9B551">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063C3">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B40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应到位资金：按照绩效办法、合同或项目进度要求截至规定时点应落实到具体项目的资金。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859D0">
            <w:pPr>
              <w:jc w:val="center"/>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C8FB">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54332">
            <w:pPr>
              <w:jc w:val="center"/>
              <w:rPr>
                <w:rFonts w:hint="eastAsia" w:ascii="宋体" w:hAnsi="宋体" w:eastAsia="宋体" w:cs="宋体"/>
                <w:i w:val="0"/>
                <w:iCs w:val="0"/>
                <w:color w:val="000000"/>
                <w:sz w:val="18"/>
                <w:szCs w:val="18"/>
                <w:u w:val="none"/>
              </w:rPr>
            </w:pPr>
          </w:p>
        </w:tc>
      </w:tr>
      <w:tr w14:paraId="01291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FCCC8">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50A7D">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E533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68E4B">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580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E4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BADB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项目预算资金是否按照计划执行，用以反映和考核项目预算执行情况。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795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预算执行率=（实际支出资金/实际到位资金）×100%。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B66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得分等于指标分值*预算执行率。</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F8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7728">
            <w:pPr>
              <w:jc w:val="center"/>
              <w:rPr>
                <w:rFonts w:hint="eastAsia" w:ascii="宋体" w:hAnsi="宋体" w:eastAsia="宋体" w:cs="宋体"/>
                <w:i w:val="0"/>
                <w:iCs w:val="0"/>
                <w:color w:val="000000"/>
                <w:sz w:val="18"/>
                <w:szCs w:val="18"/>
                <w:u w:val="none"/>
              </w:rPr>
            </w:pPr>
          </w:p>
        </w:tc>
      </w:tr>
      <w:tr w14:paraId="6A03E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68FF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C2168">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99E8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DB9C7">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3469E">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824EC">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BB9D5">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9DC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①实际支出资金：一定时期（本年度或项目期）内项目实际拨付的资金；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9BEDE">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02E9">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15604">
            <w:pPr>
              <w:jc w:val="center"/>
              <w:rPr>
                <w:rFonts w:hint="eastAsia" w:ascii="宋体" w:hAnsi="宋体" w:eastAsia="宋体" w:cs="宋体"/>
                <w:i w:val="0"/>
                <w:iCs w:val="0"/>
                <w:color w:val="000000"/>
                <w:sz w:val="18"/>
                <w:szCs w:val="18"/>
                <w:u w:val="none"/>
              </w:rPr>
            </w:pPr>
          </w:p>
        </w:tc>
      </w:tr>
      <w:tr w14:paraId="5A477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5DDE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F564D">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E0C2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13638">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30F0B">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0DE57">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61F55">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04B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②实际到位资金：一定时期（本年度或项目期）内实际落实到具体项目的资金。</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211C0">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A2AC">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94711">
            <w:pPr>
              <w:jc w:val="center"/>
              <w:rPr>
                <w:rFonts w:hint="eastAsia" w:ascii="宋体" w:hAnsi="宋体" w:eastAsia="宋体" w:cs="宋体"/>
                <w:i w:val="0"/>
                <w:iCs w:val="0"/>
                <w:color w:val="000000"/>
                <w:sz w:val="18"/>
                <w:szCs w:val="18"/>
                <w:u w:val="none"/>
              </w:rPr>
            </w:pPr>
          </w:p>
        </w:tc>
      </w:tr>
      <w:tr w14:paraId="14458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1E32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E2F7B">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18144">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FD745">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780C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管理制度健全性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07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043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项目实施单位的财务制度是否健全，用以反映和考核财务管理制度对资金规范、安全运行的保障情况。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C61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B29F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5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77EB">
            <w:pPr>
              <w:jc w:val="center"/>
              <w:rPr>
                <w:rFonts w:hint="eastAsia" w:ascii="宋体" w:hAnsi="宋体" w:eastAsia="宋体" w:cs="宋体"/>
                <w:i w:val="0"/>
                <w:iCs w:val="0"/>
                <w:color w:val="000000"/>
                <w:sz w:val="18"/>
                <w:szCs w:val="18"/>
                <w:u w:val="none"/>
              </w:rPr>
            </w:pPr>
          </w:p>
        </w:tc>
      </w:tr>
      <w:tr w14:paraId="31079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C1EC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50B4A">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A118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E46EF">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2DA51">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24C6E">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2125C">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526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①是否已制定或具有相应的项目资金管理办法；</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AC9BF">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BDC0">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B6A66">
            <w:pPr>
              <w:jc w:val="center"/>
              <w:rPr>
                <w:rFonts w:hint="eastAsia" w:ascii="宋体" w:hAnsi="宋体" w:eastAsia="宋体" w:cs="宋体"/>
                <w:i w:val="0"/>
                <w:iCs w:val="0"/>
                <w:color w:val="000000"/>
                <w:sz w:val="18"/>
                <w:szCs w:val="18"/>
                <w:u w:val="none"/>
              </w:rPr>
            </w:pPr>
          </w:p>
        </w:tc>
      </w:tr>
      <w:tr w14:paraId="5DB2C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4D89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AF6D9">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EDF9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EB9DC">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FFCD3">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7EE6A">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8603F">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BE7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②项目资金管理办法是否符合相关财务会计制度的规定。</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58ED9">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8EADD">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ACC9">
            <w:pPr>
              <w:jc w:val="center"/>
              <w:rPr>
                <w:rFonts w:hint="eastAsia" w:ascii="宋体" w:hAnsi="宋体" w:eastAsia="宋体" w:cs="宋体"/>
                <w:i w:val="0"/>
                <w:iCs w:val="0"/>
                <w:color w:val="000000"/>
                <w:sz w:val="18"/>
                <w:szCs w:val="18"/>
                <w:u w:val="none"/>
              </w:rPr>
            </w:pPr>
          </w:p>
        </w:tc>
      </w:tr>
      <w:tr w14:paraId="6E82A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240C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2092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A222B">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72499">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45E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资金使用合规性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DC0F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011C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项目资金使用是否符合相关的财务管理制度规定，用以反映和考核项目资金的规范运行情况。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581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C912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具备一个得分要素，得1分</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9B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5403">
            <w:pPr>
              <w:jc w:val="center"/>
              <w:rPr>
                <w:rFonts w:hint="eastAsia" w:ascii="宋体" w:hAnsi="宋体" w:eastAsia="宋体" w:cs="宋体"/>
                <w:i w:val="0"/>
                <w:iCs w:val="0"/>
                <w:color w:val="000000"/>
                <w:sz w:val="18"/>
                <w:szCs w:val="18"/>
                <w:u w:val="none"/>
              </w:rPr>
            </w:pPr>
          </w:p>
        </w:tc>
      </w:tr>
      <w:tr w14:paraId="7BCEC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8EC8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360B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85F8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A641">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02285">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F9568">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85011">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582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①是否符合国家财经法规和财务管理制度以及有关专项资金管理办法的规定；</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B6D44">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2CDBE">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833FE">
            <w:pPr>
              <w:jc w:val="center"/>
              <w:rPr>
                <w:rFonts w:hint="eastAsia" w:ascii="宋体" w:hAnsi="宋体" w:eastAsia="宋体" w:cs="宋体"/>
                <w:i w:val="0"/>
                <w:iCs w:val="0"/>
                <w:color w:val="000000"/>
                <w:sz w:val="18"/>
                <w:szCs w:val="18"/>
                <w:u w:val="none"/>
              </w:rPr>
            </w:pPr>
          </w:p>
        </w:tc>
      </w:tr>
      <w:tr w14:paraId="0DDBB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19B42">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283B9">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69FA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19106">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0FA87">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6BCA4">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5C68A">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3D5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②资金的拨付是否有完整的审批程序和手续；是否符合项目预算批复或合同规定的用途；</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8605A">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4627">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7C72C">
            <w:pPr>
              <w:jc w:val="center"/>
              <w:rPr>
                <w:rFonts w:hint="eastAsia" w:ascii="宋体" w:hAnsi="宋体" w:eastAsia="宋体" w:cs="宋体"/>
                <w:i w:val="0"/>
                <w:iCs w:val="0"/>
                <w:color w:val="000000"/>
                <w:sz w:val="18"/>
                <w:szCs w:val="18"/>
                <w:u w:val="none"/>
              </w:rPr>
            </w:pPr>
          </w:p>
        </w:tc>
      </w:tr>
      <w:tr w14:paraId="714D3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5C48F">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A16AF">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4DB60">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6E0DD">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DB05D">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B8796">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61B20">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567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③是否存在截留、挤占、挪用、虚列支出等情况。</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1E2F6">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7A430">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1C6F1">
            <w:pPr>
              <w:jc w:val="center"/>
              <w:rPr>
                <w:rFonts w:hint="eastAsia" w:ascii="宋体" w:hAnsi="宋体" w:eastAsia="宋体" w:cs="宋体"/>
                <w:i w:val="0"/>
                <w:iCs w:val="0"/>
                <w:color w:val="000000"/>
                <w:sz w:val="18"/>
                <w:szCs w:val="18"/>
                <w:u w:val="none"/>
              </w:rPr>
            </w:pPr>
          </w:p>
        </w:tc>
      </w:tr>
      <w:tr w14:paraId="111CD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0E89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2C1E1">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E0101">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C21A2">
            <w:pPr>
              <w:jc w:val="center"/>
              <w:rPr>
                <w:rFonts w:hint="eastAsia" w:ascii="宋体" w:hAnsi="宋体" w:eastAsia="宋体" w:cs="宋体"/>
                <w:i w:val="0"/>
                <w:iCs w:val="0"/>
                <w:color w:val="000000"/>
                <w:sz w:val="18"/>
                <w:szCs w:val="18"/>
                <w:u w:val="none"/>
              </w:rPr>
            </w:pP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839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财务监控有效性</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22BD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0B2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项目实施单位是否为保障资金的安全、规范运行而采取了必要的监控措施，用以反映和考核项目实施单位对资金运行的控制情况。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DEB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评价要点：</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1471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具备一个得分要素，得到指标分值的50%。</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D0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9156">
            <w:pPr>
              <w:jc w:val="center"/>
              <w:rPr>
                <w:rFonts w:hint="eastAsia" w:ascii="宋体" w:hAnsi="宋体" w:eastAsia="宋体" w:cs="宋体"/>
                <w:i w:val="0"/>
                <w:iCs w:val="0"/>
                <w:color w:val="000000"/>
                <w:sz w:val="18"/>
                <w:szCs w:val="18"/>
                <w:u w:val="none"/>
              </w:rPr>
            </w:pPr>
          </w:p>
        </w:tc>
      </w:tr>
      <w:tr w14:paraId="2CEC7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58DA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614E5">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4D82E">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77044">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DF1DC">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8F382">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1CC76">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C9A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①是否已制定或具有相应的监控机制；</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78021">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69EBA">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A5EF">
            <w:pPr>
              <w:jc w:val="center"/>
              <w:rPr>
                <w:rFonts w:hint="eastAsia" w:ascii="宋体" w:hAnsi="宋体" w:eastAsia="宋体" w:cs="宋体"/>
                <w:i w:val="0"/>
                <w:iCs w:val="0"/>
                <w:color w:val="000000"/>
                <w:sz w:val="18"/>
                <w:szCs w:val="18"/>
                <w:u w:val="none"/>
              </w:rPr>
            </w:pPr>
          </w:p>
        </w:tc>
      </w:tr>
      <w:tr w14:paraId="5B65A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4816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14D00">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83229">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15019">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B1C0A">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0E9B3">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DA920">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F5D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②是否采取了相应的财务检查等必要的监控措施或手段。</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E02D7">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E0F0A">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9DF81">
            <w:pPr>
              <w:jc w:val="center"/>
              <w:rPr>
                <w:rFonts w:hint="eastAsia" w:ascii="宋体" w:hAnsi="宋体" w:eastAsia="宋体" w:cs="宋体"/>
                <w:i w:val="0"/>
                <w:iCs w:val="0"/>
                <w:color w:val="000000"/>
                <w:sz w:val="18"/>
                <w:szCs w:val="18"/>
                <w:u w:val="none"/>
              </w:rPr>
            </w:pPr>
          </w:p>
        </w:tc>
      </w:tr>
      <w:tr w14:paraId="39ED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54E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 出</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9E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AA7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产出数量</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4E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5DDA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实际完成率</w:t>
            </w:r>
          </w:p>
        </w:tc>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D1C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5CF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项目实施的实际产出数与计划产出数的比率，用以反映和考核项目产出数量目标的实现程度。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786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实际完成率=（实际产出数/计划产出数）×100%。</w:t>
            </w:r>
          </w:p>
        </w:tc>
        <w:tc>
          <w:tcPr>
            <w:tcW w:w="6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10D1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得分等于指标分值*实际完成率；</w:t>
            </w:r>
          </w:p>
        </w:tc>
        <w:tc>
          <w:tcPr>
            <w:tcW w:w="2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9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6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F1885">
            <w:pPr>
              <w:jc w:val="center"/>
              <w:rPr>
                <w:rFonts w:hint="eastAsia" w:ascii="宋体" w:hAnsi="宋体" w:eastAsia="宋体" w:cs="宋体"/>
                <w:i w:val="0"/>
                <w:iCs w:val="0"/>
                <w:color w:val="000000"/>
                <w:sz w:val="18"/>
                <w:szCs w:val="18"/>
                <w:u w:val="none"/>
              </w:rPr>
            </w:pPr>
          </w:p>
        </w:tc>
      </w:tr>
      <w:tr w14:paraId="66542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EDB2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74C5C">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CB2CC">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6A34D">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4A056">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0937E">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1D33">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526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实际产出数：一定时期（本年度或项目期）内项目实际产出的产品或提供的服务数量。</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44797">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F391">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0CB71">
            <w:pPr>
              <w:jc w:val="center"/>
              <w:rPr>
                <w:rFonts w:hint="eastAsia" w:ascii="宋体" w:hAnsi="宋体" w:eastAsia="宋体" w:cs="宋体"/>
                <w:i w:val="0"/>
                <w:iCs w:val="0"/>
                <w:color w:val="000000"/>
                <w:sz w:val="18"/>
                <w:szCs w:val="18"/>
                <w:u w:val="none"/>
              </w:rPr>
            </w:pPr>
          </w:p>
        </w:tc>
      </w:tr>
      <w:tr w14:paraId="56546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B406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CD682">
            <w:pPr>
              <w:jc w:val="center"/>
              <w:rPr>
                <w:rFonts w:hint="eastAsia" w:ascii="宋体" w:hAnsi="宋体" w:eastAsia="宋体" w:cs="宋体"/>
                <w:i w:val="0"/>
                <w:iCs w:val="0"/>
                <w:color w:val="000000"/>
                <w:sz w:val="18"/>
                <w:szCs w:val="18"/>
                <w:u w:val="none"/>
              </w:rPr>
            </w:pPr>
          </w:p>
        </w:tc>
        <w:tc>
          <w:tcPr>
            <w:tcW w:w="2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ACCBD">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C99DE">
            <w:pPr>
              <w:jc w:val="center"/>
              <w:rPr>
                <w:rFonts w:hint="eastAsia" w:ascii="宋体" w:hAnsi="宋体" w:eastAsia="宋体" w:cs="宋体"/>
                <w:i w:val="0"/>
                <w:iCs w:val="0"/>
                <w:color w:val="000000"/>
                <w:sz w:val="18"/>
                <w:szCs w:val="18"/>
                <w:u w:val="none"/>
              </w:rPr>
            </w:pPr>
          </w:p>
        </w:tc>
        <w:tc>
          <w:tcPr>
            <w:tcW w:w="2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24EDD">
            <w:pPr>
              <w:jc w:val="left"/>
              <w:rPr>
                <w:rFonts w:hint="eastAsia" w:ascii="宋体" w:hAnsi="宋体" w:eastAsia="宋体" w:cs="宋体"/>
                <w:i w:val="0"/>
                <w:iCs w:val="0"/>
                <w:color w:val="000000"/>
                <w:sz w:val="18"/>
                <w:szCs w:val="18"/>
                <w:u w:val="none"/>
              </w:rPr>
            </w:pPr>
          </w:p>
        </w:tc>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5EC7D">
            <w:pPr>
              <w:jc w:val="center"/>
              <w:rPr>
                <w:rFonts w:hint="eastAsia" w:ascii="宋体" w:hAnsi="宋体" w:eastAsia="宋体" w:cs="宋体"/>
                <w:i w:val="0"/>
                <w:iCs w:val="0"/>
                <w:color w:val="000000"/>
                <w:sz w:val="18"/>
                <w:szCs w:val="18"/>
                <w:u w:val="none"/>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0DD22">
            <w:pPr>
              <w:jc w:val="left"/>
              <w:rPr>
                <w:rFonts w:hint="eastAsia" w:ascii="宋体" w:hAnsi="宋体" w:eastAsia="宋体" w:cs="宋体"/>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929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计划产出数：项目绩效目标确定的在一定时期(年度或项目期)内计划产出的产品或提供的服务数量</w:t>
            </w:r>
          </w:p>
        </w:tc>
        <w:tc>
          <w:tcPr>
            <w:tcW w:w="6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BD8F2">
            <w:pPr>
              <w:jc w:val="left"/>
              <w:rPr>
                <w:rFonts w:hint="eastAsia" w:ascii="宋体" w:hAnsi="宋体" w:eastAsia="宋体" w:cs="宋体"/>
                <w:i w:val="0"/>
                <w:iCs w:val="0"/>
                <w:color w:val="000000"/>
                <w:sz w:val="18"/>
                <w:szCs w:val="18"/>
                <w:u w:val="none"/>
              </w:rPr>
            </w:pPr>
          </w:p>
        </w:tc>
        <w:tc>
          <w:tcPr>
            <w:tcW w:w="2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9A66">
            <w:pPr>
              <w:jc w:val="center"/>
              <w:rPr>
                <w:rFonts w:hint="eastAsia" w:ascii="宋体" w:hAnsi="宋体" w:eastAsia="宋体" w:cs="宋体"/>
                <w:i w:val="0"/>
                <w:iCs w:val="0"/>
                <w:color w:val="000000"/>
                <w:sz w:val="18"/>
                <w:szCs w:val="18"/>
                <w:u w:val="none"/>
              </w:rPr>
            </w:pPr>
          </w:p>
        </w:tc>
        <w:tc>
          <w:tcPr>
            <w:tcW w:w="86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E3D8F">
            <w:pPr>
              <w:jc w:val="center"/>
              <w:rPr>
                <w:rFonts w:hint="eastAsia" w:ascii="宋体" w:hAnsi="宋体" w:eastAsia="宋体" w:cs="宋体"/>
                <w:i w:val="0"/>
                <w:iCs w:val="0"/>
                <w:color w:val="000000"/>
                <w:sz w:val="18"/>
                <w:szCs w:val="18"/>
                <w:u w:val="none"/>
              </w:rPr>
            </w:pPr>
          </w:p>
        </w:tc>
      </w:tr>
      <w:tr w14:paraId="5BAFF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5D465">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C4BA8">
            <w:pPr>
              <w:jc w:val="center"/>
              <w:rPr>
                <w:rFonts w:hint="eastAsia" w:ascii="宋体" w:hAnsi="宋体" w:eastAsia="宋体" w:cs="宋体"/>
                <w:i w:val="0"/>
                <w:iCs w:val="0"/>
                <w:color w:val="000000"/>
                <w:sz w:val="18"/>
                <w:szCs w:val="18"/>
                <w:u w:val="none"/>
              </w:rPr>
            </w:pP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77A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产出时效</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14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2D8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完成及时率</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F6A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154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项目实际提前完成时间与计划完成时间的比率，用以反映和考核项目产出时效目标的实现程度。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012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完成及时率=[（计划完成时间-实际完成时间）/计划完成时间]×100%。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43E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扣分分值=指标分值*完成及时率；</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4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4CF5B">
            <w:pPr>
              <w:jc w:val="center"/>
              <w:rPr>
                <w:rFonts w:hint="eastAsia" w:ascii="宋体" w:hAnsi="宋体" w:eastAsia="宋体" w:cs="宋体"/>
                <w:i w:val="0"/>
                <w:iCs w:val="0"/>
                <w:color w:val="000000"/>
                <w:sz w:val="18"/>
                <w:szCs w:val="18"/>
                <w:u w:val="none"/>
              </w:rPr>
            </w:pPr>
          </w:p>
        </w:tc>
      </w:tr>
      <w:tr w14:paraId="42A6F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4553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CA14C">
            <w:pPr>
              <w:jc w:val="center"/>
              <w:rPr>
                <w:rFonts w:hint="eastAsia" w:ascii="宋体" w:hAnsi="宋体" w:eastAsia="宋体" w:cs="宋体"/>
                <w:i w:val="0"/>
                <w:iCs w:val="0"/>
                <w:color w:val="000000"/>
                <w:sz w:val="18"/>
                <w:szCs w:val="18"/>
                <w:u w:val="none"/>
              </w:rPr>
            </w:pP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F1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产出质量</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DD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8BB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资金发放准确率</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BB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17A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项目完成的准确发放资金与发放资金的比率，用以反映和考核项目产出质量目标的实现程度。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6B6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质量达标率=（准确发放资金/实际发放资金）×100%。</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546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得分等于指标分值*发放准确率。</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F4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8C9C">
            <w:pPr>
              <w:jc w:val="center"/>
              <w:rPr>
                <w:rFonts w:hint="eastAsia" w:ascii="宋体" w:hAnsi="宋体" w:eastAsia="宋体" w:cs="宋体"/>
                <w:i w:val="0"/>
                <w:iCs w:val="0"/>
                <w:color w:val="000000"/>
                <w:sz w:val="18"/>
                <w:szCs w:val="18"/>
                <w:u w:val="none"/>
              </w:rPr>
            </w:pPr>
          </w:p>
        </w:tc>
      </w:tr>
      <w:tr w14:paraId="29C37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74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效果</w:t>
            </w:r>
          </w:p>
        </w:tc>
        <w:tc>
          <w:tcPr>
            <w:tcW w:w="1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1DF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E6F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19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B2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EC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D68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项目实施对社会发展所带来的直接或间接影响情况。</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3DEC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①兜底被优抚对象基本生活；②化解矛盾隐患；③稳定军心士气④提升参军吸引力</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04F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具备一个得分要素，得4分</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B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B9E86">
            <w:pPr>
              <w:rPr>
                <w:rFonts w:hint="eastAsia" w:ascii="宋体" w:hAnsi="宋体" w:eastAsia="宋体" w:cs="宋体"/>
                <w:i w:val="0"/>
                <w:iCs w:val="0"/>
                <w:color w:val="000000"/>
                <w:sz w:val="18"/>
                <w:szCs w:val="18"/>
                <w:u w:val="none"/>
              </w:rPr>
            </w:pPr>
          </w:p>
        </w:tc>
      </w:tr>
      <w:tr w14:paraId="5D570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CEF27">
            <w:pPr>
              <w:jc w:val="center"/>
              <w:rPr>
                <w:rFonts w:hint="eastAsia" w:ascii="宋体" w:hAnsi="宋体" w:eastAsia="宋体" w:cs="宋体"/>
                <w:i w:val="0"/>
                <w:iCs w:val="0"/>
                <w:color w:val="000000"/>
                <w:sz w:val="18"/>
                <w:szCs w:val="18"/>
                <w:u w:val="none"/>
              </w:rPr>
            </w:pPr>
          </w:p>
        </w:tc>
        <w:tc>
          <w:tcPr>
            <w:tcW w:w="1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8FF0E">
            <w:pPr>
              <w:jc w:val="center"/>
              <w:rPr>
                <w:rFonts w:hint="eastAsia" w:ascii="宋体" w:hAnsi="宋体" w:eastAsia="宋体" w:cs="宋体"/>
                <w:i w:val="0"/>
                <w:iCs w:val="0"/>
                <w:color w:val="000000"/>
                <w:sz w:val="18"/>
                <w:szCs w:val="18"/>
                <w:u w:val="none"/>
              </w:rPr>
            </w:pP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61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EE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FD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社会公众或服务对象满意度</w:t>
            </w: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15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BD9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社会公众或服务对象对项目实施效果的满意程度。</w:t>
            </w: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CFD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社会公众或服务对象是指因该项目实施而受到影响的部门（单位）、群体或个人。一般采取社会调查的方式。</w:t>
            </w: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61B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根据问卷调查的满意情况确定满意度得分，分值*问卷满意度。</w:t>
            </w:r>
          </w:p>
        </w:tc>
        <w:tc>
          <w:tcPr>
            <w:tcW w:w="2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82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4D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问卷调查综合满意度93.54%，本指标得分14*93.54%=13.1分</w:t>
            </w:r>
          </w:p>
        </w:tc>
      </w:tr>
      <w:tr w14:paraId="124A6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7491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整体评价</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6AF8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07D83">
            <w:pPr>
              <w:jc w:val="center"/>
              <w:rPr>
                <w:rFonts w:hint="eastAsia" w:ascii="宋体" w:hAnsi="宋体" w:eastAsia="宋体" w:cs="宋体"/>
                <w:b/>
                <w:bCs/>
                <w:i w:val="0"/>
                <w:iCs w:val="0"/>
                <w:color w:val="000000"/>
                <w:sz w:val="18"/>
                <w:szCs w:val="18"/>
                <w:u w:val="none"/>
              </w:rPr>
            </w:pP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1C5C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67EE">
            <w:pPr>
              <w:jc w:val="center"/>
              <w:rPr>
                <w:rFonts w:hint="eastAsia" w:ascii="宋体" w:hAnsi="宋体" w:eastAsia="宋体" w:cs="宋体"/>
                <w:b/>
                <w:bCs/>
                <w:i w:val="0"/>
                <w:iCs w:val="0"/>
                <w:color w:val="000000"/>
                <w:sz w:val="18"/>
                <w:szCs w:val="18"/>
                <w:u w:val="none"/>
              </w:rPr>
            </w:pPr>
          </w:p>
        </w:tc>
        <w:tc>
          <w:tcPr>
            <w:tcW w:w="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D4AC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60B2F">
            <w:pPr>
              <w:jc w:val="center"/>
              <w:rPr>
                <w:rFonts w:hint="eastAsia" w:ascii="宋体" w:hAnsi="宋体" w:eastAsia="宋体" w:cs="宋体"/>
                <w:b/>
                <w:bCs/>
                <w:i w:val="0"/>
                <w:iCs w:val="0"/>
                <w:color w:val="000000"/>
                <w:sz w:val="18"/>
                <w:szCs w:val="18"/>
                <w:u w:val="none"/>
              </w:rPr>
            </w:pPr>
          </w:p>
        </w:tc>
        <w:tc>
          <w:tcPr>
            <w:tcW w:w="1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D8EB3">
            <w:pPr>
              <w:jc w:val="center"/>
              <w:rPr>
                <w:rFonts w:hint="eastAsia" w:ascii="宋体" w:hAnsi="宋体" w:eastAsia="宋体" w:cs="宋体"/>
                <w:b/>
                <w:bCs/>
                <w:i w:val="0"/>
                <w:iCs w:val="0"/>
                <w:color w:val="000000"/>
                <w:sz w:val="18"/>
                <w:szCs w:val="18"/>
                <w:u w:val="none"/>
              </w:rPr>
            </w:pPr>
          </w:p>
        </w:tc>
        <w:tc>
          <w:tcPr>
            <w:tcW w:w="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15FE8">
            <w:pPr>
              <w:jc w:val="center"/>
              <w:rPr>
                <w:rFonts w:hint="eastAsia" w:ascii="宋体" w:hAnsi="宋体" w:eastAsia="宋体" w:cs="宋体"/>
                <w:b/>
                <w:bCs/>
                <w:i w:val="0"/>
                <w:iCs w:val="0"/>
                <w:color w:val="000000"/>
                <w:sz w:val="18"/>
                <w:szCs w:val="18"/>
                <w:u w:val="none"/>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BEF0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9</w:t>
            </w:r>
            <w:r>
              <w:rPr>
                <w:rFonts w:hint="eastAsia" w:ascii="宋体" w:hAnsi="宋体" w:cs="宋体"/>
                <w:b/>
                <w:bCs/>
                <w:i w:val="0"/>
                <w:iCs w:val="0"/>
                <w:color w:val="000000"/>
                <w:kern w:val="0"/>
                <w:sz w:val="18"/>
                <w:szCs w:val="18"/>
                <w:u w:val="none"/>
                <w:lang w:val="en-US" w:eastAsia="zh-CN" w:bidi="ar"/>
              </w:rPr>
              <w:t>4</w:t>
            </w:r>
            <w:r>
              <w:rPr>
                <w:rFonts w:hint="eastAsia" w:ascii="宋体" w:hAnsi="宋体" w:eastAsia="宋体" w:cs="宋体"/>
                <w:b/>
                <w:bCs/>
                <w:i w:val="0"/>
                <w:iCs w:val="0"/>
                <w:color w:val="000000"/>
                <w:kern w:val="0"/>
                <w:sz w:val="18"/>
                <w:szCs w:val="18"/>
                <w:u w:val="none"/>
                <w:lang w:val="en-US" w:eastAsia="zh-CN" w:bidi="ar"/>
              </w:rPr>
              <w:t>.</w:t>
            </w:r>
            <w:r>
              <w:rPr>
                <w:rFonts w:hint="eastAsia" w:ascii="宋体" w:hAnsi="宋体" w:cs="宋体"/>
                <w:b/>
                <w:bCs/>
                <w:i w:val="0"/>
                <w:iCs w:val="0"/>
                <w:color w:val="000000"/>
                <w:kern w:val="0"/>
                <w:sz w:val="18"/>
                <w:szCs w:val="18"/>
                <w:u w:val="none"/>
                <w:lang w:val="en-US" w:eastAsia="zh-CN" w:bidi="ar"/>
              </w:rPr>
              <w:t>1</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79CCE">
            <w:pPr>
              <w:jc w:val="center"/>
              <w:rPr>
                <w:rFonts w:hint="eastAsia" w:ascii="宋体" w:hAnsi="宋体" w:eastAsia="宋体" w:cs="宋体"/>
                <w:b/>
                <w:bCs/>
                <w:i w:val="0"/>
                <w:iCs w:val="0"/>
                <w:color w:val="000000"/>
                <w:sz w:val="18"/>
                <w:szCs w:val="18"/>
                <w:u w:val="none"/>
              </w:rPr>
            </w:pPr>
          </w:p>
        </w:tc>
      </w:tr>
    </w:tbl>
    <w:p w14:paraId="4E746442">
      <w:pPr>
        <w:numPr>
          <w:ilvl w:val="0"/>
          <w:numId w:val="0"/>
        </w:numPr>
        <w:spacing w:line="360" w:lineRule="auto"/>
        <w:jc w:val="left"/>
        <w:outlineLvl w:val="1"/>
        <w:rPr>
          <w:rFonts w:hint="eastAsia" w:ascii="宋体" w:hAnsi="宋体" w:cs="宋体"/>
          <w:color w:val="000000" w:themeColor="text1"/>
          <w:kern w:val="44"/>
          <w:sz w:val="28"/>
          <w:szCs w:val="28"/>
          <w:lang w:val="en-US" w:eastAsia="zh-CN"/>
          <w14:textFill>
            <w14:solidFill>
              <w14:schemeClr w14:val="tx1"/>
            </w14:solidFill>
          </w14:textFill>
        </w:rPr>
        <w:sectPr>
          <w:pgSz w:w="16838" w:h="11906" w:orient="landscape"/>
          <w:pgMar w:top="1800" w:right="1440" w:bottom="1800" w:left="1440" w:header="851" w:footer="992" w:gutter="0"/>
          <w:pgNumType w:fmt="decimal"/>
          <w:cols w:space="425" w:num="1"/>
          <w:docGrid w:type="lines" w:linePitch="312" w:charSpace="0"/>
        </w:sectPr>
      </w:pPr>
    </w:p>
    <w:p w14:paraId="0E358313">
      <w:pPr>
        <w:numPr>
          <w:ilvl w:val="0"/>
          <w:numId w:val="26"/>
        </w:numPr>
        <w:spacing w:line="360" w:lineRule="auto"/>
        <w:ind w:left="0" w:leftChars="0" w:firstLine="283" w:firstLineChars="0"/>
        <w:jc w:val="left"/>
        <w:outlineLvl w:val="1"/>
        <w:rPr>
          <w:rFonts w:hint="eastAsia" w:ascii="宋体" w:hAnsi="宋体" w:cs="宋体"/>
          <w:color w:val="000000" w:themeColor="text1"/>
          <w:kern w:val="44"/>
          <w:sz w:val="28"/>
          <w:szCs w:val="28"/>
          <w:lang w:val="en-US" w:eastAsia="zh-CN"/>
          <w14:textFill>
            <w14:solidFill>
              <w14:schemeClr w14:val="tx1"/>
            </w14:solidFill>
          </w14:textFill>
        </w:rPr>
      </w:pPr>
      <w:bookmarkStart w:id="38" w:name="_Toc23440"/>
      <w:r>
        <w:rPr>
          <w:rFonts w:hint="eastAsia" w:ascii="宋体" w:hAnsi="宋体" w:cs="宋体"/>
          <w:color w:val="000000" w:themeColor="text1"/>
          <w:kern w:val="44"/>
          <w:sz w:val="28"/>
          <w:szCs w:val="28"/>
          <w:lang w:val="en-US" w:eastAsia="zh-CN"/>
          <w14:textFill>
            <w14:solidFill>
              <w14:schemeClr w14:val="tx1"/>
            </w14:solidFill>
          </w14:textFill>
        </w:rPr>
        <w:t>项目组成员资质证书</w:t>
      </w:r>
      <w:bookmarkEnd w:id="38"/>
    </w:p>
    <w:p w14:paraId="6FAE7940">
      <w:pPr>
        <w:spacing w:line="360" w:lineRule="auto"/>
        <w:jc w:val="center"/>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576955" cy="5106670"/>
            <wp:effectExtent l="0" t="0" r="17780" b="4445"/>
            <wp:docPr id="67" name="图片 2" descr="2b465f7ac7dcde05bfdf5d9ee87d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2b465f7ac7dcde05bfdf5d9ee87d756"/>
                    <pic:cNvPicPr>
                      <a:picLocks noChangeAspect="1"/>
                    </pic:cNvPicPr>
                  </pic:nvPicPr>
                  <pic:blipFill>
                    <a:blip r:embed="rId8"/>
                    <a:stretch>
                      <a:fillRect/>
                    </a:stretch>
                  </pic:blipFill>
                  <pic:spPr>
                    <a:xfrm rot="-5400000">
                      <a:off x="0" y="0"/>
                      <a:ext cx="3576955" cy="5106670"/>
                    </a:xfrm>
                    <a:prstGeom prst="rect">
                      <a:avLst/>
                    </a:prstGeom>
                    <a:noFill/>
                    <a:ln>
                      <a:noFill/>
                    </a:ln>
                  </pic:spPr>
                </pic:pic>
              </a:graphicData>
            </a:graphic>
          </wp:inline>
        </w:drawing>
      </w:r>
    </w:p>
    <w:p w14:paraId="5AA5F94B">
      <w:pPr>
        <w:numPr>
          <w:ilvl w:val="0"/>
          <w:numId w:val="0"/>
        </w:numPr>
        <w:spacing w:line="360" w:lineRule="auto"/>
        <w:jc w:val="left"/>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75560" cy="3831590"/>
            <wp:effectExtent l="0" t="0" r="15240" b="16510"/>
            <wp:docPr id="68" name="图片 3" descr="501cf3141d7c1d8284f10e41fa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501cf3141d7c1d8284f10e41fa14496"/>
                    <pic:cNvPicPr>
                      <a:picLocks noChangeAspect="1"/>
                    </pic:cNvPicPr>
                  </pic:nvPicPr>
                  <pic:blipFill>
                    <a:blip r:embed="rId9"/>
                    <a:stretch>
                      <a:fillRect/>
                    </a:stretch>
                  </pic:blipFill>
                  <pic:spPr>
                    <a:xfrm>
                      <a:off x="0" y="0"/>
                      <a:ext cx="2575560" cy="3831590"/>
                    </a:xfrm>
                    <a:prstGeom prst="rect">
                      <a:avLst/>
                    </a:prstGeom>
                    <a:noFill/>
                    <a:ln>
                      <a:noFill/>
                    </a:ln>
                  </pic:spPr>
                </pic:pic>
              </a:graphicData>
            </a:graphic>
          </wp:inline>
        </w:drawing>
      </w:r>
      <w:r>
        <w:rPr>
          <w:rFonts w:hint="eastAsia" w:ascii="宋体" w:hAnsi="宋体" w:eastAsia="宋体" w:cs="宋体"/>
          <w:sz w:val="24"/>
          <w:szCs w:val="24"/>
          <w:lang w:eastAsia="zh-CN"/>
        </w:rPr>
        <w:drawing>
          <wp:inline distT="0" distB="0" distL="114300" distR="114300">
            <wp:extent cx="2592070" cy="3904615"/>
            <wp:effectExtent l="0" t="0" r="17780" b="635"/>
            <wp:docPr id="63" name="图片 4" descr="a93d88bd9ad8371bfe4ab05caa2c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descr="a93d88bd9ad8371bfe4ab05caa2c31a"/>
                    <pic:cNvPicPr>
                      <a:picLocks noChangeAspect="1"/>
                    </pic:cNvPicPr>
                  </pic:nvPicPr>
                  <pic:blipFill>
                    <a:blip r:embed="rId10"/>
                    <a:stretch>
                      <a:fillRect/>
                    </a:stretch>
                  </pic:blipFill>
                  <pic:spPr>
                    <a:xfrm>
                      <a:off x="0" y="0"/>
                      <a:ext cx="2592070" cy="3904615"/>
                    </a:xfrm>
                    <a:prstGeom prst="rect">
                      <a:avLst/>
                    </a:prstGeom>
                    <a:noFill/>
                    <a:ln>
                      <a:noFill/>
                    </a:ln>
                  </pic:spPr>
                </pic:pic>
              </a:graphicData>
            </a:graphic>
          </wp:inline>
        </w:drawing>
      </w:r>
    </w:p>
    <w:p w14:paraId="2565D9EA">
      <w:pPr>
        <w:numPr>
          <w:ilvl w:val="0"/>
          <w:numId w:val="0"/>
        </w:numPr>
        <w:spacing w:line="360" w:lineRule="auto"/>
        <w:jc w:val="left"/>
        <w:outlineLvl w:val="9"/>
        <w:rPr>
          <w:rFonts w:hint="eastAsia" w:ascii="宋体" w:hAnsi="宋体" w:eastAsia="宋体" w:cs="宋体"/>
          <w:sz w:val="24"/>
          <w:szCs w:val="24"/>
          <w:lang w:eastAsia="zh-CN"/>
        </w:rPr>
      </w:pPr>
    </w:p>
    <w:p w14:paraId="74EC83A3">
      <w:pPr>
        <w:numPr>
          <w:ilvl w:val="0"/>
          <w:numId w:val="0"/>
        </w:numPr>
        <w:spacing w:line="360" w:lineRule="auto"/>
        <w:jc w:val="left"/>
        <w:outlineLvl w:val="9"/>
        <w:rPr>
          <w:rFonts w:hint="eastAsia" w:ascii="宋体" w:hAnsi="宋体" w:eastAsia="宋体" w:cs="宋体"/>
          <w:sz w:val="24"/>
          <w:szCs w:val="24"/>
          <w:lang w:eastAsia="zh-CN"/>
        </w:rPr>
      </w:pPr>
    </w:p>
    <w:p w14:paraId="29FB2AC1">
      <w:pPr>
        <w:numPr>
          <w:ilvl w:val="0"/>
          <w:numId w:val="0"/>
        </w:numPr>
        <w:spacing w:line="360" w:lineRule="auto"/>
        <w:jc w:val="left"/>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344670" cy="5310505"/>
            <wp:effectExtent l="0" t="0" r="4445" b="17780"/>
            <wp:docPr id="70" name="图片 6" descr="赵桥职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赵桥职称"/>
                    <pic:cNvPicPr>
                      <a:picLocks noChangeAspect="1"/>
                    </pic:cNvPicPr>
                  </pic:nvPicPr>
                  <pic:blipFill>
                    <a:blip r:embed="rId11"/>
                    <a:stretch>
                      <a:fillRect/>
                    </a:stretch>
                  </pic:blipFill>
                  <pic:spPr>
                    <a:xfrm rot="-5400000">
                      <a:off x="0" y="0"/>
                      <a:ext cx="4344670" cy="5310505"/>
                    </a:xfrm>
                    <a:prstGeom prst="rect">
                      <a:avLst/>
                    </a:prstGeom>
                    <a:noFill/>
                    <a:ln>
                      <a:noFill/>
                    </a:ln>
                  </pic:spPr>
                </pic:pic>
              </a:graphicData>
            </a:graphic>
          </wp:inline>
        </w:drawing>
      </w:r>
    </w:p>
    <w:p w14:paraId="6E525E7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3E3FF81C">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7FB0959">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0D0837A3">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A7C0800">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1ACF6080">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5FBC3AFD">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37E8256">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51E57CEE">
      <w:pPr>
        <w:numPr>
          <w:ilvl w:val="0"/>
          <w:numId w:val="0"/>
        </w:numPr>
        <w:spacing w:line="360" w:lineRule="auto"/>
        <w:jc w:val="left"/>
        <w:outlineLvl w:val="9"/>
        <w:rPr>
          <w:rFonts w:hint="eastAsia" w:ascii="宋体" w:hAnsi="宋体" w:eastAsia="宋体" w:cs="宋体"/>
          <w:color w:val="000000" w:themeColor="text1"/>
          <w:kern w:val="44"/>
          <w:sz w:val="28"/>
          <w:szCs w:val="28"/>
          <w:lang w:val="en-US" w:eastAsia="zh-CN"/>
          <w14:textFill>
            <w14:solidFill>
              <w14:schemeClr w14:val="tx1"/>
            </w14:solidFill>
          </w14:textFill>
        </w:rPr>
      </w:pPr>
    </w:p>
    <w:p w14:paraId="7801DCB5">
      <w:pPr>
        <w:numPr>
          <w:ilvl w:val="0"/>
          <w:numId w:val="0"/>
        </w:numPr>
        <w:spacing w:line="360" w:lineRule="auto"/>
        <w:jc w:val="left"/>
        <w:outlineLvl w:val="9"/>
        <w:rPr>
          <w:rFonts w:hint="eastAsia" w:eastAsia="宋体"/>
          <w:lang w:eastAsia="zh-CN"/>
        </w:rPr>
      </w:pPr>
      <w:r>
        <w:rPr>
          <w:rFonts w:hint="eastAsia" w:eastAsia="宋体"/>
          <w:lang w:eastAsia="zh-CN"/>
        </w:rPr>
        <w:drawing>
          <wp:inline distT="0" distB="0" distL="114300" distR="114300">
            <wp:extent cx="3226435" cy="5266055"/>
            <wp:effectExtent l="0" t="0" r="10795" b="12065"/>
            <wp:docPr id="32" name="图片 1" descr="5055b8796ec6e6294cc55eeb8b82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5055b8796ec6e6294cc55eeb8b82c6c"/>
                    <pic:cNvPicPr>
                      <a:picLocks noChangeAspect="1"/>
                    </pic:cNvPicPr>
                  </pic:nvPicPr>
                  <pic:blipFill>
                    <a:blip r:embed="rId12"/>
                    <a:stretch>
                      <a:fillRect/>
                    </a:stretch>
                  </pic:blipFill>
                  <pic:spPr>
                    <a:xfrm rot="-5400000">
                      <a:off x="0" y="0"/>
                      <a:ext cx="3226435" cy="5266055"/>
                    </a:xfrm>
                    <a:prstGeom prst="rect">
                      <a:avLst/>
                    </a:prstGeom>
                    <a:noFill/>
                    <a:ln>
                      <a:noFill/>
                    </a:ln>
                  </pic:spPr>
                </pic:pic>
              </a:graphicData>
            </a:graphic>
          </wp:inline>
        </w:drawing>
      </w:r>
    </w:p>
    <w:p w14:paraId="605143F6">
      <w:pPr>
        <w:numPr>
          <w:ilvl w:val="0"/>
          <w:numId w:val="0"/>
        </w:numPr>
        <w:spacing w:line="360" w:lineRule="auto"/>
        <w:jc w:val="left"/>
        <w:outlineLvl w:val="9"/>
        <w:rPr>
          <w:rFonts w:hint="eastAsia" w:eastAsia="宋体"/>
          <w:lang w:eastAsia="zh-CN"/>
        </w:rPr>
      </w:pPr>
      <w:r>
        <w:rPr>
          <w:rFonts w:hint="eastAsia" w:eastAsia="宋体"/>
          <w:lang w:eastAsia="zh-CN"/>
        </w:rPr>
        <w:drawing>
          <wp:inline distT="0" distB="0" distL="114300" distR="114300">
            <wp:extent cx="2649855" cy="2983865"/>
            <wp:effectExtent l="0" t="0" r="17145" b="6985"/>
            <wp:docPr id="33" name="图片 2" descr="0ef91e4498e4866cc9176bc7be18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0ef91e4498e4866cc9176bc7be18a61"/>
                    <pic:cNvPicPr>
                      <a:picLocks noChangeAspect="1"/>
                    </pic:cNvPicPr>
                  </pic:nvPicPr>
                  <pic:blipFill>
                    <a:blip r:embed="rId13"/>
                    <a:stretch>
                      <a:fillRect/>
                    </a:stretch>
                  </pic:blipFill>
                  <pic:spPr>
                    <a:xfrm>
                      <a:off x="0" y="0"/>
                      <a:ext cx="2649855" cy="2983865"/>
                    </a:xfrm>
                    <a:prstGeom prst="rect">
                      <a:avLst/>
                    </a:prstGeom>
                    <a:noFill/>
                    <a:ln>
                      <a:noFill/>
                    </a:ln>
                  </pic:spPr>
                </pic:pic>
              </a:graphicData>
            </a:graphic>
          </wp:inline>
        </w:drawing>
      </w:r>
      <w:r>
        <w:rPr>
          <w:rFonts w:hint="eastAsia" w:eastAsia="宋体"/>
          <w:lang w:eastAsia="zh-CN"/>
        </w:rPr>
        <w:drawing>
          <wp:inline distT="0" distB="0" distL="114300" distR="114300">
            <wp:extent cx="2588895" cy="2986405"/>
            <wp:effectExtent l="0" t="0" r="1905" b="4445"/>
            <wp:docPr id="35" name="图片 3" descr="df33aed5cabfe0984a0c4d23d9c9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df33aed5cabfe0984a0c4d23d9c965d"/>
                    <pic:cNvPicPr>
                      <a:picLocks noChangeAspect="1"/>
                    </pic:cNvPicPr>
                  </pic:nvPicPr>
                  <pic:blipFill>
                    <a:blip r:embed="rId14"/>
                    <a:stretch>
                      <a:fillRect/>
                    </a:stretch>
                  </pic:blipFill>
                  <pic:spPr>
                    <a:xfrm>
                      <a:off x="0" y="0"/>
                      <a:ext cx="2588895" cy="2986405"/>
                    </a:xfrm>
                    <a:prstGeom prst="rect">
                      <a:avLst/>
                    </a:prstGeom>
                    <a:noFill/>
                    <a:ln>
                      <a:noFill/>
                    </a:ln>
                  </pic:spPr>
                </pic:pic>
              </a:graphicData>
            </a:graphic>
          </wp:inline>
        </w:drawing>
      </w:r>
    </w:p>
    <w:p w14:paraId="339F3D0C">
      <w:pPr>
        <w:numPr>
          <w:ilvl w:val="0"/>
          <w:numId w:val="0"/>
        </w:numPr>
        <w:spacing w:line="360" w:lineRule="auto"/>
        <w:jc w:val="left"/>
        <w:outlineLvl w:val="9"/>
        <w:rPr>
          <w:rFonts w:hint="eastAsia" w:eastAsia="宋体"/>
          <w:lang w:eastAsia="zh-CN"/>
        </w:rPr>
      </w:pPr>
      <w:r>
        <w:rPr>
          <w:rFonts w:hint="eastAsia" w:eastAsia="宋体"/>
          <w:lang w:eastAsia="zh-CN"/>
        </w:rPr>
        <w:drawing>
          <wp:inline distT="0" distB="0" distL="114300" distR="114300">
            <wp:extent cx="2675255" cy="1765300"/>
            <wp:effectExtent l="0" t="0" r="10795" b="6350"/>
            <wp:docPr id="36" name="图片 4" descr="b33484f4f2280ae76d3c075bcb17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b33484f4f2280ae76d3c075bcb175d2"/>
                    <pic:cNvPicPr>
                      <a:picLocks noChangeAspect="1"/>
                    </pic:cNvPicPr>
                  </pic:nvPicPr>
                  <pic:blipFill>
                    <a:blip r:embed="rId15"/>
                    <a:stretch>
                      <a:fillRect/>
                    </a:stretch>
                  </pic:blipFill>
                  <pic:spPr>
                    <a:xfrm rot="10800000">
                      <a:off x="0" y="0"/>
                      <a:ext cx="2675255" cy="1765300"/>
                    </a:xfrm>
                    <a:prstGeom prst="rect">
                      <a:avLst/>
                    </a:prstGeom>
                    <a:noFill/>
                    <a:ln>
                      <a:noFill/>
                    </a:ln>
                  </pic:spPr>
                </pic:pic>
              </a:graphicData>
            </a:graphic>
          </wp:inline>
        </w:drawing>
      </w:r>
    </w:p>
    <w:p w14:paraId="395FD5BB">
      <w:pPr>
        <w:numPr>
          <w:ilvl w:val="0"/>
          <w:numId w:val="0"/>
        </w:numPr>
        <w:spacing w:line="360" w:lineRule="auto"/>
        <w:jc w:val="left"/>
        <w:outlineLvl w:val="9"/>
        <w:rPr>
          <w:rFonts w:hint="eastAsia" w:eastAsia="宋体"/>
          <w:lang w:eastAsia="zh-CN"/>
        </w:rPr>
      </w:pPr>
    </w:p>
    <w:p w14:paraId="63A9E832">
      <w:pPr>
        <w:jc w:val="center"/>
        <w:outlineLvl w:val="9"/>
        <w:rPr>
          <w:rFonts w:hint="eastAsia" w:eastAsiaTheme="minorEastAsia"/>
          <w:lang w:eastAsia="zh-CN"/>
        </w:rPr>
      </w:pPr>
    </w:p>
    <w:p w14:paraId="7BF0A1D4">
      <w:pPr>
        <w:jc w:val="both"/>
        <w:outlineLvl w:val="9"/>
        <w:rPr>
          <w:rFonts w:hint="eastAsia" w:eastAsiaTheme="minorEastAsia"/>
          <w:lang w:eastAsia="zh-CN"/>
        </w:rPr>
      </w:pPr>
      <w:r>
        <w:rPr>
          <w:rFonts w:hint="eastAsia" w:ascii="宋体" w:hAnsi="宋体" w:eastAsia="宋体" w:cs="宋体"/>
          <w:b/>
          <w:bCs/>
          <w:sz w:val="24"/>
          <w:szCs w:val="24"/>
          <w:lang w:val="en-US" w:eastAsia="zh-CN"/>
        </w:rPr>
        <w:drawing>
          <wp:inline distT="0" distB="0" distL="114300" distR="114300">
            <wp:extent cx="5828030" cy="5228590"/>
            <wp:effectExtent l="0" t="0" r="10160" b="1270"/>
            <wp:docPr id="49" name="图片 49" descr="175212422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52124229272"/>
                    <pic:cNvPicPr>
                      <a:picLocks noChangeAspect="1"/>
                    </pic:cNvPicPr>
                  </pic:nvPicPr>
                  <pic:blipFill>
                    <a:blip r:embed="rId16"/>
                    <a:stretch>
                      <a:fillRect/>
                    </a:stretch>
                  </pic:blipFill>
                  <pic:spPr>
                    <a:xfrm rot="16200000">
                      <a:off x="0" y="0"/>
                      <a:ext cx="5828030" cy="5228590"/>
                    </a:xfrm>
                    <a:prstGeom prst="rect">
                      <a:avLst/>
                    </a:prstGeom>
                  </pic:spPr>
                </pic:pic>
              </a:graphicData>
            </a:graphic>
          </wp:inline>
        </w:drawing>
      </w:r>
    </w:p>
    <w:p w14:paraId="5A223736">
      <w:pPr>
        <w:jc w:val="center"/>
        <w:outlineLvl w:val="9"/>
        <w:rPr>
          <w:rFonts w:hint="eastAsia" w:eastAsiaTheme="minorEastAsia"/>
          <w:lang w:eastAsia="zh-CN"/>
        </w:rPr>
      </w:pPr>
    </w:p>
    <w:p w14:paraId="47808836">
      <w:pPr>
        <w:jc w:val="both"/>
        <w:outlineLvl w:val="9"/>
        <w:rPr>
          <w:rFonts w:hint="eastAsia" w:eastAsiaTheme="minorEastAsia"/>
          <w:lang w:eastAsia="zh-CN"/>
        </w:rPr>
      </w:pPr>
    </w:p>
    <w:p w14:paraId="0EDCFA57">
      <w:pPr>
        <w:jc w:val="both"/>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625215" cy="5114290"/>
            <wp:effectExtent l="0" t="0" r="10160" b="13335"/>
            <wp:docPr id="58" name="图片 29" descr="e9e7ddf61e519d9e1f6c01aec90f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9" descr="e9e7ddf61e519d9e1f6c01aec90fdca"/>
                    <pic:cNvPicPr>
                      <a:picLocks noChangeAspect="1"/>
                    </pic:cNvPicPr>
                  </pic:nvPicPr>
                  <pic:blipFill>
                    <a:blip r:embed="rId17"/>
                    <a:stretch>
                      <a:fillRect/>
                    </a:stretch>
                  </pic:blipFill>
                  <pic:spPr>
                    <a:xfrm rot="-5400000">
                      <a:off x="0" y="0"/>
                      <a:ext cx="3625215" cy="5114290"/>
                    </a:xfrm>
                    <a:prstGeom prst="rect">
                      <a:avLst/>
                    </a:prstGeom>
                    <a:noFill/>
                    <a:ln>
                      <a:noFill/>
                    </a:ln>
                  </pic:spPr>
                </pic:pic>
              </a:graphicData>
            </a:graphic>
          </wp:inline>
        </w:drawing>
      </w:r>
    </w:p>
    <w:p w14:paraId="603A1DBB">
      <w:pPr>
        <w:jc w:val="both"/>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546350" cy="3830955"/>
            <wp:effectExtent l="0" t="0" r="6350" b="17145"/>
            <wp:docPr id="46" name="图片 30" descr="d5687206c0f253ecc77d1c2c0c5a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descr="d5687206c0f253ecc77d1c2c0c5ae4d"/>
                    <pic:cNvPicPr>
                      <a:picLocks noChangeAspect="1"/>
                    </pic:cNvPicPr>
                  </pic:nvPicPr>
                  <pic:blipFill>
                    <a:blip r:embed="rId18"/>
                    <a:stretch>
                      <a:fillRect/>
                    </a:stretch>
                  </pic:blipFill>
                  <pic:spPr>
                    <a:xfrm>
                      <a:off x="0" y="0"/>
                      <a:ext cx="2546350" cy="3830955"/>
                    </a:xfrm>
                    <a:prstGeom prst="rect">
                      <a:avLst/>
                    </a:prstGeom>
                    <a:noFill/>
                    <a:ln>
                      <a:noFill/>
                    </a:ln>
                  </pic:spPr>
                </pic:pic>
              </a:graphicData>
            </a:graphic>
          </wp:inline>
        </w:drawing>
      </w:r>
      <w:r>
        <w:rPr>
          <w:rFonts w:hint="eastAsia" w:ascii="宋体" w:hAnsi="宋体" w:eastAsia="宋体" w:cs="宋体"/>
          <w:sz w:val="24"/>
          <w:szCs w:val="24"/>
          <w:lang w:eastAsia="zh-CN"/>
        </w:rPr>
        <w:drawing>
          <wp:inline distT="0" distB="0" distL="114300" distR="114300">
            <wp:extent cx="2637790" cy="3813810"/>
            <wp:effectExtent l="0" t="0" r="10160" b="15240"/>
            <wp:docPr id="42" name="图片 31" descr="373abdbdc6c621c56ec9c55ce6da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373abdbdc6c621c56ec9c55ce6da2be"/>
                    <pic:cNvPicPr>
                      <a:picLocks noChangeAspect="1"/>
                    </pic:cNvPicPr>
                  </pic:nvPicPr>
                  <pic:blipFill>
                    <a:blip r:embed="rId19"/>
                    <a:stretch>
                      <a:fillRect/>
                    </a:stretch>
                  </pic:blipFill>
                  <pic:spPr>
                    <a:xfrm>
                      <a:off x="0" y="0"/>
                      <a:ext cx="2637790" cy="3813810"/>
                    </a:xfrm>
                    <a:prstGeom prst="rect">
                      <a:avLst/>
                    </a:prstGeom>
                    <a:noFill/>
                    <a:ln>
                      <a:noFill/>
                    </a:ln>
                  </pic:spPr>
                </pic:pic>
              </a:graphicData>
            </a:graphic>
          </wp:inline>
        </w:drawing>
      </w:r>
    </w:p>
    <w:p w14:paraId="5F2D34AC">
      <w:pPr>
        <w:numPr>
          <w:ilvl w:val="0"/>
          <w:numId w:val="0"/>
        </w:numPr>
        <w:spacing w:line="360" w:lineRule="auto"/>
        <w:jc w:val="left"/>
        <w:outlineLvl w:val="9"/>
        <w:rPr>
          <w:rFonts w:hint="eastAsia" w:eastAsiaTheme="minorEastAsia"/>
          <w:lang w:eastAsia="zh-CN"/>
        </w:rPr>
      </w:pPr>
    </w:p>
    <w:p w14:paraId="39452A6A">
      <w:pPr>
        <w:numPr>
          <w:ilvl w:val="0"/>
          <w:numId w:val="0"/>
        </w:numPr>
        <w:spacing w:line="360" w:lineRule="auto"/>
        <w:jc w:val="left"/>
        <w:outlineLvl w:val="9"/>
        <w:rPr>
          <w:rFonts w:hint="eastAsia" w:ascii="宋体" w:hAnsi="宋体" w:eastAsia="宋体" w:cs="宋体"/>
          <w:sz w:val="24"/>
          <w:szCs w:val="24"/>
          <w:lang w:eastAsia="zh-CN"/>
        </w:rPr>
      </w:pPr>
    </w:p>
    <w:p w14:paraId="39CB5860">
      <w:pPr>
        <w:numPr>
          <w:ilvl w:val="0"/>
          <w:numId w:val="0"/>
        </w:numPr>
        <w:spacing w:line="360" w:lineRule="auto"/>
        <w:jc w:val="left"/>
        <w:outlineLvl w:val="9"/>
        <w:rPr>
          <w:rFonts w:hint="eastAsia" w:eastAsia="宋体"/>
          <w:lang w:eastAsia="zh-CN"/>
        </w:rPr>
      </w:pPr>
    </w:p>
    <w:p w14:paraId="056F026B">
      <w:pPr>
        <w:numPr>
          <w:ilvl w:val="0"/>
          <w:numId w:val="0"/>
        </w:numPr>
        <w:spacing w:line="360" w:lineRule="auto"/>
        <w:jc w:val="left"/>
        <w:outlineLvl w:val="9"/>
        <w:rPr>
          <w:rFonts w:hint="eastAsia" w:eastAsia="宋体"/>
          <w:lang w:eastAsia="zh-CN"/>
        </w:rPr>
      </w:pPr>
    </w:p>
    <w:p w14:paraId="19569270">
      <w:pPr>
        <w:numPr>
          <w:ilvl w:val="0"/>
          <w:numId w:val="0"/>
        </w:numPr>
        <w:spacing w:line="360" w:lineRule="auto"/>
        <w:jc w:val="left"/>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447415" cy="5238115"/>
            <wp:effectExtent l="0" t="0" r="635" b="635"/>
            <wp:docPr id="74" name="图片 16" descr="898b818cf7f59918872665d6968c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descr="898b818cf7f59918872665d6968ceec"/>
                    <pic:cNvPicPr>
                      <a:picLocks noChangeAspect="1"/>
                    </pic:cNvPicPr>
                  </pic:nvPicPr>
                  <pic:blipFill>
                    <a:blip r:embed="rId20"/>
                    <a:stretch>
                      <a:fillRect/>
                    </a:stretch>
                  </pic:blipFill>
                  <pic:spPr>
                    <a:xfrm rot="-5400000">
                      <a:off x="0" y="0"/>
                      <a:ext cx="3447415" cy="5238115"/>
                    </a:xfrm>
                    <a:prstGeom prst="rect">
                      <a:avLst/>
                    </a:prstGeom>
                    <a:noFill/>
                    <a:ln>
                      <a:noFill/>
                    </a:ln>
                  </pic:spPr>
                </pic:pic>
              </a:graphicData>
            </a:graphic>
          </wp:inline>
        </w:drawing>
      </w:r>
    </w:p>
    <w:p w14:paraId="37FAF503">
      <w:pPr>
        <w:numPr>
          <w:ilvl w:val="0"/>
          <w:numId w:val="0"/>
        </w:numPr>
        <w:spacing w:line="360" w:lineRule="auto"/>
        <w:jc w:val="left"/>
        <w:outlineLvl w:val="9"/>
        <w:rPr>
          <w:rFonts w:hint="eastAsia"/>
          <w:lang w:val="en-US" w:eastAsia="zh-CN"/>
        </w:rPr>
      </w:pPr>
      <w:r>
        <w:rPr>
          <w:rFonts w:hint="eastAsia" w:ascii="宋体" w:hAnsi="宋体" w:eastAsia="宋体" w:cs="宋体"/>
          <w:sz w:val="24"/>
          <w:szCs w:val="24"/>
          <w:lang w:eastAsia="zh-CN"/>
        </w:rPr>
        <w:drawing>
          <wp:inline distT="0" distB="0" distL="114300" distR="114300">
            <wp:extent cx="4553585" cy="5293995"/>
            <wp:effectExtent l="0" t="0" r="1905" b="18415"/>
            <wp:docPr id="78" name="图片 17" descr="09a1b8064ccccf720451d3f45f22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descr="09a1b8064ccccf720451d3f45f22dd2"/>
                    <pic:cNvPicPr>
                      <a:picLocks noChangeAspect="1"/>
                    </pic:cNvPicPr>
                  </pic:nvPicPr>
                  <pic:blipFill>
                    <a:blip r:embed="rId21"/>
                    <a:stretch>
                      <a:fillRect/>
                    </a:stretch>
                  </pic:blipFill>
                  <pic:spPr>
                    <a:xfrm rot="-5400000">
                      <a:off x="0" y="0"/>
                      <a:ext cx="4553585" cy="5293995"/>
                    </a:xfrm>
                    <a:prstGeom prst="rect">
                      <a:avLst/>
                    </a:prstGeom>
                    <a:noFill/>
                    <a:ln>
                      <a:noFill/>
                    </a:ln>
                  </pic:spPr>
                </pic:pic>
              </a:graphicData>
            </a:graphic>
          </wp:inline>
        </w:drawing>
      </w:r>
    </w:p>
    <w:p w14:paraId="25974B45">
      <w:pPr>
        <w:numPr>
          <w:ilvl w:val="0"/>
          <w:numId w:val="0"/>
        </w:numPr>
        <w:spacing w:line="360" w:lineRule="auto"/>
        <w:jc w:val="left"/>
        <w:outlineLvl w:val="9"/>
        <w:rPr>
          <w:rFonts w:hint="eastAsia" w:eastAsia="宋体"/>
          <w:lang w:eastAsia="zh-CN"/>
        </w:rPr>
      </w:pPr>
    </w:p>
    <w:p w14:paraId="3CE0B3F9">
      <w:pPr>
        <w:numPr>
          <w:ilvl w:val="0"/>
          <w:numId w:val="0"/>
        </w:numPr>
        <w:spacing w:line="360" w:lineRule="auto"/>
        <w:jc w:val="left"/>
        <w:outlineLvl w:val="9"/>
        <w:rPr>
          <w:rFonts w:hint="eastAsia" w:eastAsia="宋体"/>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70859">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5DBB1">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0A5DBB1">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AEE54">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253D9">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8253D9">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792749"/>
    <w:multiLevelType w:val="singleLevel"/>
    <w:tmpl w:val="84792749"/>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1">
    <w:nsid w:val="8E75E98F"/>
    <w:multiLevelType w:val="singleLevel"/>
    <w:tmpl w:val="8E75E98F"/>
    <w:lvl w:ilvl="0" w:tentative="0">
      <w:start w:val="1"/>
      <w:numFmt w:val="decimal"/>
      <w:suff w:val="nothing"/>
      <w:lvlText w:val="%1．"/>
      <w:lvlJc w:val="left"/>
      <w:pPr>
        <w:ind w:left="0" w:firstLine="283"/>
      </w:pPr>
      <w:rPr>
        <w:rFonts w:hint="default"/>
      </w:rPr>
    </w:lvl>
  </w:abstractNum>
  <w:abstractNum w:abstractNumId="2">
    <w:nsid w:val="9120A770"/>
    <w:multiLevelType w:val="singleLevel"/>
    <w:tmpl w:val="9120A770"/>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3">
    <w:nsid w:val="96958CC2"/>
    <w:multiLevelType w:val="singleLevel"/>
    <w:tmpl w:val="96958CC2"/>
    <w:lvl w:ilvl="0" w:tentative="0">
      <w:start w:val="1"/>
      <w:numFmt w:val="chineseCounting"/>
      <w:suff w:val="nothing"/>
      <w:lvlText w:val="（%1）"/>
      <w:lvlJc w:val="left"/>
      <w:pPr>
        <w:ind w:left="0" w:firstLine="420"/>
      </w:pPr>
      <w:rPr>
        <w:rFonts w:hint="eastAsia"/>
      </w:rPr>
    </w:lvl>
  </w:abstractNum>
  <w:abstractNum w:abstractNumId="4">
    <w:nsid w:val="BCFF41C6"/>
    <w:multiLevelType w:val="singleLevel"/>
    <w:tmpl w:val="BCFF41C6"/>
    <w:lvl w:ilvl="0" w:tentative="0">
      <w:start w:val="1"/>
      <w:numFmt w:val="decimal"/>
      <w:suff w:val="nothing"/>
      <w:lvlText w:val="%1．"/>
      <w:lvlJc w:val="left"/>
      <w:pPr>
        <w:ind w:left="0" w:firstLine="283"/>
      </w:pPr>
      <w:rPr>
        <w:rFonts w:hint="default"/>
      </w:rPr>
    </w:lvl>
  </w:abstractNum>
  <w:abstractNum w:abstractNumId="5">
    <w:nsid w:val="BEB2DF72"/>
    <w:multiLevelType w:val="singleLevel"/>
    <w:tmpl w:val="BEB2DF72"/>
    <w:lvl w:ilvl="0" w:tentative="0">
      <w:start w:val="1"/>
      <w:numFmt w:val="decimal"/>
      <w:suff w:val="nothing"/>
      <w:lvlText w:val="%1．"/>
      <w:lvlJc w:val="left"/>
      <w:pPr>
        <w:ind w:left="0" w:firstLine="283"/>
      </w:pPr>
      <w:rPr>
        <w:rFonts w:hint="default"/>
      </w:rPr>
    </w:lvl>
  </w:abstractNum>
  <w:abstractNum w:abstractNumId="6">
    <w:nsid w:val="C61BCA5F"/>
    <w:multiLevelType w:val="singleLevel"/>
    <w:tmpl w:val="C61BCA5F"/>
    <w:lvl w:ilvl="0" w:tentative="0">
      <w:start w:val="1"/>
      <w:numFmt w:val="chineseCounting"/>
      <w:suff w:val="nothing"/>
      <w:lvlText w:val="（%1）"/>
      <w:lvlJc w:val="left"/>
      <w:pPr>
        <w:ind w:left="0" w:firstLine="283"/>
      </w:pPr>
      <w:rPr>
        <w:rFonts w:hint="eastAsia"/>
      </w:rPr>
    </w:lvl>
  </w:abstractNum>
  <w:abstractNum w:abstractNumId="7">
    <w:nsid w:val="D1A11A07"/>
    <w:multiLevelType w:val="singleLevel"/>
    <w:tmpl w:val="D1A11A07"/>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8">
    <w:nsid w:val="D80349D9"/>
    <w:multiLevelType w:val="singleLevel"/>
    <w:tmpl w:val="D80349D9"/>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9">
    <w:nsid w:val="EEE408AF"/>
    <w:multiLevelType w:val="singleLevel"/>
    <w:tmpl w:val="EEE408AF"/>
    <w:lvl w:ilvl="0" w:tentative="0">
      <w:start w:val="1"/>
      <w:numFmt w:val="chineseCounting"/>
      <w:suff w:val="nothing"/>
      <w:lvlText w:val="（%1）"/>
      <w:lvlJc w:val="left"/>
      <w:pPr>
        <w:ind w:left="0" w:firstLine="283"/>
      </w:pPr>
      <w:rPr>
        <w:rFonts w:hint="eastAsia"/>
      </w:rPr>
    </w:lvl>
  </w:abstractNum>
  <w:abstractNum w:abstractNumId="10">
    <w:nsid w:val="F21E3029"/>
    <w:multiLevelType w:val="singleLevel"/>
    <w:tmpl w:val="F21E3029"/>
    <w:lvl w:ilvl="0" w:tentative="0">
      <w:start w:val="1"/>
      <w:numFmt w:val="decimal"/>
      <w:suff w:val="nothing"/>
      <w:lvlText w:val="%1．"/>
      <w:lvlJc w:val="left"/>
      <w:pPr>
        <w:ind w:left="0" w:firstLine="283"/>
      </w:pPr>
      <w:rPr>
        <w:rFonts w:hint="default"/>
      </w:rPr>
    </w:lvl>
  </w:abstractNum>
  <w:abstractNum w:abstractNumId="11">
    <w:nsid w:val="F5E200A9"/>
    <w:multiLevelType w:val="singleLevel"/>
    <w:tmpl w:val="F5E200A9"/>
    <w:lvl w:ilvl="0" w:tentative="0">
      <w:start w:val="1"/>
      <w:numFmt w:val="decimal"/>
      <w:suff w:val="nothing"/>
      <w:lvlText w:val="(%1)"/>
      <w:lvlJc w:val="left"/>
      <w:pPr>
        <w:ind w:left="454" w:leftChars="0" w:firstLine="113" w:firstLineChars="0"/>
      </w:pPr>
      <w:rPr>
        <w:rFonts w:hint="default"/>
      </w:rPr>
    </w:lvl>
  </w:abstractNum>
  <w:abstractNum w:abstractNumId="12">
    <w:nsid w:val="FAA7161C"/>
    <w:multiLevelType w:val="singleLevel"/>
    <w:tmpl w:val="FAA7161C"/>
    <w:lvl w:ilvl="0" w:tentative="0">
      <w:start w:val="1"/>
      <w:numFmt w:val="decimal"/>
      <w:suff w:val="nothing"/>
      <w:lvlText w:val="%1．"/>
      <w:lvlJc w:val="left"/>
      <w:pPr>
        <w:ind w:left="0" w:firstLine="283"/>
      </w:pPr>
      <w:rPr>
        <w:rFonts w:hint="default"/>
      </w:rPr>
    </w:lvl>
  </w:abstractNum>
  <w:abstractNum w:abstractNumId="13">
    <w:nsid w:val="04A1F076"/>
    <w:multiLevelType w:val="singleLevel"/>
    <w:tmpl w:val="04A1F076"/>
    <w:lvl w:ilvl="0" w:tentative="0">
      <w:start w:val="1"/>
      <w:numFmt w:val="decimal"/>
      <w:suff w:val="nothing"/>
      <w:lvlText w:val="%1．"/>
      <w:lvlJc w:val="left"/>
      <w:pPr>
        <w:ind w:left="0" w:firstLine="283"/>
      </w:pPr>
      <w:rPr>
        <w:rFonts w:hint="default"/>
      </w:rPr>
    </w:lvl>
  </w:abstractNum>
  <w:abstractNum w:abstractNumId="14">
    <w:nsid w:val="0E512FAF"/>
    <w:multiLevelType w:val="singleLevel"/>
    <w:tmpl w:val="0E512FAF"/>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15">
    <w:nsid w:val="217B06E1"/>
    <w:multiLevelType w:val="singleLevel"/>
    <w:tmpl w:val="217B06E1"/>
    <w:lvl w:ilvl="0" w:tentative="0">
      <w:start w:val="1"/>
      <w:numFmt w:val="decimal"/>
      <w:suff w:val="nothing"/>
      <w:lvlText w:val="%1．"/>
      <w:lvlJc w:val="left"/>
      <w:pPr>
        <w:ind w:left="0" w:firstLine="283"/>
      </w:pPr>
      <w:rPr>
        <w:rFonts w:hint="default"/>
      </w:rPr>
    </w:lvl>
  </w:abstractNum>
  <w:abstractNum w:abstractNumId="16">
    <w:nsid w:val="32E3D016"/>
    <w:multiLevelType w:val="singleLevel"/>
    <w:tmpl w:val="32E3D016"/>
    <w:lvl w:ilvl="0" w:tentative="0">
      <w:start w:val="1"/>
      <w:numFmt w:val="decimal"/>
      <w:suff w:val="nothing"/>
      <w:lvlText w:val="%1．"/>
      <w:lvlJc w:val="left"/>
      <w:pPr>
        <w:ind w:left="0" w:firstLine="283"/>
      </w:pPr>
      <w:rPr>
        <w:rFonts w:hint="default"/>
      </w:rPr>
    </w:lvl>
  </w:abstractNum>
  <w:abstractNum w:abstractNumId="17">
    <w:nsid w:val="3C189590"/>
    <w:multiLevelType w:val="singleLevel"/>
    <w:tmpl w:val="3C189590"/>
    <w:lvl w:ilvl="0" w:tentative="0">
      <w:start w:val="1"/>
      <w:numFmt w:val="chineseCounting"/>
      <w:suff w:val="nothing"/>
      <w:lvlText w:val="（%1）"/>
      <w:lvlJc w:val="left"/>
      <w:pPr>
        <w:ind w:left="0" w:firstLine="420"/>
      </w:pPr>
      <w:rPr>
        <w:rFonts w:hint="eastAsia"/>
      </w:rPr>
    </w:lvl>
  </w:abstractNum>
  <w:abstractNum w:abstractNumId="18">
    <w:nsid w:val="3C7AB166"/>
    <w:multiLevelType w:val="singleLevel"/>
    <w:tmpl w:val="3C7AB166"/>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19">
    <w:nsid w:val="4562E2C1"/>
    <w:multiLevelType w:val="singleLevel"/>
    <w:tmpl w:val="4562E2C1"/>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20">
    <w:nsid w:val="470DB356"/>
    <w:multiLevelType w:val="singleLevel"/>
    <w:tmpl w:val="470DB356"/>
    <w:lvl w:ilvl="0" w:tentative="0">
      <w:start w:val="1"/>
      <w:numFmt w:val="chineseCounting"/>
      <w:suff w:val="nothing"/>
      <w:lvlText w:val="（%1）"/>
      <w:lvlJc w:val="left"/>
      <w:pPr>
        <w:ind w:left="0" w:firstLine="283"/>
      </w:pPr>
      <w:rPr>
        <w:rFonts w:hint="eastAsia"/>
      </w:rPr>
    </w:lvl>
  </w:abstractNum>
  <w:abstractNum w:abstractNumId="21">
    <w:nsid w:val="579D219F"/>
    <w:multiLevelType w:val="singleLevel"/>
    <w:tmpl w:val="579D219F"/>
    <w:lvl w:ilvl="0" w:tentative="0">
      <w:start w:val="1"/>
      <w:numFmt w:val="decimal"/>
      <w:suff w:val="nothing"/>
      <w:lvlText w:val="%1．"/>
      <w:lvlJc w:val="left"/>
      <w:pPr>
        <w:ind w:left="0" w:firstLine="283"/>
      </w:pPr>
      <w:rPr>
        <w:rFonts w:hint="default"/>
      </w:rPr>
    </w:lvl>
  </w:abstractNum>
  <w:abstractNum w:abstractNumId="22">
    <w:nsid w:val="584BD54F"/>
    <w:multiLevelType w:val="singleLevel"/>
    <w:tmpl w:val="584BD54F"/>
    <w:lvl w:ilvl="0" w:tentative="0">
      <w:start w:val="1"/>
      <w:numFmt w:val="decimal"/>
      <w:suff w:val="nothing"/>
      <w:lvlText w:val="%1．"/>
      <w:lvlJc w:val="left"/>
      <w:pPr>
        <w:ind w:left="0" w:firstLine="283"/>
      </w:pPr>
      <w:rPr>
        <w:rFonts w:hint="default"/>
      </w:rPr>
    </w:lvl>
  </w:abstractNum>
  <w:abstractNum w:abstractNumId="23">
    <w:nsid w:val="6EC745C2"/>
    <w:multiLevelType w:val="singleLevel"/>
    <w:tmpl w:val="6EC745C2"/>
    <w:lvl w:ilvl="0" w:tentative="0">
      <w:start w:val="1"/>
      <w:numFmt w:val="decimal"/>
      <w:suff w:val="nothing"/>
      <w:lvlText w:val="(%1)"/>
      <w:lvlJc w:val="left"/>
      <w:pPr>
        <w:tabs>
          <w:tab w:val="left" w:pos="0"/>
        </w:tabs>
        <w:ind w:left="454" w:leftChars="0" w:firstLine="113" w:firstLineChars="0"/>
      </w:pPr>
      <w:rPr>
        <w:rFonts w:hint="default"/>
      </w:rPr>
    </w:lvl>
  </w:abstractNum>
  <w:abstractNum w:abstractNumId="24">
    <w:nsid w:val="6EE15D8B"/>
    <w:multiLevelType w:val="singleLevel"/>
    <w:tmpl w:val="6EE15D8B"/>
    <w:lvl w:ilvl="0" w:tentative="0">
      <w:start w:val="1"/>
      <w:numFmt w:val="chineseCounting"/>
      <w:suff w:val="nothing"/>
      <w:lvlText w:val="%1、"/>
      <w:lvlJc w:val="left"/>
      <w:pPr>
        <w:ind w:left="0" w:firstLine="283"/>
      </w:pPr>
      <w:rPr>
        <w:rFonts w:hint="eastAsia"/>
      </w:rPr>
    </w:lvl>
  </w:abstractNum>
  <w:abstractNum w:abstractNumId="25">
    <w:nsid w:val="7D0C4EC2"/>
    <w:multiLevelType w:val="singleLevel"/>
    <w:tmpl w:val="7D0C4EC2"/>
    <w:lvl w:ilvl="0" w:tentative="0">
      <w:start w:val="1"/>
      <w:numFmt w:val="chineseCounting"/>
      <w:suff w:val="nothing"/>
      <w:lvlText w:val="（%1）"/>
      <w:lvlJc w:val="left"/>
      <w:pPr>
        <w:ind w:left="0" w:firstLine="283"/>
      </w:pPr>
      <w:rPr>
        <w:rFonts w:hint="eastAsia"/>
      </w:rPr>
    </w:lvl>
  </w:abstractNum>
  <w:num w:numId="1">
    <w:abstractNumId w:val="24"/>
  </w:num>
  <w:num w:numId="2">
    <w:abstractNumId w:val="25"/>
  </w:num>
  <w:num w:numId="3">
    <w:abstractNumId w:val="10"/>
  </w:num>
  <w:num w:numId="4">
    <w:abstractNumId w:val="4"/>
  </w:num>
  <w:num w:numId="5">
    <w:abstractNumId w:val="12"/>
  </w:num>
  <w:num w:numId="6">
    <w:abstractNumId w:val="22"/>
  </w:num>
  <w:num w:numId="7">
    <w:abstractNumId w:val="5"/>
  </w:num>
  <w:num w:numId="8">
    <w:abstractNumId w:val="0"/>
  </w:num>
  <w:num w:numId="9">
    <w:abstractNumId w:val="18"/>
  </w:num>
  <w:num w:numId="10">
    <w:abstractNumId w:val="14"/>
  </w:num>
  <w:num w:numId="11">
    <w:abstractNumId w:val="17"/>
  </w:num>
  <w:num w:numId="12">
    <w:abstractNumId w:val="15"/>
  </w:num>
  <w:num w:numId="13">
    <w:abstractNumId w:val="11"/>
  </w:num>
  <w:num w:numId="14">
    <w:abstractNumId w:val="2"/>
  </w:num>
  <w:num w:numId="15">
    <w:abstractNumId w:val="8"/>
  </w:num>
  <w:num w:numId="16">
    <w:abstractNumId w:val="21"/>
  </w:num>
  <w:num w:numId="17">
    <w:abstractNumId w:val="23"/>
  </w:num>
  <w:num w:numId="18">
    <w:abstractNumId w:val="19"/>
  </w:num>
  <w:num w:numId="19">
    <w:abstractNumId w:val="7"/>
  </w:num>
  <w:num w:numId="20">
    <w:abstractNumId w:val="6"/>
  </w:num>
  <w:num w:numId="21">
    <w:abstractNumId w:val="1"/>
  </w:num>
  <w:num w:numId="22">
    <w:abstractNumId w:val="3"/>
  </w:num>
  <w:num w:numId="23">
    <w:abstractNumId w:val="16"/>
  </w:num>
  <w:num w:numId="24">
    <w:abstractNumId w:val="13"/>
  </w:num>
  <w:num w:numId="25">
    <w:abstractNumId w:val="2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867"/>
    <w:rsid w:val="000C0867"/>
    <w:rsid w:val="000C1FF9"/>
    <w:rsid w:val="000F0B30"/>
    <w:rsid w:val="001C66E0"/>
    <w:rsid w:val="002B6923"/>
    <w:rsid w:val="00337586"/>
    <w:rsid w:val="006140F3"/>
    <w:rsid w:val="007402CA"/>
    <w:rsid w:val="00847DE1"/>
    <w:rsid w:val="009E5347"/>
    <w:rsid w:val="00A81D22"/>
    <w:rsid w:val="01113D6B"/>
    <w:rsid w:val="01147F82"/>
    <w:rsid w:val="01213882"/>
    <w:rsid w:val="012E59E9"/>
    <w:rsid w:val="014A7E1C"/>
    <w:rsid w:val="01671CF5"/>
    <w:rsid w:val="01714809"/>
    <w:rsid w:val="017D4F5C"/>
    <w:rsid w:val="018067FB"/>
    <w:rsid w:val="018F2EE2"/>
    <w:rsid w:val="01A56261"/>
    <w:rsid w:val="01A85D51"/>
    <w:rsid w:val="01B670FD"/>
    <w:rsid w:val="01C34939"/>
    <w:rsid w:val="01C74429"/>
    <w:rsid w:val="01CC5EE4"/>
    <w:rsid w:val="01E90844"/>
    <w:rsid w:val="01F66ABD"/>
    <w:rsid w:val="02025461"/>
    <w:rsid w:val="02056D00"/>
    <w:rsid w:val="020B6A0C"/>
    <w:rsid w:val="02205A33"/>
    <w:rsid w:val="02317AF5"/>
    <w:rsid w:val="023A109F"/>
    <w:rsid w:val="025D6B3C"/>
    <w:rsid w:val="0281282A"/>
    <w:rsid w:val="02AB3D4B"/>
    <w:rsid w:val="02BD75DA"/>
    <w:rsid w:val="02C170CB"/>
    <w:rsid w:val="02E37041"/>
    <w:rsid w:val="02F74159"/>
    <w:rsid w:val="036C7E22"/>
    <w:rsid w:val="0381685A"/>
    <w:rsid w:val="038E6361"/>
    <w:rsid w:val="03AA6683"/>
    <w:rsid w:val="03C42E7B"/>
    <w:rsid w:val="03C52BEB"/>
    <w:rsid w:val="03D64DF8"/>
    <w:rsid w:val="03F51722"/>
    <w:rsid w:val="03F90AE6"/>
    <w:rsid w:val="03FF60FC"/>
    <w:rsid w:val="040A684F"/>
    <w:rsid w:val="04131BA8"/>
    <w:rsid w:val="041B0A5C"/>
    <w:rsid w:val="043D6C25"/>
    <w:rsid w:val="04785EAF"/>
    <w:rsid w:val="04877EA0"/>
    <w:rsid w:val="0495080F"/>
    <w:rsid w:val="0496193D"/>
    <w:rsid w:val="04C9495C"/>
    <w:rsid w:val="04D56E5D"/>
    <w:rsid w:val="04DD5D12"/>
    <w:rsid w:val="04FA4B16"/>
    <w:rsid w:val="04FD0162"/>
    <w:rsid w:val="051A0D14"/>
    <w:rsid w:val="05263B5D"/>
    <w:rsid w:val="05341DD6"/>
    <w:rsid w:val="05366591"/>
    <w:rsid w:val="05404C1F"/>
    <w:rsid w:val="05444DBA"/>
    <w:rsid w:val="05500BDA"/>
    <w:rsid w:val="0579711A"/>
    <w:rsid w:val="058434AC"/>
    <w:rsid w:val="05942874"/>
    <w:rsid w:val="0596483F"/>
    <w:rsid w:val="05B253F0"/>
    <w:rsid w:val="05EA2DDC"/>
    <w:rsid w:val="05EF21A1"/>
    <w:rsid w:val="062416F2"/>
    <w:rsid w:val="062E69A3"/>
    <w:rsid w:val="063D5A74"/>
    <w:rsid w:val="06563FCE"/>
    <w:rsid w:val="065F7326"/>
    <w:rsid w:val="067B57E2"/>
    <w:rsid w:val="068F128E"/>
    <w:rsid w:val="06A50AB1"/>
    <w:rsid w:val="06A92350"/>
    <w:rsid w:val="06A92994"/>
    <w:rsid w:val="06AA0E3B"/>
    <w:rsid w:val="06C3547C"/>
    <w:rsid w:val="06DA075B"/>
    <w:rsid w:val="06E14CBE"/>
    <w:rsid w:val="06EB0BBA"/>
    <w:rsid w:val="07001B9F"/>
    <w:rsid w:val="070752C8"/>
    <w:rsid w:val="07117EF5"/>
    <w:rsid w:val="0721638A"/>
    <w:rsid w:val="072E6CF9"/>
    <w:rsid w:val="073B0764"/>
    <w:rsid w:val="07560BB3"/>
    <w:rsid w:val="07577FFE"/>
    <w:rsid w:val="075D3328"/>
    <w:rsid w:val="076B1CFB"/>
    <w:rsid w:val="076D719D"/>
    <w:rsid w:val="07724E37"/>
    <w:rsid w:val="07A67CEE"/>
    <w:rsid w:val="07BB058C"/>
    <w:rsid w:val="07DE7496"/>
    <w:rsid w:val="07EA2C20"/>
    <w:rsid w:val="0822060B"/>
    <w:rsid w:val="083E3B3E"/>
    <w:rsid w:val="08484D29"/>
    <w:rsid w:val="085C2FC2"/>
    <w:rsid w:val="086329D2"/>
    <w:rsid w:val="088C1544"/>
    <w:rsid w:val="08B03E69"/>
    <w:rsid w:val="08BB636A"/>
    <w:rsid w:val="08F61060"/>
    <w:rsid w:val="08F71A98"/>
    <w:rsid w:val="090D12BC"/>
    <w:rsid w:val="091C2D23"/>
    <w:rsid w:val="091D0DD3"/>
    <w:rsid w:val="09526CCE"/>
    <w:rsid w:val="095A5B83"/>
    <w:rsid w:val="095D5673"/>
    <w:rsid w:val="09622C8A"/>
    <w:rsid w:val="097A7FD3"/>
    <w:rsid w:val="097D1872"/>
    <w:rsid w:val="09840E52"/>
    <w:rsid w:val="09A129E2"/>
    <w:rsid w:val="09B44D0D"/>
    <w:rsid w:val="09C37574"/>
    <w:rsid w:val="09CD56F5"/>
    <w:rsid w:val="0A0B50CF"/>
    <w:rsid w:val="0A110938"/>
    <w:rsid w:val="0A2E773B"/>
    <w:rsid w:val="0A391C3C"/>
    <w:rsid w:val="0A3B43C5"/>
    <w:rsid w:val="0A4B68D5"/>
    <w:rsid w:val="0A4C0BBE"/>
    <w:rsid w:val="0A6749FB"/>
    <w:rsid w:val="0A690774"/>
    <w:rsid w:val="0A851326"/>
    <w:rsid w:val="0A8F7AAE"/>
    <w:rsid w:val="0A92134D"/>
    <w:rsid w:val="0AA92B28"/>
    <w:rsid w:val="0AB45767"/>
    <w:rsid w:val="0ABA0FCF"/>
    <w:rsid w:val="0AC751CA"/>
    <w:rsid w:val="0AC91212"/>
    <w:rsid w:val="0AD41965"/>
    <w:rsid w:val="0AD61B81"/>
    <w:rsid w:val="0B1701D0"/>
    <w:rsid w:val="0B1A1A6E"/>
    <w:rsid w:val="0B1F7084"/>
    <w:rsid w:val="0B275F39"/>
    <w:rsid w:val="0B420FC5"/>
    <w:rsid w:val="0B50723E"/>
    <w:rsid w:val="0B8B471A"/>
    <w:rsid w:val="0B923CFA"/>
    <w:rsid w:val="0BAD28F8"/>
    <w:rsid w:val="0BAE0408"/>
    <w:rsid w:val="0BB91287"/>
    <w:rsid w:val="0BCF2858"/>
    <w:rsid w:val="0BE8099C"/>
    <w:rsid w:val="0BE81B6C"/>
    <w:rsid w:val="0C0F70F9"/>
    <w:rsid w:val="0C116D7F"/>
    <w:rsid w:val="0C453C16"/>
    <w:rsid w:val="0C5745FC"/>
    <w:rsid w:val="0C5E1E3B"/>
    <w:rsid w:val="0C7E602C"/>
    <w:rsid w:val="0CAF4DB7"/>
    <w:rsid w:val="0CB72B04"/>
    <w:rsid w:val="0CCC323C"/>
    <w:rsid w:val="0CF14A50"/>
    <w:rsid w:val="0CF54541"/>
    <w:rsid w:val="0CF85DDF"/>
    <w:rsid w:val="0D002EE5"/>
    <w:rsid w:val="0D076022"/>
    <w:rsid w:val="0D183D8B"/>
    <w:rsid w:val="0D1B387B"/>
    <w:rsid w:val="0D4C1C87"/>
    <w:rsid w:val="0D755681"/>
    <w:rsid w:val="0D935B07"/>
    <w:rsid w:val="0DC9777B"/>
    <w:rsid w:val="0DE057BE"/>
    <w:rsid w:val="0DF62C9E"/>
    <w:rsid w:val="0E0A5DCA"/>
    <w:rsid w:val="0E107158"/>
    <w:rsid w:val="0E172E1A"/>
    <w:rsid w:val="0E1F739B"/>
    <w:rsid w:val="0E344BF5"/>
    <w:rsid w:val="0E370B89"/>
    <w:rsid w:val="0E407A3D"/>
    <w:rsid w:val="0E460DCC"/>
    <w:rsid w:val="0E52151F"/>
    <w:rsid w:val="0E7B4E57"/>
    <w:rsid w:val="0E807E3A"/>
    <w:rsid w:val="0E90420D"/>
    <w:rsid w:val="0EA37FCC"/>
    <w:rsid w:val="0EC67FEA"/>
    <w:rsid w:val="0EC95C85"/>
    <w:rsid w:val="0F113188"/>
    <w:rsid w:val="0F1D151B"/>
    <w:rsid w:val="0F1D7D7F"/>
    <w:rsid w:val="0F307AB2"/>
    <w:rsid w:val="0F3663A5"/>
    <w:rsid w:val="0F53507C"/>
    <w:rsid w:val="0F7A0D2D"/>
    <w:rsid w:val="0F87344A"/>
    <w:rsid w:val="0F9569FD"/>
    <w:rsid w:val="0FAE09D7"/>
    <w:rsid w:val="0FC41FA8"/>
    <w:rsid w:val="0FCB3337"/>
    <w:rsid w:val="0FDF7A3C"/>
    <w:rsid w:val="0FE73EE9"/>
    <w:rsid w:val="0FEF171B"/>
    <w:rsid w:val="100E76C7"/>
    <w:rsid w:val="101160FE"/>
    <w:rsid w:val="10433815"/>
    <w:rsid w:val="1054157E"/>
    <w:rsid w:val="10703EDE"/>
    <w:rsid w:val="1074577C"/>
    <w:rsid w:val="107F5B03"/>
    <w:rsid w:val="1088747A"/>
    <w:rsid w:val="10A5002C"/>
    <w:rsid w:val="10AC0267"/>
    <w:rsid w:val="10AF4A06"/>
    <w:rsid w:val="10B244F7"/>
    <w:rsid w:val="10CD7582"/>
    <w:rsid w:val="10D66437"/>
    <w:rsid w:val="10D91A83"/>
    <w:rsid w:val="10E024DA"/>
    <w:rsid w:val="10EA0134"/>
    <w:rsid w:val="10F60887"/>
    <w:rsid w:val="11276C93"/>
    <w:rsid w:val="112F5B47"/>
    <w:rsid w:val="114A0BD3"/>
    <w:rsid w:val="117543FD"/>
    <w:rsid w:val="11967974"/>
    <w:rsid w:val="119F6ECC"/>
    <w:rsid w:val="11A902D3"/>
    <w:rsid w:val="11B04EDA"/>
    <w:rsid w:val="11FF551A"/>
    <w:rsid w:val="1226519C"/>
    <w:rsid w:val="124D44D7"/>
    <w:rsid w:val="124F62EA"/>
    <w:rsid w:val="12851EC3"/>
    <w:rsid w:val="129739A4"/>
    <w:rsid w:val="12C10A21"/>
    <w:rsid w:val="12D93FBD"/>
    <w:rsid w:val="12ED1816"/>
    <w:rsid w:val="13255454"/>
    <w:rsid w:val="13257202"/>
    <w:rsid w:val="13477178"/>
    <w:rsid w:val="135B2C24"/>
    <w:rsid w:val="13637D2A"/>
    <w:rsid w:val="13887774"/>
    <w:rsid w:val="13914897"/>
    <w:rsid w:val="13B16CE7"/>
    <w:rsid w:val="13C62793"/>
    <w:rsid w:val="13CE33F5"/>
    <w:rsid w:val="13DD188A"/>
    <w:rsid w:val="13E0137B"/>
    <w:rsid w:val="13E97311"/>
    <w:rsid w:val="13EC7D20"/>
    <w:rsid w:val="14072DAB"/>
    <w:rsid w:val="14074B59"/>
    <w:rsid w:val="140C2170"/>
    <w:rsid w:val="14157276"/>
    <w:rsid w:val="141A488D"/>
    <w:rsid w:val="141D14AB"/>
    <w:rsid w:val="1424570B"/>
    <w:rsid w:val="1433594E"/>
    <w:rsid w:val="14343DE1"/>
    <w:rsid w:val="143C0B97"/>
    <w:rsid w:val="144933C4"/>
    <w:rsid w:val="147C10A3"/>
    <w:rsid w:val="148B12E6"/>
    <w:rsid w:val="149C34F4"/>
    <w:rsid w:val="14AE7A5B"/>
    <w:rsid w:val="14C111AC"/>
    <w:rsid w:val="14CB5B87"/>
    <w:rsid w:val="14D62EA9"/>
    <w:rsid w:val="14DE1D5E"/>
    <w:rsid w:val="14E86739"/>
    <w:rsid w:val="14ED3D4F"/>
    <w:rsid w:val="14EF7AC7"/>
    <w:rsid w:val="15035321"/>
    <w:rsid w:val="150D2643"/>
    <w:rsid w:val="152359C3"/>
    <w:rsid w:val="1528122B"/>
    <w:rsid w:val="153B4ABB"/>
    <w:rsid w:val="154F0566"/>
    <w:rsid w:val="155E4C4D"/>
    <w:rsid w:val="156E1ACB"/>
    <w:rsid w:val="15724254"/>
    <w:rsid w:val="158226E9"/>
    <w:rsid w:val="159863B1"/>
    <w:rsid w:val="15CC1BB7"/>
    <w:rsid w:val="15E05662"/>
    <w:rsid w:val="15EA0BE7"/>
    <w:rsid w:val="16034ADC"/>
    <w:rsid w:val="161D2B21"/>
    <w:rsid w:val="16270B89"/>
    <w:rsid w:val="16380D23"/>
    <w:rsid w:val="164200CB"/>
    <w:rsid w:val="164976AB"/>
    <w:rsid w:val="165825D9"/>
    <w:rsid w:val="166C5148"/>
    <w:rsid w:val="169C3C7F"/>
    <w:rsid w:val="16AE5760"/>
    <w:rsid w:val="16CC1B8F"/>
    <w:rsid w:val="16DA6555"/>
    <w:rsid w:val="16E11692"/>
    <w:rsid w:val="16F05D79"/>
    <w:rsid w:val="16F5513D"/>
    <w:rsid w:val="1700420E"/>
    <w:rsid w:val="17125CEF"/>
    <w:rsid w:val="1719707D"/>
    <w:rsid w:val="171E28E6"/>
    <w:rsid w:val="172779EC"/>
    <w:rsid w:val="1732013F"/>
    <w:rsid w:val="17326502"/>
    <w:rsid w:val="175E6B6A"/>
    <w:rsid w:val="176A5B2B"/>
    <w:rsid w:val="177249E0"/>
    <w:rsid w:val="17780248"/>
    <w:rsid w:val="177E005E"/>
    <w:rsid w:val="17855360"/>
    <w:rsid w:val="17885FB1"/>
    <w:rsid w:val="17C074F9"/>
    <w:rsid w:val="17DD00AB"/>
    <w:rsid w:val="17E21B65"/>
    <w:rsid w:val="17E551B2"/>
    <w:rsid w:val="182061EA"/>
    <w:rsid w:val="18226406"/>
    <w:rsid w:val="183C74C7"/>
    <w:rsid w:val="184B14B9"/>
    <w:rsid w:val="186055AA"/>
    <w:rsid w:val="186662F2"/>
    <w:rsid w:val="189A41EE"/>
    <w:rsid w:val="18B0756E"/>
    <w:rsid w:val="18D53478"/>
    <w:rsid w:val="18D55226"/>
    <w:rsid w:val="18D56FD4"/>
    <w:rsid w:val="18F7519C"/>
    <w:rsid w:val="18FC27B3"/>
    <w:rsid w:val="190873AA"/>
    <w:rsid w:val="192166BD"/>
    <w:rsid w:val="192F0DDA"/>
    <w:rsid w:val="19306900"/>
    <w:rsid w:val="194D74B2"/>
    <w:rsid w:val="195C664E"/>
    <w:rsid w:val="195E6FCA"/>
    <w:rsid w:val="199C5D44"/>
    <w:rsid w:val="19BB08C0"/>
    <w:rsid w:val="19E020D4"/>
    <w:rsid w:val="19EF056A"/>
    <w:rsid w:val="1A1D6E85"/>
    <w:rsid w:val="1A1F2BFD"/>
    <w:rsid w:val="1A3B730B"/>
    <w:rsid w:val="1A400DC5"/>
    <w:rsid w:val="1A475CB0"/>
    <w:rsid w:val="1A6F3E61"/>
    <w:rsid w:val="1A703458"/>
    <w:rsid w:val="1A7078A3"/>
    <w:rsid w:val="1A7171D0"/>
    <w:rsid w:val="1A734CF7"/>
    <w:rsid w:val="1A8A3DEE"/>
    <w:rsid w:val="1A8B0292"/>
    <w:rsid w:val="1A8B2040"/>
    <w:rsid w:val="1A9D7FC6"/>
    <w:rsid w:val="1AB64489"/>
    <w:rsid w:val="1AB772D9"/>
    <w:rsid w:val="1AC217DA"/>
    <w:rsid w:val="1AD02149"/>
    <w:rsid w:val="1AD02CD6"/>
    <w:rsid w:val="1AD25EC1"/>
    <w:rsid w:val="1AD31C39"/>
    <w:rsid w:val="1AD74E81"/>
    <w:rsid w:val="1ADA2FC8"/>
    <w:rsid w:val="1ADE4866"/>
    <w:rsid w:val="1AE41750"/>
    <w:rsid w:val="1AFC2F3E"/>
    <w:rsid w:val="1B132036"/>
    <w:rsid w:val="1B1A1616"/>
    <w:rsid w:val="1B1C713C"/>
    <w:rsid w:val="1B3D4DCF"/>
    <w:rsid w:val="1B3E5305"/>
    <w:rsid w:val="1B527002"/>
    <w:rsid w:val="1B6D5BEA"/>
    <w:rsid w:val="1B762CF0"/>
    <w:rsid w:val="1B7725C5"/>
    <w:rsid w:val="1B965141"/>
    <w:rsid w:val="1BA17641"/>
    <w:rsid w:val="1BA535D6"/>
    <w:rsid w:val="1BAB346D"/>
    <w:rsid w:val="1BAF1D5E"/>
    <w:rsid w:val="1BAF6202"/>
    <w:rsid w:val="1BB0004C"/>
    <w:rsid w:val="1BC03F6C"/>
    <w:rsid w:val="1BDB348B"/>
    <w:rsid w:val="1BDE4B20"/>
    <w:rsid w:val="1BEE0E14"/>
    <w:rsid w:val="1BF57933"/>
    <w:rsid w:val="1BF9747E"/>
    <w:rsid w:val="1C0227D6"/>
    <w:rsid w:val="1C0A3439"/>
    <w:rsid w:val="1C2A3ADB"/>
    <w:rsid w:val="1C400211"/>
    <w:rsid w:val="1C5823F6"/>
    <w:rsid w:val="1C654B13"/>
    <w:rsid w:val="1C6D1D6F"/>
    <w:rsid w:val="1C896A53"/>
    <w:rsid w:val="1CA05B4B"/>
    <w:rsid w:val="1CA13D9D"/>
    <w:rsid w:val="1CA707BF"/>
    <w:rsid w:val="1CAC0AFE"/>
    <w:rsid w:val="1CD221A8"/>
    <w:rsid w:val="1CDB6B83"/>
    <w:rsid w:val="1CE04199"/>
    <w:rsid w:val="1D0165EA"/>
    <w:rsid w:val="1D0205B4"/>
    <w:rsid w:val="1D0600A4"/>
    <w:rsid w:val="1D1A58FD"/>
    <w:rsid w:val="1D2D73DF"/>
    <w:rsid w:val="1D3C3AC6"/>
    <w:rsid w:val="1D436C02"/>
    <w:rsid w:val="1D444728"/>
    <w:rsid w:val="1D7F39B2"/>
    <w:rsid w:val="1DAA4ED3"/>
    <w:rsid w:val="1DAD49C3"/>
    <w:rsid w:val="1DB0562C"/>
    <w:rsid w:val="1DD91315"/>
    <w:rsid w:val="1DF3687A"/>
    <w:rsid w:val="1E0839A8"/>
    <w:rsid w:val="1E0A7720"/>
    <w:rsid w:val="1E157818"/>
    <w:rsid w:val="1E360515"/>
    <w:rsid w:val="1E3D7AF5"/>
    <w:rsid w:val="1E3E561C"/>
    <w:rsid w:val="1E674B72"/>
    <w:rsid w:val="1E85324A"/>
    <w:rsid w:val="1EA5569B"/>
    <w:rsid w:val="1EC10726"/>
    <w:rsid w:val="1ECE5E00"/>
    <w:rsid w:val="1ED815CC"/>
    <w:rsid w:val="1EE47F71"/>
    <w:rsid w:val="1EF04B68"/>
    <w:rsid w:val="1EF67CA4"/>
    <w:rsid w:val="1EFF124F"/>
    <w:rsid w:val="1F114ADE"/>
    <w:rsid w:val="1F2F3AFD"/>
    <w:rsid w:val="1F635CD3"/>
    <w:rsid w:val="1F6414BC"/>
    <w:rsid w:val="1F6E5593"/>
    <w:rsid w:val="1F891D47"/>
    <w:rsid w:val="1F9D6372"/>
    <w:rsid w:val="1FB042F7"/>
    <w:rsid w:val="1FBC4A4A"/>
    <w:rsid w:val="1FD559D6"/>
    <w:rsid w:val="1FDA1374"/>
    <w:rsid w:val="1FEB3581"/>
    <w:rsid w:val="1FFC753C"/>
    <w:rsid w:val="201956D2"/>
    <w:rsid w:val="202C7E22"/>
    <w:rsid w:val="202D1DEC"/>
    <w:rsid w:val="20651585"/>
    <w:rsid w:val="207B2B57"/>
    <w:rsid w:val="20943C19"/>
    <w:rsid w:val="209C3CC7"/>
    <w:rsid w:val="20A43E5C"/>
    <w:rsid w:val="20B971DB"/>
    <w:rsid w:val="20C938C2"/>
    <w:rsid w:val="20E701EC"/>
    <w:rsid w:val="20F36B91"/>
    <w:rsid w:val="210466A8"/>
    <w:rsid w:val="211508B6"/>
    <w:rsid w:val="21352D06"/>
    <w:rsid w:val="213827F6"/>
    <w:rsid w:val="213F3B84"/>
    <w:rsid w:val="21466CC1"/>
    <w:rsid w:val="216E446A"/>
    <w:rsid w:val="217A2E0F"/>
    <w:rsid w:val="218E2416"/>
    <w:rsid w:val="2190618E"/>
    <w:rsid w:val="21921F06"/>
    <w:rsid w:val="21B05C47"/>
    <w:rsid w:val="220821C8"/>
    <w:rsid w:val="22260B74"/>
    <w:rsid w:val="22521696"/>
    <w:rsid w:val="229972C4"/>
    <w:rsid w:val="22A94701"/>
    <w:rsid w:val="22B1460E"/>
    <w:rsid w:val="22B91715"/>
    <w:rsid w:val="22CC769A"/>
    <w:rsid w:val="22E91FFA"/>
    <w:rsid w:val="22F369D5"/>
    <w:rsid w:val="22FD5AA5"/>
    <w:rsid w:val="2322375E"/>
    <w:rsid w:val="232304AB"/>
    <w:rsid w:val="23627FFE"/>
    <w:rsid w:val="23716C7F"/>
    <w:rsid w:val="237D2742"/>
    <w:rsid w:val="23A221A9"/>
    <w:rsid w:val="23AE0B4E"/>
    <w:rsid w:val="23D507D0"/>
    <w:rsid w:val="23E665D8"/>
    <w:rsid w:val="23E97DD8"/>
    <w:rsid w:val="23EB3B50"/>
    <w:rsid w:val="24015121"/>
    <w:rsid w:val="241B595C"/>
    <w:rsid w:val="24247062"/>
    <w:rsid w:val="24480FA2"/>
    <w:rsid w:val="2466767A"/>
    <w:rsid w:val="247753E3"/>
    <w:rsid w:val="249A5EC0"/>
    <w:rsid w:val="249B37C8"/>
    <w:rsid w:val="24A26904"/>
    <w:rsid w:val="24A51F50"/>
    <w:rsid w:val="24B60AEF"/>
    <w:rsid w:val="24BC54EC"/>
    <w:rsid w:val="252951AB"/>
    <w:rsid w:val="25331C52"/>
    <w:rsid w:val="25551BC9"/>
    <w:rsid w:val="258129BE"/>
    <w:rsid w:val="25816870"/>
    <w:rsid w:val="259A75DB"/>
    <w:rsid w:val="25C2583D"/>
    <w:rsid w:val="25C74149"/>
    <w:rsid w:val="25D845A8"/>
    <w:rsid w:val="25FF1B34"/>
    <w:rsid w:val="260B04D9"/>
    <w:rsid w:val="260B2287"/>
    <w:rsid w:val="26445799"/>
    <w:rsid w:val="264D6D44"/>
    <w:rsid w:val="265F25D3"/>
    <w:rsid w:val="26640EB0"/>
    <w:rsid w:val="266B541C"/>
    <w:rsid w:val="266F0A68"/>
    <w:rsid w:val="267F67D1"/>
    <w:rsid w:val="26865DB2"/>
    <w:rsid w:val="268B161A"/>
    <w:rsid w:val="269229A8"/>
    <w:rsid w:val="26A050C5"/>
    <w:rsid w:val="270D202F"/>
    <w:rsid w:val="270E64D3"/>
    <w:rsid w:val="272572B8"/>
    <w:rsid w:val="27392E24"/>
    <w:rsid w:val="275F0ADD"/>
    <w:rsid w:val="27676541"/>
    <w:rsid w:val="27765E26"/>
    <w:rsid w:val="2785627E"/>
    <w:rsid w:val="27A504B9"/>
    <w:rsid w:val="27BD5803"/>
    <w:rsid w:val="27CE7A10"/>
    <w:rsid w:val="27D17500"/>
    <w:rsid w:val="27D8088F"/>
    <w:rsid w:val="27D8263D"/>
    <w:rsid w:val="27F52646"/>
    <w:rsid w:val="282C4737"/>
    <w:rsid w:val="2832351A"/>
    <w:rsid w:val="28390070"/>
    <w:rsid w:val="28407F43"/>
    <w:rsid w:val="289160F1"/>
    <w:rsid w:val="28962913"/>
    <w:rsid w:val="28D9041B"/>
    <w:rsid w:val="28F60FCD"/>
    <w:rsid w:val="290F6532"/>
    <w:rsid w:val="29114058"/>
    <w:rsid w:val="292D0766"/>
    <w:rsid w:val="2936586D"/>
    <w:rsid w:val="294206B6"/>
    <w:rsid w:val="294837F2"/>
    <w:rsid w:val="294F4B81"/>
    <w:rsid w:val="2973261D"/>
    <w:rsid w:val="29752839"/>
    <w:rsid w:val="298365D8"/>
    <w:rsid w:val="298E7457"/>
    <w:rsid w:val="29954C89"/>
    <w:rsid w:val="299B7DC6"/>
    <w:rsid w:val="29A70519"/>
    <w:rsid w:val="29AF73CD"/>
    <w:rsid w:val="29CE0B43"/>
    <w:rsid w:val="29D532D8"/>
    <w:rsid w:val="29E21551"/>
    <w:rsid w:val="2A013806"/>
    <w:rsid w:val="2A1F27A5"/>
    <w:rsid w:val="2A24600D"/>
    <w:rsid w:val="2A385615"/>
    <w:rsid w:val="2A3C6EB3"/>
    <w:rsid w:val="2A3D2C2B"/>
    <w:rsid w:val="2A3D52C3"/>
    <w:rsid w:val="2A571F3F"/>
    <w:rsid w:val="2A6A6763"/>
    <w:rsid w:val="2A6E5995"/>
    <w:rsid w:val="2A742AF1"/>
    <w:rsid w:val="2A9211C9"/>
    <w:rsid w:val="2A97058D"/>
    <w:rsid w:val="2A9A4E2A"/>
    <w:rsid w:val="2A9D0465"/>
    <w:rsid w:val="2AC86999"/>
    <w:rsid w:val="2AC944BF"/>
    <w:rsid w:val="2AD03A9F"/>
    <w:rsid w:val="2AD4533E"/>
    <w:rsid w:val="2AE00186"/>
    <w:rsid w:val="2AF05EF0"/>
    <w:rsid w:val="2AF3793F"/>
    <w:rsid w:val="2B0B4BEC"/>
    <w:rsid w:val="2B33475A"/>
    <w:rsid w:val="2B5B251A"/>
    <w:rsid w:val="2B8A00F2"/>
    <w:rsid w:val="2B8E1990"/>
    <w:rsid w:val="2B91322F"/>
    <w:rsid w:val="2B940F71"/>
    <w:rsid w:val="2BE9306B"/>
    <w:rsid w:val="2BEB7E79"/>
    <w:rsid w:val="2BF8505C"/>
    <w:rsid w:val="2C153E60"/>
    <w:rsid w:val="2C1A1476"/>
    <w:rsid w:val="2C644D88"/>
    <w:rsid w:val="2C730869"/>
    <w:rsid w:val="2C78619D"/>
    <w:rsid w:val="2C7D1A05"/>
    <w:rsid w:val="2C7F39CF"/>
    <w:rsid w:val="2C9E07BF"/>
    <w:rsid w:val="2CA93F14"/>
    <w:rsid w:val="2CB371D5"/>
    <w:rsid w:val="2CB73169"/>
    <w:rsid w:val="2CBD002B"/>
    <w:rsid w:val="2CD63007"/>
    <w:rsid w:val="2CDA259B"/>
    <w:rsid w:val="2D117FD0"/>
    <w:rsid w:val="2D1C121E"/>
    <w:rsid w:val="2D281971"/>
    <w:rsid w:val="2D2E06FF"/>
    <w:rsid w:val="2D381875"/>
    <w:rsid w:val="2D4D587B"/>
    <w:rsid w:val="2D542766"/>
    <w:rsid w:val="2D652BC5"/>
    <w:rsid w:val="2D662499"/>
    <w:rsid w:val="2D9B2143"/>
    <w:rsid w:val="2DB06018"/>
    <w:rsid w:val="2DB31B82"/>
    <w:rsid w:val="2DB9081B"/>
    <w:rsid w:val="2DE57862"/>
    <w:rsid w:val="2DF126AA"/>
    <w:rsid w:val="2DF16206"/>
    <w:rsid w:val="2E020414"/>
    <w:rsid w:val="2E176CC6"/>
    <w:rsid w:val="2E19750B"/>
    <w:rsid w:val="2E232138"/>
    <w:rsid w:val="2E424CB4"/>
    <w:rsid w:val="2E5A3DAC"/>
    <w:rsid w:val="2E6469D8"/>
    <w:rsid w:val="2E7F3812"/>
    <w:rsid w:val="2E9123FA"/>
    <w:rsid w:val="2EA65243"/>
    <w:rsid w:val="2EB07E70"/>
    <w:rsid w:val="2EBC6814"/>
    <w:rsid w:val="2EBF6305"/>
    <w:rsid w:val="2EDA6C9B"/>
    <w:rsid w:val="2EE47B19"/>
    <w:rsid w:val="2EF02E46"/>
    <w:rsid w:val="2F176141"/>
    <w:rsid w:val="2F397E65"/>
    <w:rsid w:val="2F4131BE"/>
    <w:rsid w:val="2F601896"/>
    <w:rsid w:val="2F745341"/>
    <w:rsid w:val="2F8203D8"/>
    <w:rsid w:val="2F8F217B"/>
    <w:rsid w:val="2F9608AC"/>
    <w:rsid w:val="2F9B467C"/>
    <w:rsid w:val="2FA23C5C"/>
    <w:rsid w:val="2FB76905"/>
    <w:rsid w:val="2FC11CA2"/>
    <w:rsid w:val="2FDB0F1C"/>
    <w:rsid w:val="2FF224B1"/>
    <w:rsid w:val="2FFD5337"/>
    <w:rsid w:val="30030473"/>
    <w:rsid w:val="300F506A"/>
    <w:rsid w:val="30134B5A"/>
    <w:rsid w:val="304B15AE"/>
    <w:rsid w:val="30630D3B"/>
    <w:rsid w:val="30766E97"/>
    <w:rsid w:val="309F1F4A"/>
    <w:rsid w:val="30A752A2"/>
    <w:rsid w:val="30B11C7D"/>
    <w:rsid w:val="30BE2D79"/>
    <w:rsid w:val="30E65DCB"/>
    <w:rsid w:val="30F5600E"/>
    <w:rsid w:val="3102072B"/>
    <w:rsid w:val="31152A96"/>
    <w:rsid w:val="311C359A"/>
    <w:rsid w:val="31305298"/>
    <w:rsid w:val="3150593A"/>
    <w:rsid w:val="315C608D"/>
    <w:rsid w:val="31750EFD"/>
    <w:rsid w:val="31774C75"/>
    <w:rsid w:val="318B6972"/>
    <w:rsid w:val="31C12394"/>
    <w:rsid w:val="31C26E13"/>
    <w:rsid w:val="31D9148B"/>
    <w:rsid w:val="31E16592"/>
    <w:rsid w:val="31FB58A6"/>
    <w:rsid w:val="320F30FF"/>
    <w:rsid w:val="32221055"/>
    <w:rsid w:val="32650F71"/>
    <w:rsid w:val="326D0CD8"/>
    <w:rsid w:val="32852B12"/>
    <w:rsid w:val="32B12408"/>
    <w:rsid w:val="32C263C3"/>
    <w:rsid w:val="32C82924"/>
    <w:rsid w:val="32D560F7"/>
    <w:rsid w:val="32D950B1"/>
    <w:rsid w:val="330B1B18"/>
    <w:rsid w:val="331F746E"/>
    <w:rsid w:val="33484B1B"/>
    <w:rsid w:val="334943EF"/>
    <w:rsid w:val="334E7C57"/>
    <w:rsid w:val="335A2AA0"/>
    <w:rsid w:val="33650773"/>
    <w:rsid w:val="336D4581"/>
    <w:rsid w:val="33723946"/>
    <w:rsid w:val="337B5998"/>
    <w:rsid w:val="337D3F2D"/>
    <w:rsid w:val="338246ED"/>
    <w:rsid w:val="339A2E9C"/>
    <w:rsid w:val="33CB12A8"/>
    <w:rsid w:val="33D211D0"/>
    <w:rsid w:val="33E660E2"/>
    <w:rsid w:val="33F24A86"/>
    <w:rsid w:val="34160775"/>
    <w:rsid w:val="342033A2"/>
    <w:rsid w:val="34232E92"/>
    <w:rsid w:val="3432054C"/>
    <w:rsid w:val="34350021"/>
    <w:rsid w:val="347A51A8"/>
    <w:rsid w:val="347B2CCE"/>
    <w:rsid w:val="34871673"/>
    <w:rsid w:val="348C4EDB"/>
    <w:rsid w:val="34AB7314"/>
    <w:rsid w:val="34B309A3"/>
    <w:rsid w:val="34C06933"/>
    <w:rsid w:val="34E15227"/>
    <w:rsid w:val="34F0546A"/>
    <w:rsid w:val="35123632"/>
    <w:rsid w:val="354C01C6"/>
    <w:rsid w:val="35505F08"/>
    <w:rsid w:val="35507CB7"/>
    <w:rsid w:val="35586B6B"/>
    <w:rsid w:val="35683252"/>
    <w:rsid w:val="35696FCA"/>
    <w:rsid w:val="357534A8"/>
    <w:rsid w:val="358362DE"/>
    <w:rsid w:val="35973B37"/>
    <w:rsid w:val="35A61FCC"/>
    <w:rsid w:val="35AD5109"/>
    <w:rsid w:val="35D02BA5"/>
    <w:rsid w:val="35FB40C6"/>
    <w:rsid w:val="36140CE4"/>
    <w:rsid w:val="36154A5C"/>
    <w:rsid w:val="3619454C"/>
    <w:rsid w:val="36213401"/>
    <w:rsid w:val="36252EF1"/>
    <w:rsid w:val="36323860"/>
    <w:rsid w:val="3644480A"/>
    <w:rsid w:val="364E2474"/>
    <w:rsid w:val="364F7F6E"/>
    <w:rsid w:val="36583433"/>
    <w:rsid w:val="366F0610"/>
    <w:rsid w:val="36883480"/>
    <w:rsid w:val="369E4A52"/>
    <w:rsid w:val="36A858D0"/>
    <w:rsid w:val="36B349A1"/>
    <w:rsid w:val="36BB1AA7"/>
    <w:rsid w:val="36C546D4"/>
    <w:rsid w:val="36C97D20"/>
    <w:rsid w:val="36DD1A1E"/>
    <w:rsid w:val="36E7289C"/>
    <w:rsid w:val="36F86858"/>
    <w:rsid w:val="37160A8C"/>
    <w:rsid w:val="371C0798"/>
    <w:rsid w:val="372458FD"/>
    <w:rsid w:val="37296A11"/>
    <w:rsid w:val="374455F9"/>
    <w:rsid w:val="377834F5"/>
    <w:rsid w:val="37922808"/>
    <w:rsid w:val="379540A7"/>
    <w:rsid w:val="37A10C9D"/>
    <w:rsid w:val="37B87D95"/>
    <w:rsid w:val="37C9384A"/>
    <w:rsid w:val="37EB3CC7"/>
    <w:rsid w:val="38042FDA"/>
    <w:rsid w:val="38156F95"/>
    <w:rsid w:val="38174ABC"/>
    <w:rsid w:val="381A45AC"/>
    <w:rsid w:val="382D0783"/>
    <w:rsid w:val="382D2531"/>
    <w:rsid w:val="38456711"/>
    <w:rsid w:val="385351A0"/>
    <w:rsid w:val="387D5266"/>
    <w:rsid w:val="38882263"/>
    <w:rsid w:val="38AA1B3D"/>
    <w:rsid w:val="38AA3B82"/>
    <w:rsid w:val="38D94467"/>
    <w:rsid w:val="38EC5F48"/>
    <w:rsid w:val="38FF0FB7"/>
    <w:rsid w:val="391D3E19"/>
    <w:rsid w:val="39243934"/>
    <w:rsid w:val="394E09B1"/>
    <w:rsid w:val="395B30CE"/>
    <w:rsid w:val="3963760F"/>
    <w:rsid w:val="39662B65"/>
    <w:rsid w:val="39875C71"/>
    <w:rsid w:val="39900FC9"/>
    <w:rsid w:val="399D36E6"/>
    <w:rsid w:val="399F120C"/>
    <w:rsid w:val="39B06F76"/>
    <w:rsid w:val="39B12CEE"/>
    <w:rsid w:val="39BD1693"/>
    <w:rsid w:val="39CB0253"/>
    <w:rsid w:val="39CB7802"/>
    <w:rsid w:val="39D64915"/>
    <w:rsid w:val="39E44E71"/>
    <w:rsid w:val="39E9692C"/>
    <w:rsid w:val="3A1219DE"/>
    <w:rsid w:val="3A2741E2"/>
    <w:rsid w:val="3A414072"/>
    <w:rsid w:val="3A4164A5"/>
    <w:rsid w:val="3A6A181A"/>
    <w:rsid w:val="3A9A190D"/>
    <w:rsid w:val="3AA05C91"/>
    <w:rsid w:val="3AAD378C"/>
    <w:rsid w:val="3AB111F7"/>
    <w:rsid w:val="3ABE3914"/>
    <w:rsid w:val="3AC151B3"/>
    <w:rsid w:val="3AEA64B7"/>
    <w:rsid w:val="3AED0BAA"/>
    <w:rsid w:val="3B2F036E"/>
    <w:rsid w:val="3B3017BE"/>
    <w:rsid w:val="3B3911ED"/>
    <w:rsid w:val="3B3D0CDD"/>
    <w:rsid w:val="3B3D6F2F"/>
    <w:rsid w:val="3B3E239E"/>
    <w:rsid w:val="3B4F0A10"/>
    <w:rsid w:val="3BE455FD"/>
    <w:rsid w:val="3BEB698B"/>
    <w:rsid w:val="3C110388"/>
    <w:rsid w:val="3C17152E"/>
    <w:rsid w:val="3C255492"/>
    <w:rsid w:val="3C522566"/>
    <w:rsid w:val="3C560B0D"/>
    <w:rsid w:val="3C574020"/>
    <w:rsid w:val="3C990195"/>
    <w:rsid w:val="3C9963E7"/>
    <w:rsid w:val="3CA32DC2"/>
    <w:rsid w:val="3CA53563"/>
    <w:rsid w:val="3CAA23A2"/>
    <w:rsid w:val="3CC046A2"/>
    <w:rsid w:val="3CD967E3"/>
    <w:rsid w:val="3CE07B72"/>
    <w:rsid w:val="3CEC2B6C"/>
    <w:rsid w:val="3CF4361D"/>
    <w:rsid w:val="3CF67395"/>
    <w:rsid w:val="3CFE624A"/>
    <w:rsid w:val="3D027CF9"/>
    <w:rsid w:val="3D0870C9"/>
    <w:rsid w:val="3D257C7B"/>
    <w:rsid w:val="3D2739F3"/>
    <w:rsid w:val="3D4C16AB"/>
    <w:rsid w:val="3D622C7D"/>
    <w:rsid w:val="3D7F6C45"/>
    <w:rsid w:val="3D8F1791"/>
    <w:rsid w:val="3DA07301"/>
    <w:rsid w:val="3DBD4357"/>
    <w:rsid w:val="3DCB698D"/>
    <w:rsid w:val="3DF53AF1"/>
    <w:rsid w:val="3E216694"/>
    <w:rsid w:val="3E41232F"/>
    <w:rsid w:val="3E5E1696"/>
    <w:rsid w:val="3E9F580B"/>
    <w:rsid w:val="3EA846BF"/>
    <w:rsid w:val="3EAD43CC"/>
    <w:rsid w:val="3EB219E2"/>
    <w:rsid w:val="3EC57B21"/>
    <w:rsid w:val="3EEB0A50"/>
    <w:rsid w:val="3EEB5440"/>
    <w:rsid w:val="3EF50134"/>
    <w:rsid w:val="3F007C46"/>
    <w:rsid w:val="3F073ADC"/>
    <w:rsid w:val="3F32042D"/>
    <w:rsid w:val="3F367F1D"/>
    <w:rsid w:val="3F395C5F"/>
    <w:rsid w:val="3F8844F1"/>
    <w:rsid w:val="3F8E5FAB"/>
    <w:rsid w:val="3FC01EDD"/>
    <w:rsid w:val="3FC20451"/>
    <w:rsid w:val="3FDF6807"/>
    <w:rsid w:val="3FEA6A74"/>
    <w:rsid w:val="3FF80758"/>
    <w:rsid w:val="3FF81676"/>
    <w:rsid w:val="3FFE26CC"/>
    <w:rsid w:val="40104C12"/>
    <w:rsid w:val="401144E6"/>
    <w:rsid w:val="402661E4"/>
    <w:rsid w:val="402B1A4C"/>
    <w:rsid w:val="402E6E46"/>
    <w:rsid w:val="404B5C4A"/>
    <w:rsid w:val="407E6EA9"/>
    <w:rsid w:val="40A02AD6"/>
    <w:rsid w:val="40AF6026"/>
    <w:rsid w:val="40BA692C"/>
    <w:rsid w:val="40E165AE"/>
    <w:rsid w:val="40FC0CF2"/>
    <w:rsid w:val="41232723"/>
    <w:rsid w:val="41567B7B"/>
    <w:rsid w:val="4168282C"/>
    <w:rsid w:val="41764F49"/>
    <w:rsid w:val="4185309F"/>
    <w:rsid w:val="418D4040"/>
    <w:rsid w:val="419B49AF"/>
    <w:rsid w:val="41D37CA5"/>
    <w:rsid w:val="41E73751"/>
    <w:rsid w:val="41FF0A9A"/>
    <w:rsid w:val="420C31B7"/>
    <w:rsid w:val="4227012A"/>
    <w:rsid w:val="422B7AE1"/>
    <w:rsid w:val="423746D8"/>
    <w:rsid w:val="425C0C01"/>
    <w:rsid w:val="42642FF3"/>
    <w:rsid w:val="426C2A37"/>
    <w:rsid w:val="42733236"/>
    <w:rsid w:val="42836415"/>
    <w:rsid w:val="42A41642"/>
    <w:rsid w:val="42A96C58"/>
    <w:rsid w:val="42AC0223"/>
    <w:rsid w:val="42C13FA2"/>
    <w:rsid w:val="42C82D58"/>
    <w:rsid w:val="42EB54C2"/>
    <w:rsid w:val="42EF6D61"/>
    <w:rsid w:val="42F8373B"/>
    <w:rsid w:val="43040332"/>
    <w:rsid w:val="43282273"/>
    <w:rsid w:val="43305BFF"/>
    <w:rsid w:val="43601A0D"/>
    <w:rsid w:val="43747266"/>
    <w:rsid w:val="43853221"/>
    <w:rsid w:val="438C45B0"/>
    <w:rsid w:val="43963680"/>
    <w:rsid w:val="43AD0463"/>
    <w:rsid w:val="43E4263E"/>
    <w:rsid w:val="43EA39CC"/>
    <w:rsid w:val="43EA7528"/>
    <w:rsid w:val="43F65ECD"/>
    <w:rsid w:val="43F81C45"/>
    <w:rsid w:val="44044A8E"/>
    <w:rsid w:val="441A605F"/>
    <w:rsid w:val="44305A50"/>
    <w:rsid w:val="4444495C"/>
    <w:rsid w:val="44526B9D"/>
    <w:rsid w:val="448F7FB4"/>
    <w:rsid w:val="44AB4F09"/>
    <w:rsid w:val="44BA339E"/>
    <w:rsid w:val="44C47D79"/>
    <w:rsid w:val="44CE0BF8"/>
    <w:rsid w:val="44D34460"/>
    <w:rsid w:val="44D83825"/>
    <w:rsid w:val="44E4041B"/>
    <w:rsid w:val="44E64193"/>
    <w:rsid w:val="44F701E7"/>
    <w:rsid w:val="44FA19ED"/>
    <w:rsid w:val="4517259F"/>
    <w:rsid w:val="452151CC"/>
    <w:rsid w:val="453F38A4"/>
    <w:rsid w:val="45431A93"/>
    <w:rsid w:val="45684BA8"/>
    <w:rsid w:val="456D21BF"/>
    <w:rsid w:val="457B2BF7"/>
    <w:rsid w:val="457C68A6"/>
    <w:rsid w:val="459050A5"/>
    <w:rsid w:val="45912351"/>
    <w:rsid w:val="45AE5EF2"/>
    <w:rsid w:val="45B147A1"/>
    <w:rsid w:val="45BC6CA2"/>
    <w:rsid w:val="45E561F9"/>
    <w:rsid w:val="45E7158D"/>
    <w:rsid w:val="45F34DBA"/>
    <w:rsid w:val="46312FE7"/>
    <w:rsid w:val="463902F3"/>
    <w:rsid w:val="465810C1"/>
    <w:rsid w:val="466E4440"/>
    <w:rsid w:val="467D0B27"/>
    <w:rsid w:val="46826D34"/>
    <w:rsid w:val="46955194"/>
    <w:rsid w:val="46AB7443"/>
    <w:rsid w:val="46BC0A08"/>
    <w:rsid w:val="46D5009A"/>
    <w:rsid w:val="46DD5122"/>
    <w:rsid w:val="46E82445"/>
    <w:rsid w:val="47086643"/>
    <w:rsid w:val="47294359"/>
    <w:rsid w:val="472A2E92"/>
    <w:rsid w:val="473D674F"/>
    <w:rsid w:val="47484C91"/>
    <w:rsid w:val="475278BE"/>
    <w:rsid w:val="47576E81"/>
    <w:rsid w:val="475A2C17"/>
    <w:rsid w:val="475C24EB"/>
    <w:rsid w:val="476E221E"/>
    <w:rsid w:val="47A0687C"/>
    <w:rsid w:val="47A3636C"/>
    <w:rsid w:val="47C46FA4"/>
    <w:rsid w:val="47DE7578"/>
    <w:rsid w:val="47F92430"/>
    <w:rsid w:val="480A63EB"/>
    <w:rsid w:val="48315726"/>
    <w:rsid w:val="483D231C"/>
    <w:rsid w:val="48441F90"/>
    <w:rsid w:val="485458B8"/>
    <w:rsid w:val="48552861"/>
    <w:rsid w:val="487C04D9"/>
    <w:rsid w:val="48932803"/>
    <w:rsid w:val="489A17F5"/>
    <w:rsid w:val="489F6B33"/>
    <w:rsid w:val="48BD520B"/>
    <w:rsid w:val="48C540C0"/>
    <w:rsid w:val="48E46C3C"/>
    <w:rsid w:val="48F57476"/>
    <w:rsid w:val="48F826E7"/>
    <w:rsid w:val="49027F69"/>
    <w:rsid w:val="49090450"/>
    <w:rsid w:val="491F7C74"/>
    <w:rsid w:val="49247038"/>
    <w:rsid w:val="493C4382"/>
    <w:rsid w:val="49470F79"/>
    <w:rsid w:val="49553BA0"/>
    <w:rsid w:val="49905119"/>
    <w:rsid w:val="499F2B63"/>
    <w:rsid w:val="49A8711D"/>
    <w:rsid w:val="49B34FFC"/>
    <w:rsid w:val="49B42429"/>
    <w:rsid w:val="49B4660E"/>
    <w:rsid w:val="49BE56DF"/>
    <w:rsid w:val="49E50EBD"/>
    <w:rsid w:val="49EC3FFA"/>
    <w:rsid w:val="49F6170B"/>
    <w:rsid w:val="49F7299F"/>
    <w:rsid w:val="4A0550BC"/>
    <w:rsid w:val="4A162E25"/>
    <w:rsid w:val="4A3634C7"/>
    <w:rsid w:val="4A4D25BF"/>
    <w:rsid w:val="4A590F64"/>
    <w:rsid w:val="4AAF15F0"/>
    <w:rsid w:val="4ABF170F"/>
    <w:rsid w:val="4ACD5E13"/>
    <w:rsid w:val="4AD309EB"/>
    <w:rsid w:val="4AE01685"/>
    <w:rsid w:val="4AE66C9B"/>
    <w:rsid w:val="4AF56EDE"/>
    <w:rsid w:val="4AFF7D5D"/>
    <w:rsid w:val="4B06733D"/>
    <w:rsid w:val="4B103D18"/>
    <w:rsid w:val="4B1F3F5B"/>
    <w:rsid w:val="4B234E23"/>
    <w:rsid w:val="4B3814C1"/>
    <w:rsid w:val="4B3825C1"/>
    <w:rsid w:val="4B685902"/>
    <w:rsid w:val="4B83273C"/>
    <w:rsid w:val="4B8A1D1C"/>
    <w:rsid w:val="4B983D0E"/>
    <w:rsid w:val="4B9D5E1B"/>
    <w:rsid w:val="4BA83F51"/>
    <w:rsid w:val="4BC15012"/>
    <w:rsid w:val="4BFE0015"/>
    <w:rsid w:val="4C0A0767"/>
    <w:rsid w:val="4C35155C"/>
    <w:rsid w:val="4C3645C0"/>
    <w:rsid w:val="4C404189"/>
    <w:rsid w:val="4C4C5224"/>
    <w:rsid w:val="4C4D4AF8"/>
    <w:rsid w:val="4C681932"/>
    <w:rsid w:val="4C6F2CC0"/>
    <w:rsid w:val="4C72630D"/>
    <w:rsid w:val="4C7B0B8A"/>
    <w:rsid w:val="4C8147A2"/>
    <w:rsid w:val="4C820C46"/>
    <w:rsid w:val="4C87000A"/>
    <w:rsid w:val="4C940979"/>
    <w:rsid w:val="4C9B2BDF"/>
    <w:rsid w:val="4CA54934"/>
    <w:rsid w:val="4CB536CF"/>
    <w:rsid w:val="4CC2216C"/>
    <w:rsid w:val="4CD945DE"/>
    <w:rsid w:val="4CE25C17"/>
    <w:rsid w:val="4CEE3778"/>
    <w:rsid w:val="4CF3744D"/>
    <w:rsid w:val="4CF65190"/>
    <w:rsid w:val="4D096C71"/>
    <w:rsid w:val="4D0F1DAD"/>
    <w:rsid w:val="4D2B4E39"/>
    <w:rsid w:val="4D4E28D6"/>
    <w:rsid w:val="4D7629FC"/>
    <w:rsid w:val="4DBC3274"/>
    <w:rsid w:val="4DCE3816"/>
    <w:rsid w:val="4DEB281B"/>
    <w:rsid w:val="4DF01E53"/>
    <w:rsid w:val="4DFC0584"/>
    <w:rsid w:val="4E127DA7"/>
    <w:rsid w:val="4E3F66C2"/>
    <w:rsid w:val="4E4D7031"/>
    <w:rsid w:val="4E54216E"/>
    <w:rsid w:val="4E6F6FA8"/>
    <w:rsid w:val="4E7C3473"/>
    <w:rsid w:val="4E8011B5"/>
    <w:rsid w:val="4E870795"/>
    <w:rsid w:val="4EC05A55"/>
    <w:rsid w:val="4EC15329"/>
    <w:rsid w:val="4ECC5774"/>
    <w:rsid w:val="4ECD3CCE"/>
    <w:rsid w:val="4ED71862"/>
    <w:rsid w:val="4EF43951"/>
    <w:rsid w:val="4EF474AD"/>
    <w:rsid w:val="4F196F13"/>
    <w:rsid w:val="4F1D6A04"/>
    <w:rsid w:val="4F2C4E99"/>
    <w:rsid w:val="4F3501F1"/>
    <w:rsid w:val="4F400944"/>
    <w:rsid w:val="4F473A81"/>
    <w:rsid w:val="4F5543EF"/>
    <w:rsid w:val="4F6B59C1"/>
    <w:rsid w:val="4FAE3B00"/>
    <w:rsid w:val="4FC03D36"/>
    <w:rsid w:val="4FD46ECD"/>
    <w:rsid w:val="4FF04118"/>
    <w:rsid w:val="50047BC4"/>
    <w:rsid w:val="5006393C"/>
    <w:rsid w:val="501E0C85"/>
    <w:rsid w:val="502B5150"/>
    <w:rsid w:val="504F0E3F"/>
    <w:rsid w:val="5052089F"/>
    <w:rsid w:val="505A7D1E"/>
    <w:rsid w:val="506F7733"/>
    <w:rsid w:val="5075461D"/>
    <w:rsid w:val="50A078EC"/>
    <w:rsid w:val="50A23988"/>
    <w:rsid w:val="50B769E4"/>
    <w:rsid w:val="50C335DB"/>
    <w:rsid w:val="50C80CF8"/>
    <w:rsid w:val="50CB0986"/>
    <w:rsid w:val="50D2381E"/>
    <w:rsid w:val="510936E3"/>
    <w:rsid w:val="51114346"/>
    <w:rsid w:val="51167BAE"/>
    <w:rsid w:val="51246B4D"/>
    <w:rsid w:val="512C1180"/>
    <w:rsid w:val="513B13C3"/>
    <w:rsid w:val="515442CF"/>
    <w:rsid w:val="518C1C1F"/>
    <w:rsid w:val="51CB6BEB"/>
    <w:rsid w:val="51D21809"/>
    <w:rsid w:val="51E43809"/>
    <w:rsid w:val="51E611C2"/>
    <w:rsid w:val="51FE0D6E"/>
    <w:rsid w:val="52100AA2"/>
    <w:rsid w:val="52552958"/>
    <w:rsid w:val="527A416D"/>
    <w:rsid w:val="52977F3F"/>
    <w:rsid w:val="529C0587"/>
    <w:rsid w:val="52AC3970"/>
    <w:rsid w:val="52B61649"/>
    <w:rsid w:val="52B7716F"/>
    <w:rsid w:val="52DC6BD6"/>
    <w:rsid w:val="52EF6909"/>
    <w:rsid w:val="52F83A10"/>
    <w:rsid w:val="53051C89"/>
    <w:rsid w:val="53383097"/>
    <w:rsid w:val="534127C6"/>
    <w:rsid w:val="537A08C9"/>
    <w:rsid w:val="538501A4"/>
    <w:rsid w:val="539A0F3A"/>
    <w:rsid w:val="53B13BBE"/>
    <w:rsid w:val="53C03E02"/>
    <w:rsid w:val="53EC05FD"/>
    <w:rsid w:val="53FD32A8"/>
    <w:rsid w:val="53FF0DCE"/>
    <w:rsid w:val="540F394F"/>
    <w:rsid w:val="541F321E"/>
    <w:rsid w:val="54297BF9"/>
    <w:rsid w:val="54336CC9"/>
    <w:rsid w:val="544863AE"/>
    <w:rsid w:val="544D1B39"/>
    <w:rsid w:val="544F3B03"/>
    <w:rsid w:val="54606BAB"/>
    <w:rsid w:val="546D5D37"/>
    <w:rsid w:val="549A4653"/>
    <w:rsid w:val="54B2452E"/>
    <w:rsid w:val="54BB2F47"/>
    <w:rsid w:val="54C6369A"/>
    <w:rsid w:val="54CD2C7A"/>
    <w:rsid w:val="54D97871"/>
    <w:rsid w:val="54E21DAA"/>
    <w:rsid w:val="55043940"/>
    <w:rsid w:val="550A7F28"/>
    <w:rsid w:val="551B70A5"/>
    <w:rsid w:val="552503C0"/>
    <w:rsid w:val="552705DC"/>
    <w:rsid w:val="55286102"/>
    <w:rsid w:val="552F56E3"/>
    <w:rsid w:val="553D1BAE"/>
    <w:rsid w:val="55456CB4"/>
    <w:rsid w:val="554C3B9F"/>
    <w:rsid w:val="556F3D31"/>
    <w:rsid w:val="55713605"/>
    <w:rsid w:val="55967510"/>
    <w:rsid w:val="55B160F8"/>
    <w:rsid w:val="55B41744"/>
    <w:rsid w:val="55BC4B16"/>
    <w:rsid w:val="55C47F91"/>
    <w:rsid w:val="55D43377"/>
    <w:rsid w:val="55DA564E"/>
    <w:rsid w:val="55E56DFD"/>
    <w:rsid w:val="55F61D5C"/>
    <w:rsid w:val="56066443"/>
    <w:rsid w:val="56075D18"/>
    <w:rsid w:val="561072C2"/>
    <w:rsid w:val="5632548A"/>
    <w:rsid w:val="5637484F"/>
    <w:rsid w:val="56466840"/>
    <w:rsid w:val="564E1B99"/>
    <w:rsid w:val="567D5FDA"/>
    <w:rsid w:val="56880EBA"/>
    <w:rsid w:val="56A95021"/>
    <w:rsid w:val="56B75990"/>
    <w:rsid w:val="56C2774C"/>
    <w:rsid w:val="56CD4470"/>
    <w:rsid w:val="56DF6C95"/>
    <w:rsid w:val="56E9366F"/>
    <w:rsid w:val="56EA18C1"/>
    <w:rsid w:val="570D735E"/>
    <w:rsid w:val="571E5A0F"/>
    <w:rsid w:val="572A6162"/>
    <w:rsid w:val="5730129E"/>
    <w:rsid w:val="573C257E"/>
    <w:rsid w:val="57462870"/>
    <w:rsid w:val="57541431"/>
    <w:rsid w:val="575B456D"/>
    <w:rsid w:val="57633422"/>
    <w:rsid w:val="577B3D89"/>
    <w:rsid w:val="579637F7"/>
    <w:rsid w:val="57A203EE"/>
    <w:rsid w:val="57A37CC2"/>
    <w:rsid w:val="57D32355"/>
    <w:rsid w:val="57D61E46"/>
    <w:rsid w:val="58070251"/>
    <w:rsid w:val="5818245E"/>
    <w:rsid w:val="585860D3"/>
    <w:rsid w:val="585D4315"/>
    <w:rsid w:val="586025AF"/>
    <w:rsid w:val="588B70D4"/>
    <w:rsid w:val="58906498"/>
    <w:rsid w:val="58953AAF"/>
    <w:rsid w:val="58AB5080"/>
    <w:rsid w:val="58B77EC9"/>
    <w:rsid w:val="58CB5722"/>
    <w:rsid w:val="590824D3"/>
    <w:rsid w:val="5915699E"/>
    <w:rsid w:val="59554FEC"/>
    <w:rsid w:val="59736FAA"/>
    <w:rsid w:val="597731B4"/>
    <w:rsid w:val="59965D30"/>
    <w:rsid w:val="599B6EA3"/>
    <w:rsid w:val="59CA7788"/>
    <w:rsid w:val="59D35A30"/>
    <w:rsid w:val="59D93E6F"/>
    <w:rsid w:val="59F4083F"/>
    <w:rsid w:val="59F42A57"/>
    <w:rsid w:val="5A1A070F"/>
    <w:rsid w:val="5A1D3C0D"/>
    <w:rsid w:val="5A4F7C8D"/>
    <w:rsid w:val="5A643739"/>
    <w:rsid w:val="5A7140A7"/>
    <w:rsid w:val="5A84202D"/>
    <w:rsid w:val="5AA343F0"/>
    <w:rsid w:val="5ADF1011"/>
    <w:rsid w:val="5AFA5E4B"/>
    <w:rsid w:val="5B172EA1"/>
    <w:rsid w:val="5B174C4F"/>
    <w:rsid w:val="5B353327"/>
    <w:rsid w:val="5B5437AD"/>
    <w:rsid w:val="5B9C5154"/>
    <w:rsid w:val="5BA06984"/>
    <w:rsid w:val="5BB10BFF"/>
    <w:rsid w:val="5BB4249E"/>
    <w:rsid w:val="5BB97AB4"/>
    <w:rsid w:val="5BBC75A4"/>
    <w:rsid w:val="5BC30D7D"/>
    <w:rsid w:val="5BD7618C"/>
    <w:rsid w:val="5BD91F04"/>
    <w:rsid w:val="5C02145B"/>
    <w:rsid w:val="5C052CF9"/>
    <w:rsid w:val="5C0F5926"/>
    <w:rsid w:val="5C2D3FFE"/>
    <w:rsid w:val="5C2E7D3B"/>
    <w:rsid w:val="5C4F21C6"/>
    <w:rsid w:val="5C5123E2"/>
    <w:rsid w:val="5C514191"/>
    <w:rsid w:val="5C567C46"/>
    <w:rsid w:val="5C5E56D9"/>
    <w:rsid w:val="5C700ABB"/>
    <w:rsid w:val="5C7D20F2"/>
    <w:rsid w:val="5C7F0CFE"/>
    <w:rsid w:val="5C8A413B"/>
    <w:rsid w:val="5D001AFF"/>
    <w:rsid w:val="5D1A27D4"/>
    <w:rsid w:val="5D211DB5"/>
    <w:rsid w:val="5D23054D"/>
    <w:rsid w:val="5D2B0C05"/>
    <w:rsid w:val="5D5062E0"/>
    <w:rsid w:val="5D534865"/>
    <w:rsid w:val="5D577585"/>
    <w:rsid w:val="5D6D4FFA"/>
    <w:rsid w:val="5D7F0889"/>
    <w:rsid w:val="5D850596"/>
    <w:rsid w:val="5D8D744A"/>
    <w:rsid w:val="5DB20C5F"/>
    <w:rsid w:val="5DBF512A"/>
    <w:rsid w:val="5E162F9C"/>
    <w:rsid w:val="5E1B2CA8"/>
    <w:rsid w:val="5E413D91"/>
    <w:rsid w:val="5E4A0E97"/>
    <w:rsid w:val="5E551FB5"/>
    <w:rsid w:val="5E59732C"/>
    <w:rsid w:val="5E671A49"/>
    <w:rsid w:val="5E734892"/>
    <w:rsid w:val="5E7E2B8A"/>
    <w:rsid w:val="5E7E6D93"/>
    <w:rsid w:val="5E7F3237"/>
    <w:rsid w:val="5E993BCD"/>
    <w:rsid w:val="5EA74C25"/>
    <w:rsid w:val="5EAB402C"/>
    <w:rsid w:val="5EBD78BB"/>
    <w:rsid w:val="5ED74F3B"/>
    <w:rsid w:val="5F0317FE"/>
    <w:rsid w:val="5F0454EA"/>
    <w:rsid w:val="5F122193"/>
    <w:rsid w:val="5F335DCF"/>
    <w:rsid w:val="5F385194"/>
    <w:rsid w:val="5F457FA8"/>
    <w:rsid w:val="5F533FAA"/>
    <w:rsid w:val="5F677827"/>
    <w:rsid w:val="5F7206A6"/>
    <w:rsid w:val="5F8959EF"/>
    <w:rsid w:val="5F8E1258"/>
    <w:rsid w:val="5F9E149B"/>
    <w:rsid w:val="5FA8056B"/>
    <w:rsid w:val="5FB07420"/>
    <w:rsid w:val="5FB213EA"/>
    <w:rsid w:val="5FB82DF5"/>
    <w:rsid w:val="5FBA4A30"/>
    <w:rsid w:val="5FE5356E"/>
    <w:rsid w:val="5FF732A1"/>
    <w:rsid w:val="602F6597"/>
    <w:rsid w:val="60563B24"/>
    <w:rsid w:val="6069670F"/>
    <w:rsid w:val="60806DF2"/>
    <w:rsid w:val="60B71EB3"/>
    <w:rsid w:val="60C27AD9"/>
    <w:rsid w:val="60DA0BF8"/>
    <w:rsid w:val="60EC092C"/>
    <w:rsid w:val="60F60A35"/>
    <w:rsid w:val="60F72902"/>
    <w:rsid w:val="60FC0FD2"/>
    <w:rsid w:val="613C71BD"/>
    <w:rsid w:val="61616C24"/>
    <w:rsid w:val="616E7593"/>
    <w:rsid w:val="617526CF"/>
    <w:rsid w:val="618F4519"/>
    <w:rsid w:val="61B551C2"/>
    <w:rsid w:val="61B56F70"/>
    <w:rsid w:val="61E84BD9"/>
    <w:rsid w:val="61F21F72"/>
    <w:rsid w:val="620A196E"/>
    <w:rsid w:val="62285994"/>
    <w:rsid w:val="62570027"/>
    <w:rsid w:val="62593D9F"/>
    <w:rsid w:val="628C5A67"/>
    <w:rsid w:val="62A0552A"/>
    <w:rsid w:val="62A52B40"/>
    <w:rsid w:val="62A80882"/>
    <w:rsid w:val="62B73743"/>
    <w:rsid w:val="62BD2580"/>
    <w:rsid w:val="62FA10DE"/>
    <w:rsid w:val="63422A85"/>
    <w:rsid w:val="634C0CCC"/>
    <w:rsid w:val="635241E5"/>
    <w:rsid w:val="635D78BF"/>
    <w:rsid w:val="63676B25"/>
    <w:rsid w:val="637A5D7B"/>
    <w:rsid w:val="63953D64"/>
    <w:rsid w:val="63CB65D6"/>
    <w:rsid w:val="63D07307"/>
    <w:rsid w:val="63D77671"/>
    <w:rsid w:val="63EB6C79"/>
    <w:rsid w:val="63FF44D2"/>
    <w:rsid w:val="6416019A"/>
    <w:rsid w:val="641F6922"/>
    <w:rsid w:val="64216B3E"/>
    <w:rsid w:val="64616F3B"/>
    <w:rsid w:val="648C045C"/>
    <w:rsid w:val="64A14BE7"/>
    <w:rsid w:val="64A5151D"/>
    <w:rsid w:val="64C86FBA"/>
    <w:rsid w:val="64E57B6C"/>
    <w:rsid w:val="64EA5182"/>
    <w:rsid w:val="650049A6"/>
    <w:rsid w:val="65130235"/>
    <w:rsid w:val="65297A59"/>
    <w:rsid w:val="65362175"/>
    <w:rsid w:val="65401246"/>
    <w:rsid w:val="654E264B"/>
    <w:rsid w:val="655B7E2E"/>
    <w:rsid w:val="65762306"/>
    <w:rsid w:val="65764C68"/>
    <w:rsid w:val="65801E4E"/>
    <w:rsid w:val="65913850"/>
    <w:rsid w:val="659A0956"/>
    <w:rsid w:val="659F41BF"/>
    <w:rsid w:val="66012DB4"/>
    <w:rsid w:val="661E1587"/>
    <w:rsid w:val="66285F62"/>
    <w:rsid w:val="66402D0B"/>
    <w:rsid w:val="6657748D"/>
    <w:rsid w:val="66611474"/>
    <w:rsid w:val="66632270"/>
    <w:rsid w:val="6663343E"/>
    <w:rsid w:val="66660838"/>
    <w:rsid w:val="667747F4"/>
    <w:rsid w:val="66952ECC"/>
    <w:rsid w:val="66AD46B9"/>
    <w:rsid w:val="66C12AF6"/>
    <w:rsid w:val="671309C0"/>
    <w:rsid w:val="6759039D"/>
    <w:rsid w:val="67626648"/>
    <w:rsid w:val="677376B1"/>
    <w:rsid w:val="677671A1"/>
    <w:rsid w:val="678A5DDD"/>
    <w:rsid w:val="679D472E"/>
    <w:rsid w:val="67A4786A"/>
    <w:rsid w:val="67BD3D46"/>
    <w:rsid w:val="67E04B62"/>
    <w:rsid w:val="67F26828"/>
    <w:rsid w:val="681C38A5"/>
    <w:rsid w:val="682B1D3A"/>
    <w:rsid w:val="68352BB8"/>
    <w:rsid w:val="684E59A6"/>
    <w:rsid w:val="68633281"/>
    <w:rsid w:val="6874548F"/>
    <w:rsid w:val="687A05CB"/>
    <w:rsid w:val="6881195A"/>
    <w:rsid w:val="6884144A"/>
    <w:rsid w:val="688B27D8"/>
    <w:rsid w:val="688B4586"/>
    <w:rsid w:val="688E2EA8"/>
    <w:rsid w:val="689A0C6D"/>
    <w:rsid w:val="689F6284"/>
    <w:rsid w:val="68B00491"/>
    <w:rsid w:val="68C47A98"/>
    <w:rsid w:val="68D979E8"/>
    <w:rsid w:val="68F71C1C"/>
    <w:rsid w:val="691722BE"/>
    <w:rsid w:val="692D1AE1"/>
    <w:rsid w:val="69392234"/>
    <w:rsid w:val="69456FB5"/>
    <w:rsid w:val="69496237"/>
    <w:rsid w:val="69653029"/>
    <w:rsid w:val="697C2E5E"/>
    <w:rsid w:val="698060B5"/>
    <w:rsid w:val="69894F6A"/>
    <w:rsid w:val="699F478D"/>
    <w:rsid w:val="69BE49D5"/>
    <w:rsid w:val="69C04704"/>
    <w:rsid w:val="69CA10DE"/>
    <w:rsid w:val="6A1D56B2"/>
    <w:rsid w:val="6A3A6264"/>
    <w:rsid w:val="6A537C4E"/>
    <w:rsid w:val="6A887017"/>
    <w:rsid w:val="6A8D0A8A"/>
    <w:rsid w:val="6A902328"/>
    <w:rsid w:val="6AB029CA"/>
    <w:rsid w:val="6AB73D58"/>
    <w:rsid w:val="6AC33DB7"/>
    <w:rsid w:val="6AD439D8"/>
    <w:rsid w:val="6AD62431"/>
    <w:rsid w:val="6AD70C43"/>
    <w:rsid w:val="6AF1726A"/>
    <w:rsid w:val="6AFC176B"/>
    <w:rsid w:val="6B0074AE"/>
    <w:rsid w:val="6B1D005F"/>
    <w:rsid w:val="6B301415"/>
    <w:rsid w:val="6B43383E"/>
    <w:rsid w:val="6B517D09"/>
    <w:rsid w:val="6B66073E"/>
    <w:rsid w:val="6B6712DB"/>
    <w:rsid w:val="6B8C2AEF"/>
    <w:rsid w:val="6B8E2D0B"/>
    <w:rsid w:val="6BA77929"/>
    <w:rsid w:val="6BAD4363"/>
    <w:rsid w:val="6BC26511"/>
    <w:rsid w:val="6BD050D2"/>
    <w:rsid w:val="6BD149A6"/>
    <w:rsid w:val="6BD70DED"/>
    <w:rsid w:val="6BD7311B"/>
    <w:rsid w:val="6BE0108D"/>
    <w:rsid w:val="6BE91CF0"/>
    <w:rsid w:val="6BF80185"/>
    <w:rsid w:val="6BFC0521"/>
    <w:rsid w:val="6BFF59B7"/>
    <w:rsid w:val="6BFF7765"/>
    <w:rsid w:val="6C3311BD"/>
    <w:rsid w:val="6C686B68"/>
    <w:rsid w:val="6C6D0B73"/>
    <w:rsid w:val="6C9360FF"/>
    <w:rsid w:val="6C9E6F7E"/>
    <w:rsid w:val="6CAE4CE7"/>
    <w:rsid w:val="6CB542C8"/>
    <w:rsid w:val="6CB56076"/>
    <w:rsid w:val="6CD40BF2"/>
    <w:rsid w:val="6CDC7AA6"/>
    <w:rsid w:val="6CE64481"/>
    <w:rsid w:val="6D064B23"/>
    <w:rsid w:val="6D4713C4"/>
    <w:rsid w:val="6D512242"/>
    <w:rsid w:val="6D5D0BE7"/>
    <w:rsid w:val="6D5E670D"/>
    <w:rsid w:val="6D832633"/>
    <w:rsid w:val="6DAB3DC3"/>
    <w:rsid w:val="6DAF51FF"/>
    <w:rsid w:val="6DBC3DBA"/>
    <w:rsid w:val="6DBE0F5A"/>
    <w:rsid w:val="6DCC0111"/>
    <w:rsid w:val="6DF42BCE"/>
    <w:rsid w:val="6E1868F0"/>
    <w:rsid w:val="6E31797E"/>
    <w:rsid w:val="6E4A0A40"/>
    <w:rsid w:val="6E4C47B8"/>
    <w:rsid w:val="6E5042A8"/>
    <w:rsid w:val="6E6E472E"/>
    <w:rsid w:val="6E796A66"/>
    <w:rsid w:val="6E7F2DDF"/>
    <w:rsid w:val="6E873A42"/>
    <w:rsid w:val="6EA14120"/>
    <w:rsid w:val="6EA97E5C"/>
    <w:rsid w:val="6EC16F54"/>
    <w:rsid w:val="6EF74724"/>
    <w:rsid w:val="6F152CAB"/>
    <w:rsid w:val="6F2968A7"/>
    <w:rsid w:val="6F403790"/>
    <w:rsid w:val="6F463865"/>
    <w:rsid w:val="6F494FB7"/>
    <w:rsid w:val="6F5266FB"/>
    <w:rsid w:val="6F7C2E7B"/>
    <w:rsid w:val="6F814935"/>
    <w:rsid w:val="6F8D3F04"/>
    <w:rsid w:val="6FA65ECF"/>
    <w:rsid w:val="6FEC0000"/>
    <w:rsid w:val="70135A4D"/>
    <w:rsid w:val="70147557"/>
    <w:rsid w:val="702552C0"/>
    <w:rsid w:val="70553DF8"/>
    <w:rsid w:val="705931BC"/>
    <w:rsid w:val="70622071"/>
    <w:rsid w:val="707757E9"/>
    <w:rsid w:val="7099229E"/>
    <w:rsid w:val="70C04FE9"/>
    <w:rsid w:val="70F058CE"/>
    <w:rsid w:val="70F51137"/>
    <w:rsid w:val="70F96E79"/>
    <w:rsid w:val="70FD7FEB"/>
    <w:rsid w:val="70FE623D"/>
    <w:rsid w:val="71105DB6"/>
    <w:rsid w:val="711D0999"/>
    <w:rsid w:val="71431EA2"/>
    <w:rsid w:val="714F6A99"/>
    <w:rsid w:val="718129CA"/>
    <w:rsid w:val="71A462ED"/>
    <w:rsid w:val="71C034F3"/>
    <w:rsid w:val="71C476E3"/>
    <w:rsid w:val="71E371E1"/>
    <w:rsid w:val="71E82A49"/>
    <w:rsid w:val="71E847F7"/>
    <w:rsid w:val="71FD4747"/>
    <w:rsid w:val="72255A4C"/>
    <w:rsid w:val="722649B3"/>
    <w:rsid w:val="72312642"/>
    <w:rsid w:val="723637B5"/>
    <w:rsid w:val="725D3437"/>
    <w:rsid w:val="72616EBB"/>
    <w:rsid w:val="728843A6"/>
    <w:rsid w:val="728A32EA"/>
    <w:rsid w:val="72CA46A5"/>
    <w:rsid w:val="72E8679E"/>
    <w:rsid w:val="730E028E"/>
    <w:rsid w:val="731A30D6"/>
    <w:rsid w:val="734463A5"/>
    <w:rsid w:val="734947E0"/>
    <w:rsid w:val="734C0DB6"/>
    <w:rsid w:val="735A58A1"/>
    <w:rsid w:val="735F0AE9"/>
    <w:rsid w:val="73682094"/>
    <w:rsid w:val="739509AF"/>
    <w:rsid w:val="73966C01"/>
    <w:rsid w:val="73972979"/>
    <w:rsid w:val="73A3131E"/>
    <w:rsid w:val="73B07597"/>
    <w:rsid w:val="73BE1CB4"/>
    <w:rsid w:val="73CB44C1"/>
    <w:rsid w:val="73ED2599"/>
    <w:rsid w:val="73F416D3"/>
    <w:rsid w:val="73F97190"/>
    <w:rsid w:val="7420471D"/>
    <w:rsid w:val="74277859"/>
    <w:rsid w:val="74341F76"/>
    <w:rsid w:val="745B5755"/>
    <w:rsid w:val="745D327B"/>
    <w:rsid w:val="74620891"/>
    <w:rsid w:val="74816EB6"/>
    <w:rsid w:val="74884070"/>
    <w:rsid w:val="748C590E"/>
    <w:rsid w:val="749D7B1B"/>
    <w:rsid w:val="74AA2238"/>
    <w:rsid w:val="74AB66DC"/>
    <w:rsid w:val="74AB7552"/>
    <w:rsid w:val="750E6C6B"/>
    <w:rsid w:val="752E10BB"/>
    <w:rsid w:val="75472D8D"/>
    <w:rsid w:val="754E7067"/>
    <w:rsid w:val="75510906"/>
    <w:rsid w:val="75B3511C"/>
    <w:rsid w:val="75C25336"/>
    <w:rsid w:val="75CA2B92"/>
    <w:rsid w:val="75D4756D"/>
    <w:rsid w:val="75D67789"/>
    <w:rsid w:val="75D7705D"/>
    <w:rsid w:val="75F419BD"/>
    <w:rsid w:val="76065B94"/>
    <w:rsid w:val="760E65F3"/>
    <w:rsid w:val="7621652A"/>
    <w:rsid w:val="762D1373"/>
    <w:rsid w:val="76312C11"/>
    <w:rsid w:val="76354CB4"/>
    <w:rsid w:val="763A5A2E"/>
    <w:rsid w:val="765C7752"/>
    <w:rsid w:val="766052A4"/>
    <w:rsid w:val="768216BE"/>
    <w:rsid w:val="76A74C81"/>
    <w:rsid w:val="76A827A7"/>
    <w:rsid w:val="76AA7F18"/>
    <w:rsid w:val="76B4114C"/>
    <w:rsid w:val="76C27D0D"/>
    <w:rsid w:val="76CE58CD"/>
    <w:rsid w:val="76D417EE"/>
    <w:rsid w:val="76F01821"/>
    <w:rsid w:val="770976EA"/>
    <w:rsid w:val="77106CCA"/>
    <w:rsid w:val="77112A42"/>
    <w:rsid w:val="77470212"/>
    <w:rsid w:val="77770AF7"/>
    <w:rsid w:val="777A2396"/>
    <w:rsid w:val="77884AB3"/>
    <w:rsid w:val="77B05DB7"/>
    <w:rsid w:val="77DD5079"/>
    <w:rsid w:val="77DF044B"/>
    <w:rsid w:val="77E837A3"/>
    <w:rsid w:val="77ED2B68"/>
    <w:rsid w:val="77FE4D75"/>
    <w:rsid w:val="781520BE"/>
    <w:rsid w:val="781A1483"/>
    <w:rsid w:val="782C7B34"/>
    <w:rsid w:val="783E3A02"/>
    <w:rsid w:val="78434E7D"/>
    <w:rsid w:val="78943F6D"/>
    <w:rsid w:val="78994A9D"/>
    <w:rsid w:val="78A33B85"/>
    <w:rsid w:val="78AC657F"/>
    <w:rsid w:val="78C45792"/>
    <w:rsid w:val="78C7160B"/>
    <w:rsid w:val="78CE2999"/>
    <w:rsid w:val="78DD498A"/>
    <w:rsid w:val="78E026CC"/>
    <w:rsid w:val="78E73A5B"/>
    <w:rsid w:val="78FE2B52"/>
    <w:rsid w:val="79002D6F"/>
    <w:rsid w:val="790740FD"/>
    <w:rsid w:val="79183C14"/>
    <w:rsid w:val="791A5BDE"/>
    <w:rsid w:val="79246A5D"/>
    <w:rsid w:val="792B7DEB"/>
    <w:rsid w:val="7931117A"/>
    <w:rsid w:val="794F33AE"/>
    <w:rsid w:val="79501600"/>
    <w:rsid w:val="79507AB6"/>
    <w:rsid w:val="79725A1A"/>
    <w:rsid w:val="79733540"/>
    <w:rsid w:val="79883A5F"/>
    <w:rsid w:val="798968C0"/>
    <w:rsid w:val="799D05BD"/>
    <w:rsid w:val="79B80F53"/>
    <w:rsid w:val="79EF21D4"/>
    <w:rsid w:val="79F521A7"/>
    <w:rsid w:val="7A1268B5"/>
    <w:rsid w:val="7A432F13"/>
    <w:rsid w:val="7A4456B4"/>
    <w:rsid w:val="7A831561"/>
    <w:rsid w:val="7A8E473B"/>
    <w:rsid w:val="7A996FD7"/>
    <w:rsid w:val="7AA00365"/>
    <w:rsid w:val="7AAD2A82"/>
    <w:rsid w:val="7ABE6923"/>
    <w:rsid w:val="7AE63625"/>
    <w:rsid w:val="7AF81F4F"/>
    <w:rsid w:val="7AFB1658"/>
    <w:rsid w:val="7AFD2A36"/>
    <w:rsid w:val="7B542EFE"/>
    <w:rsid w:val="7B713AB0"/>
    <w:rsid w:val="7B7D4202"/>
    <w:rsid w:val="7B7F481D"/>
    <w:rsid w:val="7B8F3F36"/>
    <w:rsid w:val="7B9A4DB4"/>
    <w:rsid w:val="7BAB0D70"/>
    <w:rsid w:val="7BB75966"/>
    <w:rsid w:val="7BBF481B"/>
    <w:rsid w:val="7BD1454E"/>
    <w:rsid w:val="7BEC1388"/>
    <w:rsid w:val="7C110C5B"/>
    <w:rsid w:val="7C127041"/>
    <w:rsid w:val="7C2D79D7"/>
    <w:rsid w:val="7C2E19A1"/>
    <w:rsid w:val="7C2E374F"/>
    <w:rsid w:val="7C370855"/>
    <w:rsid w:val="7C5238E1"/>
    <w:rsid w:val="7C547659"/>
    <w:rsid w:val="7C63164A"/>
    <w:rsid w:val="7C683105"/>
    <w:rsid w:val="7C9C2DAE"/>
    <w:rsid w:val="7CBC0D5A"/>
    <w:rsid w:val="7CCC3693"/>
    <w:rsid w:val="7CCD740C"/>
    <w:rsid w:val="7CD67752"/>
    <w:rsid w:val="7CE9699F"/>
    <w:rsid w:val="7D162DCD"/>
    <w:rsid w:val="7D2019F3"/>
    <w:rsid w:val="7D221505"/>
    <w:rsid w:val="7D821FA4"/>
    <w:rsid w:val="7DA22F08"/>
    <w:rsid w:val="7DAC5273"/>
    <w:rsid w:val="7DB639FC"/>
    <w:rsid w:val="7DBB7264"/>
    <w:rsid w:val="7DBE3BDC"/>
    <w:rsid w:val="7DC24A6B"/>
    <w:rsid w:val="7DD30A52"/>
    <w:rsid w:val="7DD65E4C"/>
    <w:rsid w:val="7E417769"/>
    <w:rsid w:val="7E4B4712"/>
    <w:rsid w:val="7E5356EF"/>
    <w:rsid w:val="7E6873EC"/>
    <w:rsid w:val="7E786F03"/>
    <w:rsid w:val="7E835FD4"/>
    <w:rsid w:val="7E837D82"/>
    <w:rsid w:val="7E891110"/>
    <w:rsid w:val="7E8B4DC2"/>
    <w:rsid w:val="7EA85A3A"/>
    <w:rsid w:val="7EBC7738"/>
    <w:rsid w:val="7EC64112"/>
    <w:rsid w:val="7ED92098"/>
    <w:rsid w:val="7F2826D7"/>
    <w:rsid w:val="7F7D2A23"/>
    <w:rsid w:val="7F8E4C30"/>
    <w:rsid w:val="7FA06711"/>
    <w:rsid w:val="7FB126CD"/>
    <w:rsid w:val="7FBA5A25"/>
    <w:rsid w:val="7FC65050"/>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unhideWhenUsed/>
    <w:qFormat/>
    <w:uiPriority w:val="0"/>
    <w:pPr>
      <w:keepNext/>
      <w:keepLines/>
      <w:spacing w:beforeAutospacing="0" w:afterLines="0" w:afterAutospacing="0" w:line="600" w:lineRule="exact"/>
      <w:outlineLvl w:val="2"/>
    </w:pPr>
    <w:rPr>
      <w:b/>
      <w:sz w:val="30"/>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semiHidden/>
    <w:unhideWhenUsed/>
    <w:qFormat/>
    <w:uiPriority w:val="99"/>
    <w:pPr>
      <w:spacing w:after="120"/>
    </w:p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4"/>
    <w:unhideWhenUsed/>
    <w:qFormat/>
    <w:uiPriority w:val="99"/>
    <w:pPr>
      <w:ind w:firstLine="420" w:firstLineChars="1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Emphasis"/>
    <w:basedOn w:val="14"/>
    <w:qFormat/>
    <w:uiPriority w:val="0"/>
    <w:rPr>
      <w:i/>
    </w:rPr>
  </w:style>
  <w:style w:type="character" w:customStyle="1" w:styleId="17">
    <w:name w:val="font31"/>
    <w:basedOn w:val="14"/>
    <w:qFormat/>
    <w:uiPriority w:val="0"/>
    <w:rPr>
      <w:rFonts w:hint="eastAsia" w:ascii="宋体" w:hAnsi="宋体" w:eastAsia="宋体" w:cs="宋体"/>
      <w:color w:val="000000"/>
      <w:sz w:val="18"/>
      <w:szCs w:val="18"/>
      <w:u w:val="none"/>
    </w:rPr>
  </w:style>
  <w:style w:type="character" w:customStyle="1" w:styleId="18">
    <w:name w:val="font41"/>
    <w:basedOn w:val="14"/>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6934</Words>
  <Characters>7860</Characters>
  <Lines>0</Lines>
  <Paragraphs>0</Paragraphs>
  <TotalTime>3</TotalTime>
  <ScaleCrop>false</ScaleCrop>
  <LinksUpToDate>false</LinksUpToDate>
  <CharactersWithSpaces>8110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2025-12-11T08:04:00Z</dcterms:created>
  <dc:creator>艺</dc:creator>
  <cp:lastModifiedBy>小百合</cp:lastModifiedBy>
  <dcterms:modified xsi:type="dcterms:W3CDTF">2025-12-29T08:08:19Z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5845E146EF19450AA0B3554F7305BDE4_13</vt:lpwstr>
  </property>
  <property fmtid="{D5CDD505-2E9C-101B-9397-08002B2CF9AE}" pid="4" name="KSOTemplateDocerSaveRecord">
    <vt:lpwstr>eyJoZGlkIjoiNjFiYWRkODkwNmJiOGVlMGM0Y2Q5ZmU2NWYwMDZmNmUiLCJ1c2VySWQiOiIzOTMyMDI4MTgifQ==</vt:lpwstr>
  </property>
</Properties>
</file>