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66BED">
      <w:pPr>
        <w:spacing w:after="180" w:line="680" w:lineRule="exact"/>
        <w:ind w:left="0" w:leftChars="0" w:firstLine="0" w:firstLineChars="0"/>
        <w:jc w:val="center"/>
        <w:rPr>
          <w:color w:val="000000"/>
          <w:sz w:val="42"/>
        </w:rPr>
      </w:pPr>
    </w:p>
    <w:p w14:paraId="1DCE03F6">
      <w:pPr>
        <w:spacing w:after="180" w:line="680" w:lineRule="exact"/>
        <w:ind w:left="0" w:leftChars="0" w:firstLine="0" w:firstLineChars="0"/>
        <w:jc w:val="center"/>
        <w:rPr>
          <w:color w:val="000000"/>
          <w:sz w:val="42"/>
        </w:rPr>
      </w:pPr>
    </w:p>
    <w:p w14:paraId="5308569F">
      <w:pPr>
        <w:spacing w:after="180" w:line="680" w:lineRule="exact"/>
        <w:ind w:left="0" w:leftChars="0" w:firstLine="0" w:firstLineChars="0"/>
        <w:jc w:val="center"/>
        <w:rPr>
          <w:color w:val="000000"/>
          <w:sz w:val="42"/>
        </w:rPr>
      </w:pPr>
    </w:p>
    <w:p w14:paraId="56BA1CD1">
      <w:pPr>
        <w:spacing w:after="180" w:line="680" w:lineRule="exact"/>
        <w:ind w:left="0" w:leftChars="0" w:firstLine="0" w:firstLineChars="0"/>
        <w:jc w:val="center"/>
        <w:rPr>
          <w:color w:val="000000"/>
          <w:sz w:val="42"/>
        </w:rPr>
      </w:pPr>
    </w:p>
    <w:p w14:paraId="0A1A6618">
      <w:pPr>
        <w:bidi w:val="0"/>
        <w:spacing w:line="240" w:lineRule="auto"/>
        <w:ind w:left="0" w:leftChars="0" w:firstLine="0" w:firstLineChars="0"/>
        <w:jc w:val="center"/>
        <w:rPr>
          <w:rFonts w:hint="eastAsia"/>
          <w:b/>
          <w:bCs/>
          <w:sz w:val="44"/>
          <w:szCs w:val="44"/>
          <w:lang w:val="en-US" w:eastAsia="zh-CN"/>
        </w:rPr>
      </w:pPr>
      <w:bookmarkStart w:id="0" w:name="_Toc29105"/>
      <w:r>
        <w:rPr>
          <w:rFonts w:hint="eastAsia"/>
          <w:b/>
          <w:bCs/>
          <w:sz w:val="44"/>
          <w:szCs w:val="44"/>
          <w:lang w:val="en-US" w:eastAsia="zh-CN"/>
        </w:rPr>
        <w:t>中共三门峡市陕州区委宣传部</w:t>
      </w:r>
    </w:p>
    <w:p w14:paraId="2BB89898">
      <w:pPr>
        <w:bidi w:val="0"/>
        <w:spacing w:line="240" w:lineRule="auto"/>
        <w:ind w:left="0" w:leftChars="0" w:firstLine="0" w:firstLineChars="0"/>
        <w:jc w:val="center"/>
        <w:rPr>
          <w:rFonts w:hint="eastAsia"/>
          <w:b/>
          <w:bCs/>
          <w:sz w:val="44"/>
          <w:szCs w:val="44"/>
          <w:lang w:val="en-US" w:eastAsia="zh-CN"/>
        </w:rPr>
      </w:pPr>
      <w:r>
        <w:rPr>
          <w:rFonts w:hint="eastAsia"/>
          <w:b/>
          <w:bCs/>
          <w:sz w:val="44"/>
          <w:szCs w:val="44"/>
          <w:lang w:val="en-US" w:eastAsia="zh-CN"/>
        </w:rPr>
        <w:t>2024年部门整体</w:t>
      </w:r>
    </w:p>
    <w:p w14:paraId="4C76B991">
      <w:pPr>
        <w:bidi w:val="0"/>
        <w:spacing w:line="240" w:lineRule="auto"/>
        <w:ind w:left="0" w:leftChars="0" w:firstLine="0" w:firstLineChars="0"/>
        <w:jc w:val="center"/>
        <w:rPr>
          <w:b/>
          <w:bCs/>
          <w:sz w:val="44"/>
          <w:szCs w:val="44"/>
        </w:rPr>
      </w:pPr>
      <w:r>
        <w:rPr>
          <w:rFonts w:hint="eastAsia"/>
          <w:b/>
          <w:bCs/>
          <w:sz w:val="44"/>
          <w:szCs w:val="44"/>
          <w:lang w:val="en-US" w:eastAsia="zh-CN"/>
        </w:rPr>
        <w:t>绩效评价报告</w:t>
      </w:r>
    </w:p>
    <w:p w14:paraId="5EE79DED">
      <w:pPr>
        <w:ind w:left="0" w:leftChars="0" w:firstLine="0" w:firstLineChars="0"/>
        <w:jc w:val="center"/>
        <w:rPr>
          <w:sz w:val="36"/>
          <w:szCs w:val="40"/>
        </w:rPr>
      </w:pPr>
    </w:p>
    <w:p w14:paraId="67937498">
      <w:pPr>
        <w:ind w:left="0" w:leftChars="0" w:firstLine="0" w:firstLineChars="0"/>
        <w:jc w:val="center"/>
      </w:pPr>
    </w:p>
    <w:p w14:paraId="03F32F0A">
      <w:pPr>
        <w:ind w:left="0" w:leftChars="0" w:firstLine="0" w:firstLineChars="0"/>
        <w:jc w:val="center"/>
      </w:pPr>
    </w:p>
    <w:p w14:paraId="59A13023">
      <w:pPr>
        <w:ind w:left="0" w:leftChars="0" w:firstLine="0" w:firstLineChars="0"/>
        <w:jc w:val="both"/>
      </w:pPr>
    </w:p>
    <w:p w14:paraId="692A8380">
      <w:pPr>
        <w:ind w:left="0" w:leftChars="0" w:firstLine="0" w:firstLineChars="0"/>
        <w:jc w:val="both"/>
      </w:pPr>
    </w:p>
    <w:p w14:paraId="7DDCA30A">
      <w:pPr>
        <w:ind w:left="0" w:leftChars="0" w:firstLine="0" w:firstLineChars="0"/>
        <w:jc w:val="both"/>
      </w:pPr>
    </w:p>
    <w:p w14:paraId="2590CD49">
      <w:pPr>
        <w:ind w:left="0" w:leftChars="0" w:firstLine="0" w:firstLineChars="0"/>
        <w:jc w:val="both"/>
      </w:pPr>
    </w:p>
    <w:p w14:paraId="67B27A52">
      <w:pPr>
        <w:bidi w:val="0"/>
        <w:ind w:left="0" w:leftChars="0" w:firstLine="0" w:firstLineChars="0"/>
        <w:rPr>
          <w:b/>
          <w:bCs/>
          <w:sz w:val="28"/>
          <w:szCs w:val="28"/>
          <w:highlight w:val="none"/>
        </w:rPr>
      </w:pPr>
    </w:p>
    <w:p w14:paraId="58871565">
      <w:pPr>
        <w:bidi w:val="0"/>
        <w:ind w:firstLine="1687" w:firstLineChars="600"/>
        <w:jc w:val="both"/>
        <w:rPr>
          <w:rFonts w:hint="eastAsia" w:eastAsia="宋体"/>
          <w:b/>
          <w:bCs/>
          <w:sz w:val="28"/>
          <w:szCs w:val="28"/>
          <w:highlight w:val="none"/>
          <w:lang w:val="en-US" w:eastAsia="zh-CN"/>
        </w:rPr>
      </w:pPr>
      <w:r>
        <w:rPr>
          <w:rFonts w:hint="eastAsia"/>
          <w:b/>
          <w:bCs/>
          <w:sz w:val="28"/>
          <w:szCs w:val="28"/>
          <w:highlight w:val="none"/>
          <w:lang w:val="en-US" w:eastAsia="zh-CN"/>
        </w:rPr>
        <w:t>实施单位</w:t>
      </w:r>
      <w:r>
        <w:rPr>
          <w:b/>
          <w:bCs/>
          <w:sz w:val="28"/>
          <w:szCs w:val="28"/>
          <w:highlight w:val="none"/>
        </w:rPr>
        <w:t>：</w:t>
      </w:r>
      <w:r>
        <w:rPr>
          <w:rFonts w:hint="eastAsia"/>
          <w:b/>
          <w:bCs/>
          <w:sz w:val="28"/>
          <w:szCs w:val="28"/>
          <w:highlight w:val="none"/>
          <w:lang w:eastAsia="zh-CN"/>
        </w:rPr>
        <w:t>中共三门峡市陕州区委宣传部</w:t>
      </w:r>
    </w:p>
    <w:p w14:paraId="6C57791B">
      <w:pPr>
        <w:bidi w:val="0"/>
        <w:ind w:firstLine="1687" w:firstLineChars="600"/>
        <w:jc w:val="both"/>
        <w:rPr>
          <w:rFonts w:hint="default" w:eastAsia="宋体"/>
          <w:b/>
          <w:bCs/>
          <w:sz w:val="28"/>
          <w:szCs w:val="28"/>
          <w:highlight w:val="none"/>
          <w:lang w:val="en-US" w:eastAsia="zh-CN"/>
        </w:rPr>
      </w:pPr>
      <w:r>
        <w:rPr>
          <w:b/>
          <w:bCs/>
          <w:sz w:val="28"/>
          <w:szCs w:val="28"/>
          <w:highlight w:val="none"/>
        </w:rPr>
        <w:t>委托单位：三门峡</w:t>
      </w:r>
      <w:r>
        <w:rPr>
          <w:rFonts w:hint="eastAsia"/>
          <w:b/>
          <w:bCs/>
          <w:sz w:val="28"/>
          <w:szCs w:val="28"/>
          <w:highlight w:val="none"/>
          <w:lang w:val="en-US" w:eastAsia="zh-CN"/>
        </w:rPr>
        <w:t>市陕州区财政局</w:t>
      </w:r>
    </w:p>
    <w:p w14:paraId="5311754E">
      <w:pPr>
        <w:bidi w:val="0"/>
        <w:jc w:val="center"/>
        <w:rPr>
          <w:rFonts w:hint="eastAsia"/>
          <w:b/>
          <w:bCs/>
          <w:sz w:val="28"/>
          <w:szCs w:val="28"/>
          <w:highlight w:val="none"/>
          <w:lang w:val="en-US" w:eastAsia="zh-CN"/>
        </w:rPr>
      </w:pPr>
      <w:r>
        <w:rPr>
          <w:b/>
          <w:bCs/>
          <w:sz w:val="28"/>
          <w:szCs w:val="28"/>
          <w:highlight w:val="none"/>
        </w:rPr>
        <w:t>评价机构：</w:t>
      </w:r>
      <w:r>
        <w:rPr>
          <w:rFonts w:hint="eastAsia"/>
          <w:b/>
          <w:bCs/>
          <w:sz w:val="28"/>
          <w:szCs w:val="28"/>
          <w:highlight w:val="none"/>
          <w:lang w:val="en-US" w:eastAsia="zh-CN"/>
        </w:rPr>
        <w:t>河南德友会计师事务所(普通合伙)</w:t>
      </w:r>
    </w:p>
    <w:p w14:paraId="3DDE5231">
      <w:pPr>
        <w:bidi w:val="0"/>
        <w:ind w:firstLine="1687" w:firstLineChars="600"/>
        <w:jc w:val="both"/>
        <w:rPr>
          <w:rFonts w:hint="default"/>
          <w:b/>
          <w:bCs/>
          <w:sz w:val="28"/>
          <w:szCs w:val="28"/>
          <w:highlight w:val="none"/>
          <w:lang w:val="en-US" w:eastAsia="zh-CN"/>
        </w:rPr>
      </w:pPr>
      <w:r>
        <w:rPr>
          <w:rFonts w:hint="eastAsia"/>
          <w:b/>
          <w:bCs/>
          <w:sz w:val="28"/>
          <w:szCs w:val="28"/>
          <w:highlight w:val="none"/>
          <w:lang w:val="en-US" w:eastAsia="zh-CN"/>
        </w:rPr>
        <w:t>评价日期：2025年12月23日</w:t>
      </w:r>
    </w:p>
    <w:p w14:paraId="7A11AD81">
      <w:pPr>
        <w:bidi w:val="0"/>
        <w:jc w:val="left"/>
        <w:rPr>
          <w:rFonts w:hint="default"/>
          <w:b/>
          <w:bCs/>
          <w:sz w:val="28"/>
          <w:szCs w:val="28"/>
          <w:highlight w:val="none"/>
          <w:lang w:val="en-US" w:eastAsia="zh-CN"/>
        </w:rPr>
      </w:pPr>
    </w:p>
    <w:p w14:paraId="4D7C95E2">
      <w:pPr>
        <w:rPr>
          <w:rFonts w:hint="eastAsia"/>
          <w:b/>
          <w:bCs/>
          <w:sz w:val="32"/>
          <w:szCs w:val="36"/>
          <w:lang w:val="en-US" w:eastAsia="zh-CN"/>
        </w:rPr>
      </w:pPr>
      <w:r>
        <w:rPr>
          <w:rFonts w:hint="eastAsia"/>
          <w:b/>
          <w:bCs/>
          <w:sz w:val="32"/>
          <w:szCs w:val="36"/>
          <w:lang w:val="en-US" w:eastAsia="zh-CN"/>
        </w:rPr>
        <w:br w:type="page"/>
      </w:r>
    </w:p>
    <w:p w14:paraId="7EF59066">
      <w:pPr>
        <w:bidi w:val="0"/>
        <w:ind w:left="0" w:leftChars="0" w:firstLine="0" w:firstLineChars="0"/>
        <w:jc w:val="center"/>
        <w:rPr>
          <w:rFonts w:hint="eastAsia"/>
          <w:b/>
          <w:bCs/>
          <w:sz w:val="32"/>
          <w:szCs w:val="36"/>
          <w:lang w:val="en-US" w:eastAsia="zh-CN"/>
        </w:rPr>
      </w:pPr>
      <w:r>
        <w:rPr>
          <w:rFonts w:hint="eastAsia"/>
          <w:b/>
          <w:bCs/>
          <w:sz w:val="32"/>
          <w:szCs w:val="36"/>
          <w:lang w:val="en-US" w:eastAsia="zh-CN"/>
        </w:rPr>
        <w:t>摘  要</w:t>
      </w:r>
    </w:p>
    <w:p w14:paraId="5758DD9E">
      <w:pPr>
        <w:bidi w:val="0"/>
        <w:rPr>
          <w:rFonts w:hint="eastAsia"/>
          <w:highlight w:val="none"/>
          <w:lang w:val="en-US" w:eastAsia="zh-CN"/>
        </w:rPr>
      </w:pPr>
      <w:r>
        <w:rPr>
          <w:rFonts w:hint="eastAsia"/>
          <w:highlight w:val="none"/>
          <w:lang w:val="en-US" w:eastAsia="zh-CN"/>
        </w:rPr>
        <w:t>为全面贯彻实施《中共中央 国务院关于全面实施预算绩效管理的意见》、《中共河南省委 河南省人民政府关于全面实施预算绩效管理的实施意见》及《</w:t>
      </w:r>
      <w:r>
        <w:rPr>
          <w:highlight w:val="none"/>
        </w:rPr>
        <w:t>中共三门峡市委 三门峡市人民政府关于全面实施预算绩效管理的实施意见》</w:t>
      </w:r>
      <w:r>
        <w:rPr>
          <w:rFonts w:hint="eastAsia"/>
          <w:highlight w:val="none"/>
          <w:lang w:val="en-US" w:eastAsia="zh-CN"/>
        </w:rPr>
        <w:t>等精神，准确地反映预算资金的投入产出效果，衡量核心业务实施效果，规范资金管理行为，提高财政资金使用效益，受三门峡市陕州区财政局委托，河南德友会计师事务所(普通合伙)对中共三门峡市陕州区委宣传部（以下简称：陕州区委宣传部）部门整体项目进行绩效评价。</w:t>
      </w:r>
    </w:p>
    <w:p w14:paraId="574D27ED">
      <w:pPr>
        <w:bidi w:val="0"/>
        <w:rPr>
          <w:rFonts w:hint="eastAsia"/>
          <w:highlight w:val="none"/>
          <w:lang w:val="en-US" w:eastAsia="zh-CN"/>
        </w:rPr>
      </w:pPr>
      <w:r>
        <w:rPr>
          <w:rFonts w:hint="eastAsia"/>
          <w:highlight w:val="none"/>
          <w:lang w:val="en-US" w:eastAsia="zh-CN"/>
        </w:rPr>
        <w:t>中共中共三门峡市陕州区委宣传部内设机构 7 个，包括：办公室、意识形态理论股、新闻外宣股、宣教和文化文艺股、新闻出版和电影股、精神文明建设股、网信股等 7 个股室。另设有三门峡市陕州区互联网应急指挥中心、三门峡市陕州区新时代文明实践指导中心两个财政全供事业单位。三门峡市陕州区电影事务中心为自收自支单位。</w:t>
      </w:r>
    </w:p>
    <w:p w14:paraId="04CF63EA">
      <w:pPr>
        <w:bidi w:val="0"/>
        <w:rPr>
          <w:rFonts w:hint="eastAsia"/>
          <w:highlight w:val="none"/>
          <w:lang w:val="en-US" w:eastAsia="zh-CN"/>
        </w:rPr>
      </w:pPr>
      <w:r>
        <w:rPr>
          <w:rFonts w:hint="eastAsia"/>
          <w:highlight w:val="none"/>
          <w:lang w:val="en-US" w:eastAsia="zh-CN"/>
        </w:rPr>
        <w:t>根据陕州区委宣传部2024年部门预算公开信息显示，2024年度中共三门峡市陕州区委宣传部获批部门收入预算400.31万元，其中：一般公共预算财政拨款收入400.31万元；部门支出预算400.31万元，其中：基本支出326.04万元，占比81.45%；项目支出74.27万元，占比18.55%。</w:t>
      </w:r>
    </w:p>
    <w:p w14:paraId="25B24FAA">
      <w:pPr>
        <w:bidi w:val="0"/>
        <w:rPr>
          <w:rFonts w:hint="eastAsia"/>
          <w:highlight w:val="none"/>
          <w:lang w:val="en-US" w:eastAsia="zh-CN"/>
        </w:rPr>
      </w:pPr>
      <w:r>
        <w:rPr>
          <w:rFonts w:hint="eastAsia"/>
          <w:highlight w:val="none"/>
          <w:lang w:val="en-US" w:eastAsia="zh-CN"/>
        </w:rPr>
        <w:t>根据陕州区委宣传部2024年部门决算公开信息显示，2024年度部门年初预算数400.31万元，全年调整后预算数为763.68万元；2024年决算支出613.45元，其中：基本支出339.50万元，项目支出273.95万元。</w:t>
      </w:r>
    </w:p>
    <w:p w14:paraId="5E220389">
      <w:pPr>
        <w:bidi w:val="0"/>
        <w:rPr>
          <w:rFonts w:hint="eastAsia"/>
          <w:highlight w:val="none"/>
          <w:lang w:val="en-US" w:eastAsia="zh-CN"/>
        </w:rPr>
      </w:pPr>
      <w:r>
        <w:rPr>
          <w:rFonts w:hint="eastAsia" w:cs="宋体"/>
          <w:color w:val="000000"/>
          <w:sz w:val="28"/>
          <w:szCs w:val="28"/>
          <w:lang w:val="en-US" w:eastAsia="zh-CN" w:bidi="ar"/>
        </w:rPr>
        <w:t>陕州区</w:t>
      </w:r>
      <w:r>
        <w:rPr>
          <w:rFonts w:hint="eastAsia" w:ascii="宋体" w:hAnsi="宋体" w:eastAsia="宋体" w:cs="宋体"/>
          <w:color w:val="000000"/>
          <w:sz w:val="28"/>
          <w:szCs w:val="28"/>
          <w:lang w:eastAsia="zh-CN" w:bidi="ar"/>
        </w:rPr>
        <w:t>委宣传部202</w:t>
      </w:r>
      <w:r>
        <w:rPr>
          <w:rFonts w:hint="eastAsia" w:ascii="宋体" w:hAnsi="宋体" w:eastAsia="宋体" w:cs="宋体"/>
          <w:color w:val="000000"/>
          <w:sz w:val="28"/>
          <w:szCs w:val="28"/>
          <w:lang w:val="en-US" w:eastAsia="zh-CN" w:bidi="ar"/>
        </w:rPr>
        <w:t>4</w:t>
      </w:r>
      <w:r>
        <w:rPr>
          <w:rFonts w:hint="eastAsia" w:ascii="宋体" w:hAnsi="宋体" w:eastAsia="宋体" w:cs="宋体"/>
          <w:color w:val="000000"/>
          <w:sz w:val="28"/>
          <w:szCs w:val="28"/>
          <w:lang w:eastAsia="zh-CN" w:bidi="ar"/>
        </w:rPr>
        <w:t>年部门整体绩效评价</w:t>
      </w:r>
      <w:r>
        <w:rPr>
          <w:rFonts w:hint="eastAsia" w:ascii="宋体" w:hAnsi="宋体" w:eastAsia="宋体" w:cs="宋体"/>
          <w:color w:val="000000"/>
          <w:sz w:val="28"/>
          <w:szCs w:val="28"/>
          <w:highlight w:val="none"/>
          <w:lang w:eastAsia="zh-CN" w:bidi="ar"/>
        </w:rPr>
        <w:t xml:space="preserve">得分 </w:t>
      </w:r>
      <w:r>
        <w:rPr>
          <w:rFonts w:hint="eastAsia" w:cs="宋体"/>
          <w:color w:val="000000"/>
          <w:sz w:val="28"/>
          <w:szCs w:val="28"/>
          <w:highlight w:val="none"/>
          <w:lang w:val="en-US" w:eastAsia="zh-CN" w:bidi="ar"/>
        </w:rPr>
        <w:t>90.6</w:t>
      </w:r>
      <w:r>
        <w:rPr>
          <w:rFonts w:hint="eastAsia" w:ascii="宋体" w:hAnsi="宋体" w:eastAsia="宋体" w:cs="宋体"/>
          <w:color w:val="000000"/>
          <w:sz w:val="28"/>
          <w:szCs w:val="28"/>
          <w:highlight w:val="none"/>
          <w:lang w:eastAsia="zh-CN" w:bidi="ar"/>
        </w:rPr>
        <w:t>分，</w:t>
      </w:r>
      <w:r>
        <w:rPr>
          <w:rFonts w:hint="eastAsia" w:ascii="宋体" w:hAnsi="宋体" w:eastAsia="宋体" w:cs="宋体"/>
          <w:color w:val="000000"/>
          <w:sz w:val="28"/>
          <w:szCs w:val="28"/>
          <w:lang w:eastAsia="zh-CN" w:bidi="ar"/>
        </w:rPr>
        <w:t>评价等级为“</w:t>
      </w:r>
      <w:r>
        <w:rPr>
          <w:rFonts w:hint="eastAsia" w:cs="宋体"/>
          <w:color w:val="000000"/>
          <w:sz w:val="28"/>
          <w:szCs w:val="28"/>
          <w:lang w:val="en-US" w:eastAsia="zh-CN" w:bidi="ar"/>
        </w:rPr>
        <w:t>优</w:t>
      </w:r>
      <w:r>
        <w:rPr>
          <w:rFonts w:hint="eastAsia" w:ascii="宋体" w:hAnsi="宋体" w:eastAsia="宋体" w:cs="宋体"/>
          <w:color w:val="000000"/>
          <w:sz w:val="28"/>
          <w:szCs w:val="28"/>
          <w:lang w:eastAsia="zh-CN" w:bidi="ar"/>
        </w:rPr>
        <w:t>”。一级指标具体得分</w:t>
      </w:r>
      <w:r>
        <w:rPr>
          <w:rFonts w:hint="eastAsia" w:ascii="宋体" w:hAnsi="宋体" w:eastAsia="宋体" w:cs="宋体"/>
          <w:color w:val="000000"/>
          <w:sz w:val="28"/>
          <w:szCs w:val="28"/>
          <w:lang w:val="en-US" w:eastAsia="zh-CN" w:bidi="ar"/>
        </w:rPr>
        <w:t>情况</w:t>
      </w:r>
      <w:r>
        <w:rPr>
          <w:rFonts w:hint="eastAsia" w:ascii="宋体" w:hAnsi="宋体" w:eastAsia="宋体" w:cs="宋体"/>
          <w:color w:val="000000"/>
          <w:sz w:val="28"/>
          <w:szCs w:val="28"/>
          <w:lang w:eastAsia="zh-CN" w:bidi="ar"/>
        </w:rPr>
        <w:t>详见</w:t>
      </w:r>
      <w:r>
        <w:rPr>
          <w:rFonts w:hint="eastAsia" w:ascii="宋体" w:hAnsi="宋体" w:eastAsia="宋体" w:cs="宋体"/>
          <w:color w:val="000000"/>
          <w:sz w:val="28"/>
          <w:szCs w:val="28"/>
          <w:lang w:val="en-US" w:eastAsia="zh-CN" w:bidi="ar"/>
        </w:rPr>
        <w:t>下</w:t>
      </w:r>
      <w:r>
        <w:rPr>
          <w:rFonts w:hint="eastAsia" w:ascii="宋体" w:hAnsi="宋体" w:eastAsia="宋体" w:cs="宋体"/>
          <w:color w:val="000000"/>
          <w:sz w:val="28"/>
          <w:szCs w:val="28"/>
          <w:lang w:eastAsia="zh-CN" w:bidi="ar"/>
        </w:rPr>
        <w:t>表：</w:t>
      </w:r>
    </w:p>
    <w:p w14:paraId="70495B3B">
      <w:pPr>
        <w:bidi w:val="0"/>
        <w:rPr>
          <w:b/>
          <w:bCs/>
          <w:highlight w:val="none"/>
        </w:rPr>
      </w:pPr>
      <w:r>
        <w:rPr>
          <w:rFonts w:hint="eastAsia"/>
          <w:b/>
          <w:bCs/>
          <w:highlight w:val="none"/>
          <w:lang w:val="en-US" w:eastAsia="zh-CN"/>
        </w:rPr>
        <w:t>1.评价基准日：</w:t>
      </w:r>
      <w:r>
        <w:rPr>
          <w:rFonts w:hint="eastAsia"/>
          <w:b w:val="0"/>
          <w:bCs w:val="0"/>
          <w:highlight w:val="none"/>
          <w:lang w:val="en-US" w:eastAsia="zh-CN"/>
        </w:rPr>
        <w:t>2024年1月1日至2024年12月31日</w:t>
      </w:r>
    </w:p>
    <w:p w14:paraId="0ACAF3F0">
      <w:pPr>
        <w:bidi w:val="0"/>
        <w:rPr>
          <w:rFonts w:hint="default" w:eastAsiaTheme="minorEastAsia"/>
          <w:b w:val="0"/>
          <w:bCs w:val="0"/>
          <w:highlight w:val="none"/>
          <w:lang w:val="en-US" w:eastAsia="zh-CN"/>
        </w:rPr>
      </w:pPr>
      <w:r>
        <w:rPr>
          <w:rFonts w:hint="eastAsia"/>
          <w:b/>
          <w:bCs/>
          <w:highlight w:val="none"/>
          <w:lang w:val="en-US" w:eastAsia="zh-CN"/>
        </w:rPr>
        <w:t>2.评价综合评分：</w:t>
      </w:r>
    </w:p>
    <w:tbl>
      <w:tblPr>
        <w:tblStyle w:val="22"/>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35"/>
        <w:gridCol w:w="1675"/>
        <w:gridCol w:w="2013"/>
        <w:gridCol w:w="1663"/>
        <w:gridCol w:w="1675"/>
      </w:tblGrid>
      <w:tr w14:paraId="2D90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4C77AF3A">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978" w:type="pct"/>
            <w:vAlign w:val="center"/>
          </w:tcPr>
          <w:p w14:paraId="12DA263E">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1175" w:type="pct"/>
            <w:vAlign w:val="center"/>
          </w:tcPr>
          <w:p w14:paraId="261F9011">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971" w:type="pct"/>
            <w:vAlign w:val="center"/>
          </w:tcPr>
          <w:p w14:paraId="664478DA">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c>
          <w:tcPr>
            <w:tcW w:w="978" w:type="pct"/>
            <w:vAlign w:val="center"/>
          </w:tcPr>
          <w:p w14:paraId="3DE9690C">
            <w:pPr>
              <w:spacing w:before="0" w:beforeLines="0" w:line="240" w:lineRule="auto"/>
              <w:ind w:firstLine="0" w:firstLineChars="0"/>
              <w:jc w:val="center"/>
              <w:rPr>
                <w:b/>
                <w:bCs/>
                <w:sz w:val="24"/>
                <w:szCs w:val="24"/>
                <w:highlight w:val="none"/>
              </w:rPr>
            </w:pPr>
            <w:r>
              <w:rPr>
                <w:b/>
                <w:bCs/>
                <w:color w:val="000000"/>
                <w:sz w:val="24"/>
                <w:szCs w:val="24"/>
                <w:highlight w:val="none"/>
              </w:rPr>
              <w:t>绩效等级</w:t>
            </w:r>
          </w:p>
        </w:tc>
      </w:tr>
      <w:tr w14:paraId="060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091B4C0E">
            <w:pPr>
              <w:spacing w:before="0" w:beforeLines="0" w:line="240" w:lineRule="auto"/>
              <w:ind w:firstLine="0" w:firstLineChars="0"/>
              <w:jc w:val="center"/>
              <w:rPr>
                <w:sz w:val="24"/>
                <w:szCs w:val="24"/>
                <w:highlight w:val="none"/>
              </w:rPr>
            </w:pPr>
            <w:r>
              <w:rPr>
                <w:rFonts w:hint="eastAsia"/>
                <w:color w:val="000000"/>
                <w:sz w:val="24"/>
                <w:szCs w:val="24"/>
                <w:highlight w:val="none"/>
              </w:rPr>
              <w:t>投入管理</w:t>
            </w:r>
          </w:p>
        </w:tc>
        <w:tc>
          <w:tcPr>
            <w:tcW w:w="1675" w:type="dxa"/>
            <w:vAlign w:val="center"/>
          </w:tcPr>
          <w:p w14:paraId="5A987112">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40</w:t>
            </w:r>
          </w:p>
        </w:tc>
        <w:tc>
          <w:tcPr>
            <w:tcW w:w="2013" w:type="dxa"/>
            <w:vAlign w:val="center"/>
          </w:tcPr>
          <w:p w14:paraId="26890982">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sz w:val="24"/>
                <w:szCs w:val="24"/>
                <w:highlight w:val="none"/>
                <w:lang w:val="en-US" w:eastAsia="zh-CN"/>
              </w:rPr>
              <w:t>76.5%</w:t>
            </w:r>
          </w:p>
        </w:tc>
        <w:tc>
          <w:tcPr>
            <w:tcW w:w="1663" w:type="dxa"/>
            <w:vAlign w:val="center"/>
          </w:tcPr>
          <w:p w14:paraId="64CECEA3">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sz w:val="24"/>
                <w:szCs w:val="24"/>
                <w:highlight w:val="none"/>
                <w:lang w:val="en-US" w:eastAsia="zh-CN"/>
              </w:rPr>
              <w:t>30.6</w:t>
            </w:r>
          </w:p>
        </w:tc>
        <w:tc>
          <w:tcPr>
            <w:tcW w:w="978" w:type="pct"/>
            <w:vAlign w:val="center"/>
          </w:tcPr>
          <w:p w14:paraId="4FAF432C">
            <w:pPr>
              <w:spacing w:before="0" w:beforeLines="0" w:line="240" w:lineRule="auto"/>
              <w:ind w:firstLine="0" w:firstLineChars="0"/>
              <w:jc w:val="center"/>
              <w:rPr>
                <w:sz w:val="24"/>
                <w:szCs w:val="24"/>
                <w:highlight w:val="none"/>
              </w:rPr>
            </w:pPr>
            <w:r>
              <w:rPr>
                <w:color w:val="000000"/>
                <w:sz w:val="24"/>
                <w:szCs w:val="24"/>
                <w:highlight w:val="none"/>
              </w:rPr>
              <w:t>-</w:t>
            </w:r>
          </w:p>
        </w:tc>
      </w:tr>
      <w:tr w14:paraId="52E1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6B08F683">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1675" w:type="dxa"/>
            <w:vAlign w:val="center"/>
          </w:tcPr>
          <w:p w14:paraId="15AC5B86">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30</w:t>
            </w:r>
          </w:p>
        </w:tc>
        <w:tc>
          <w:tcPr>
            <w:tcW w:w="2013" w:type="dxa"/>
            <w:vAlign w:val="center"/>
          </w:tcPr>
          <w:p w14:paraId="0DC2DC32">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sz w:val="24"/>
                <w:szCs w:val="24"/>
                <w:highlight w:val="none"/>
                <w:lang w:val="en-US" w:eastAsia="zh-CN"/>
              </w:rPr>
              <w:t>100%</w:t>
            </w:r>
          </w:p>
        </w:tc>
        <w:tc>
          <w:tcPr>
            <w:tcW w:w="1663" w:type="dxa"/>
            <w:vAlign w:val="center"/>
          </w:tcPr>
          <w:p w14:paraId="0BB98E1F">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sz w:val="24"/>
                <w:szCs w:val="24"/>
                <w:highlight w:val="none"/>
                <w:lang w:val="en-US" w:eastAsia="zh-CN"/>
              </w:rPr>
              <w:t>30</w:t>
            </w:r>
          </w:p>
        </w:tc>
        <w:tc>
          <w:tcPr>
            <w:tcW w:w="978" w:type="pct"/>
            <w:vAlign w:val="center"/>
          </w:tcPr>
          <w:p w14:paraId="0ED308F3">
            <w:pPr>
              <w:spacing w:before="0" w:beforeLines="0" w:line="240" w:lineRule="auto"/>
              <w:ind w:firstLine="0" w:firstLineChars="0"/>
              <w:jc w:val="center"/>
              <w:rPr>
                <w:sz w:val="24"/>
                <w:szCs w:val="24"/>
                <w:highlight w:val="none"/>
              </w:rPr>
            </w:pPr>
            <w:r>
              <w:rPr>
                <w:color w:val="000000"/>
                <w:sz w:val="24"/>
                <w:szCs w:val="24"/>
                <w:highlight w:val="none"/>
              </w:rPr>
              <w:t>-</w:t>
            </w:r>
          </w:p>
        </w:tc>
      </w:tr>
      <w:tr w14:paraId="0F8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42FCB1ED">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1675" w:type="dxa"/>
            <w:vAlign w:val="center"/>
          </w:tcPr>
          <w:p w14:paraId="7BF56649">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30</w:t>
            </w:r>
          </w:p>
        </w:tc>
        <w:tc>
          <w:tcPr>
            <w:tcW w:w="2013" w:type="dxa"/>
            <w:vAlign w:val="center"/>
          </w:tcPr>
          <w:p w14:paraId="7B119C7F">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sz w:val="24"/>
                <w:szCs w:val="24"/>
                <w:highlight w:val="none"/>
                <w:lang w:val="en-US" w:eastAsia="zh-CN"/>
              </w:rPr>
              <w:t>100%</w:t>
            </w:r>
          </w:p>
        </w:tc>
        <w:tc>
          <w:tcPr>
            <w:tcW w:w="1663" w:type="dxa"/>
            <w:vAlign w:val="center"/>
          </w:tcPr>
          <w:p w14:paraId="3BE37FBB">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sz w:val="24"/>
                <w:szCs w:val="24"/>
                <w:highlight w:val="none"/>
                <w:lang w:val="en-US" w:eastAsia="zh-CN"/>
              </w:rPr>
              <w:t>30</w:t>
            </w:r>
          </w:p>
        </w:tc>
        <w:tc>
          <w:tcPr>
            <w:tcW w:w="978" w:type="pct"/>
            <w:vAlign w:val="center"/>
          </w:tcPr>
          <w:p w14:paraId="3A24F495">
            <w:pPr>
              <w:spacing w:before="0" w:beforeLines="0" w:line="240" w:lineRule="auto"/>
              <w:ind w:firstLine="0" w:firstLineChars="0"/>
              <w:jc w:val="center"/>
              <w:rPr>
                <w:sz w:val="24"/>
                <w:szCs w:val="24"/>
                <w:highlight w:val="none"/>
              </w:rPr>
            </w:pPr>
            <w:r>
              <w:rPr>
                <w:color w:val="000000"/>
                <w:sz w:val="24"/>
                <w:szCs w:val="24"/>
                <w:highlight w:val="none"/>
              </w:rPr>
              <w:t>-</w:t>
            </w:r>
          </w:p>
        </w:tc>
      </w:tr>
      <w:tr w14:paraId="048D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2E0ADE5D">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1675" w:type="dxa"/>
            <w:vAlign w:val="center"/>
          </w:tcPr>
          <w:p w14:paraId="6ACD26EA">
            <w:pPr>
              <w:keepNext w:val="0"/>
              <w:keepLines w:val="0"/>
              <w:widowControl/>
              <w:suppressLineNumbers w:val="0"/>
              <w:spacing w:line="240" w:lineRule="auto"/>
              <w:ind w:firstLine="0" w:firstLineChars="0"/>
              <w:jc w:val="center"/>
              <w:textAlignment w:val="center"/>
              <w:rPr>
                <w:rFonts w:hint="default" w:eastAsiaTheme="minorEastAsia"/>
                <w:b/>
                <w:bCs/>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100</w:t>
            </w:r>
          </w:p>
        </w:tc>
        <w:tc>
          <w:tcPr>
            <w:tcW w:w="2013" w:type="dxa"/>
            <w:vAlign w:val="center"/>
          </w:tcPr>
          <w:p w14:paraId="6B1DFF26">
            <w:pPr>
              <w:keepNext w:val="0"/>
              <w:keepLines w:val="0"/>
              <w:widowControl/>
              <w:suppressLineNumbers w:val="0"/>
              <w:spacing w:line="240" w:lineRule="auto"/>
              <w:ind w:firstLine="0" w:firstLineChars="0"/>
              <w:jc w:val="center"/>
              <w:textAlignment w:val="center"/>
              <w:rPr>
                <w:b/>
                <w:bCs/>
                <w:color w:val="000000"/>
                <w:sz w:val="24"/>
                <w:szCs w:val="24"/>
                <w:highlight w:val="none"/>
              </w:rPr>
            </w:pPr>
            <w:r>
              <w:rPr>
                <w:rFonts w:hint="eastAsia"/>
                <w:b/>
                <w:bCs/>
                <w:sz w:val="24"/>
                <w:szCs w:val="24"/>
                <w:highlight w:val="none"/>
                <w:lang w:val="en-US" w:eastAsia="zh-CN"/>
              </w:rPr>
              <w:t>90.6%</w:t>
            </w:r>
          </w:p>
        </w:tc>
        <w:tc>
          <w:tcPr>
            <w:tcW w:w="1663" w:type="dxa"/>
            <w:vAlign w:val="center"/>
          </w:tcPr>
          <w:p w14:paraId="22E4E9DF">
            <w:pPr>
              <w:keepNext w:val="0"/>
              <w:keepLines w:val="0"/>
              <w:widowControl/>
              <w:suppressLineNumbers w:val="0"/>
              <w:spacing w:line="240" w:lineRule="auto"/>
              <w:ind w:firstLine="0" w:firstLineChars="0"/>
              <w:jc w:val="center"/>
              <w:textAlignment w:val="center"/>
              <w:rPr>
                <w:rFonts w:hint="default"/>
                <w:b/>
                <w:bCs/>
                <w:color w:val="000000"/>
                <w:sz w:val="24"/>
                <w:szCs w:val="24"/>
                <w:highlight w:val="none"/>
                <w:lang w:val="en-US" w:eastAsia="zh-CN"/>
              </w:rPr>
            </w:pPr>
            <w:r>
              <w:rPr>
                <w:rFonts w:hint="eastAsia"/>
                <w:b/>
                <w:bCs/>
                <w:sz w:val="24"/>
                <w:szCs w:val="24"/>
                <w:highlight w:val="none"/>
                <w:lang w:val="en-US" w:eastAsia="zh-CN"/>
              </w:rPr>
              <w:t>90.6</w:t>
            </w:r>
          </w:p>
        </w:tc>
        <w:tc>
          <w:tcPr>
            <w:tcW w:w="978" w:type="pct"/>
            <w:vAlign w:val="center"/>
          </w:tcPr>
          <w:p w14:paraId="1751DD14">
            <w:pPr>
              <w:spacing w:before="0" w:beforeLines="0" w:line="240" w:lineRule="auto"/>
              <w:ind w:firstLine="0" w:firstLineChars="0"/>
              <w:jc w:val="center"/>
              <w:rPr>
                <w:rFonts w:hint="eastAsia" w:eastAsia="宋体"/>
                <w:b/>
                <w:bCs/>
                <w:sz w:val="24"/>
                <w:szCs w:val="24"/>
                <w:highlight w:val="none"/>
                <w:lang w:val="en-US" w:eastAsia="zh-CN"/>
              </w:rPr>
            </w:pPr>
            <w:r>
              <w:rPr>
                <w:rFonts w:hint="eastAsia"/>
                <w:b/>
                <w:bCs/>
                <w:sz w:val="24"/>
                <w:szCs w:val="24"/>
                <w:highlight w:val="none"/>
                <w:lang w:val="en-US" w:eastAsia="zh-CN"/>
              </w:rPr>
              <w:t>优</w:t>
            </w:r>
          </w:p>
        </w:tc>
      </w:tr>
    </w:tbl>
    <w:p w14:paraId="2152D5FD">
      <w:pPr>
        <w:bidi w:val="0"/>
        <w:rPr>
          <w:rFonts w:hint="eastAsia"/>
          <w:b/>
          <w:bCs/>
          <w:highlight w:val="none"/>
          <w:lang w:eastAsia="zh-CN"/>
        </w:rPr>
      </w:pPr>
      <w:r>
        <w:rPr>
          <w:rFonts w:hint="eastAsia"/>
          <w:b/>
          <w:bCs/>
          <w:highlight w:val="none"/>
          <w:lang w:val="en-US" w:eastAsia="zh-CN"/>
        </w:rPr>
        <w:t>3.</w:t>
      </w:r>
      <w:r>
        <w:rPr>
          <w:rFonts w:hint="eastAsia"/>
          <w:b/>
          <w:bCs/>
          <w:highlight w:val="none"/>
        </w:rPr>
        <w:t>综合评价结论</w:t>
      </w:r>
      <w:r>
        <w:rPr>
          <w:rFonts w:hint="eastAsia"/>
          <w:b/>
          <w:bCs/>
          <w:highlight w:val="none"/>
          <w:lang w:eastAsia="zh-CN"/>
        </w:rPr>
        <w:t>：</w:t>
      </w:r>
    </w:p>
    <w:p w14:paraId="0946AD9B">
      <w:pPr>
        <w:widowControl w:val="0"/>
        <w:numPr>
          <w:ilvl w:val="255"/>
          <w:numId w:val="0"/>
        </w:numPr>
        <w:kinsoku/>
        <w:topLinePunct/>
        <w:autoSpaceDE/>
        <w:autoSpaceDN/>
        <w:spacing w:line="590" w:lineRule="exact"/>
        <w:ind w:firstLine="584" w:firstLineChars="200"/>
        <w:jc w:val="both"/>
        <w:rPr>
          <w:rFonts w:hint="eastAsia" w:ascii="宋体" w:hAnsi="宋体" w:eastAsia="宋体" w:cs="宋体"/>
          <w:spacing w:val="6"/>
          <w:sz w:val="28"/>
          <w:szCs w:val="28"/>
          <w:lang w:eastAsia="zh-CN"/>
        </w:rPr>
      </w:pPr>
      <w:r>
        <w:rPr>
          <w:rFonts w:hint="eastAsia" w:ascii="宋体" w:hAnsi="宋体" w:eastAsia="宋体" w:cs="宋体"/>
          <w:spacing w:val="6"/>
          <w:sz w:val="28"/>
          <w:szCs w:val="28"/>
          <w:lang w:eastAsia="zh-CN"/>
        </w:rPr>
        <w:t>202</w:t>
      </w:r>
      <w:r>
        <w:rPr>
          <w:rFonts w:hint="eastAsia" w:ascii="宋体" w:hAnsi="宋体" w:eastAsia="宋体" w:cs="宋体"/>
          <w:spacing w:val="6"/>
          <w:sz w:val="28"/>
          <w:szCs w:val="28"/>
          <w:lang w:val="en-US" w:eastAsia="zh-CN"/>
        </w:rPr>
        <w:t>4</w:t>
      </w:r>
      <w:r>
        <w:rPr>
          <w:rFonts w:hint="eastAsia" w:ascii="宋体" w:hAnsi="宋体" w:eastAsia="宋体" w:cs="宋体"/>
          <w:spacing w:val="6"/>
          <w:sz w:val="28"/>
          <w:szCs w:val="28"/>
          <w:lang w:eastAsia="zh-CN"/>
        </w:rPr>
        <w:t>年</w:t>
      </w:r>
      <w:r>
        <w:rPr>
          <w:rFonts w:hint="eastAsia" w:cs="宋体"/>
          <w:spacing w:val="6"/>
          <w:sz w:val="28"/>
          <w:szCs w:val="28"/>
          <w:lang w:val="en-US" w:eastAsia="zh-CN"/>
        </w:rPr>
        <w:t>陕州区</w:t>
      </w:r>
      <w:r>
        <w:rPr>
          <w:rFonts w:hint="eastAsia" w:ascii="宋体" w:hAnsi="宋体" w:eastAsia="宋体" w:cs="宋体"/>
          <w:spacing w:val="6"/>
          <w:sz w:val="28"/>
          <w:szCs w:val="28"/>
          <w:lang w:eastAsia="zh-CN"/>
        </w:rPr>
        <w:t>委宣传部主要围绕重点工作任务、年度工作计划开展工作，基本实现预期绩效目标。部门通过层层分解任务计划，分配到各科室部门执行工作，在</w:t>
      </w:r>
      <w:r>
        <w:rPr>
          <w:rFonts w:hint="eastAsia" w:ascii="宋体" w:hAnsi="宋体" w:eastAsia="宋体" w:cs="宋体"/>
          <w:spacing w:val="6"/>
          <w:sz w:val="28"/>
          <w:szCs w:val="28"/>
          <w:lang w:val="en-US" w:eastAsia="zh-CN"/>
        </w:rPr>
        <w:t>理论学习、宣教工作</w:t>
      </w:r>
      <w:r>
        <w:rPr>
          <w:rFonts w:hint="eastAsia" w:cs="宋体"/>
          <w:spacing w:val="6"/>
          <w:sz w:val="28"/>
          <w:szCs w:val="28"/>
          <w:lang w:val="en-US" w:eastAsia="zh-CN"/>
        </w:rPr>
        <w:t>、新闻外宣、精神文明建设、思想道德建设、文化文艺</w:t>
      </w:r>
      <w:r>
        <w:rPr>
          <w:rFonts w:hint="eastAsia" w:ascii="宋体" w:hAnsi="宋体" w:eastAsia="宋体" w:cs="宋体"/>
          <w:spacing w:val="6"/>
          <w:sz w:val="28"/>
          <w:szCs w:val="28"/>
          <w:lang w:eastAsia="zh-CN"/>
        </w:rPr>
        <w:t>等各类事项做出</w:t>
      </w:r>
      <w:r>
        <w:rPr>
          <w:rFonts w:hint="eastAsia" w:cs="宋体"/>
          <w:spacing w:val="6"/>
          <w:sz w:val="28"/>
          <w:szCs w:val="28"/>
          <w:lang w:val="en-US" w:eastAsia="zh-CN"/>
        </w:rPr>
        <w:t>较好</w:t>
      </w:r>
      <w:r>
        <w:rPr>
          <w:rFonts w:hint="eastAsia" w:ascii="宋体" w:hAnsi="宋体" w:eastAsia="宋体" w:cs="宋体"/>
          <w:spacing w:val="6"/>
          <w:sz w:val="28"/>
          <w:szCs w:val="28"/>
          <w:lang w:eastAsia="zh-CN"/>
        </w:rPr>
        <w:t>效果。但也存在不足之处，如：对于</w:t>
      </w:r>
      <w:r>
        <w:rPr>
          <w:rFonts w:hint="eastAsia" w:cs="宋体"/>
          <w:spacing w:val="6"/>
          <w:sz w:val="28"/>
          <w:szCs w:val="28"/>
          <w:lang w:val="en-US" w:eastAsia="zh-CN"/>
        </w:rPr>
        <w:t>预算</w:t>
      </w:r>
      <w:r>
        <w:rPr>
          <w:rFonts w:hint="eastAsia" w:ascii="宋体" w:hAnsi="宋体" w:eastAsia="宋体" w:cs="宋体"/>
          <w:spacing w:val="6"/>
          <w:sz w:val="28"/>
          <w:szCs w:val="28"/>
          <w:lang w:val="en-US" w:eastAsia="zh-CN"/>
        </w:rPr>
        <w:t>绩效</w:t>
      </w:r>
      <w:r>
        <w:rPr>
          <w:rFonts w:hint="eastAsia" w:cs="宋体"/>
          <w:spacing w:val="6"/>
          <w:sz w:val="28"/>
          <w:szCs w:val="28"/>
          <w:lang w:val="en-US" w:eastAsia="zh-CN"/>
        </w:rPr>
        <w:t>产出指标未细化和量化</w:t>
      </w:r>
      <w:r>
        <w:rPr>
          <w:rFonts w:hint="eastAsia" w:ascii="宋体" w:hAnsi="宋体" w:eastAsia="宋体" w:cs="宋体"/>
          <w:spacing w:val="6"/>
          <w:sz w:val="28"/>
          <w:szCs w:val="28"/>
          <w:lang w:eastAsia="zh-CN"/>
        </w:rPr>
        <w:t>、</w:t>
      </w:r>
      <w:r>
        <w:rPr>
          <w:rFonts w:hint="eastAsia" w:cs="宋体"/>
          <w:spacing w:val="6"/>
          <w:sz w:val="28"/>
          <w:szCs w:val="28"/>
          <w:lang w:val="en-US" w:eastAsia="zh-CN"/>
        </w:rPr>
        <w:t>预算编制不完整、固定</w:t>
      </w:r>
      <w:r>
        <w:rPr>
          <w:rFonts w:hint="eastAsia" w:ascii="宋体" w:hAnsi="宋体" w:eastAsia="宋体" w:cs="宋体"/>
          <w:spacing w:val="6"/>
          <w:sz w:val="28"/>
          <w:szCs w:val="28"/>
          <w:lang w:val="en-US" w:eastAsia="zh-CN"/>
        </w:rPr>
        <w:t>资产</w:t>
      </w:r>
      <w:r>
        <w:rPr>
          <w:rFonts w:hint="eastAsia" w:cs="宋体"/>
          <w:spacing w:val="6"/>
          <w:sz w:val="28"/>
          <w:szCs w:val="28"/>
          <w:lang w:val="en-US" w:eastAsia="zh-CN"/>
        </w:rPr>
        <w:t>入账</w:t>
      </w:r>
      <w:r>
        <w:rPr>
          <w:rFonts w:hint="eastAsia" w:ascii="宋体" w:hAnsi="宋体" w:eastAsia="宋体" w:cs="宋体"/>
          <w:spacing w:val="6"/>
          <w:sz w:val="28"/>
          <w:szCs w:val="28"/>
          <w:lang w:val="en-US" w:eastAsia="zh-CN"/>
        </w:rPr>
        <w:t>不及时</w:t>
      </w:r>
      <w:r>
        <w:rPr>
          <w:rFonts w:hint="eastAsia" w:ascii="宋体" w:hAnsi="宋体" w:eastAsia="宋体" w:cs="宋体"/>
          <w:spacing w:val="6"/>
          <w:sz w:val="28"/>
          <w:szCs w:val="28"/>
          <w:lang w:eastAsia="zh-CN"/>
        </w:rPr>
        <w:t>、</w:t>
      </w:r>
      <w:r>
        <w:rPr>
          <w:rFonts w:hint="eastAsia" w:cs="宋体"/>
          <w:spacing w:val="6"/>
          <w:sz w:val="28"/>
          <w:szCs w:val="28"/>
          <w:lang w:val="en-US" w:eastAsia="zh-CN"/>
        </w:rPr>
        <w:t>重大项目支出评估论证和审批流程执行</w:t>
      </w:r>
      <w:r>
        <w:rPr>
          <w:rFonts w:hint="eastAsia" w:ascii="宋体" w:hAnsi="宋体" w:eastAsia="宋体" w:cs="宋体"/>
          <w:spacing w:val="6"/>
          <w:sz w:val="28"/>
          <w:szCs w:val="28"/>
          <w:lang w:val="en-US" w:eastAsia="zh-CN"/>
        </w:rPr>
        <w:t>不到位</w:t>
      </w:r>
      <w:r>
        <w:rPr>
          <w:rFonts w:hint="eastAsia" w:ascii="宋体" w:hAnsi="宋体" w:eastAsia="宋体" w:cs="宋体"/>
          <w:spacing w:val="6"/>
          <w:sz w:val="28"/>
          <w:szCs w:val="28"/>
          <w:lang w:eastAsia="zh-CN"/>
        </w:rPr>
        <w:t>等问题。</w:t>
      </w:r>
    </w:p>
    <w:p w14:paraId="297DA806">
      <w:pPr>
        <w:bidi w:val="0"/>
        <w:rPr>
          <w:color w:val="000000"/>
          <w:highlight w:val="yellow"/>
        </w:rPr>
      </w:pPr>
    </w:p>
    <w:p w14:paraId="1CC5EE4B">
      <w:pPr>
        <w:spacing w:after="540" w:line="420" w:lineRule="exact"/>
        <w:ind w:left="0" w:leftChars="0" w:firstLine="0" w:firstLineChars="0"/>
        <w:jc w:val="both"/>
        <w:rPr>
          <w:color w:val="000000"/>
          <w:sz w:val="28"/>
          <w:szCs w:val="28"/>
          <w:highlight w:val="yellow"/>
        </w:rPr>
        <w:sectPr>
          <w:footerReference r:id="rId5" w:type="default"/>
          <w:pgSz w:w="11900" w:h="16840"/>
          <w:pgMar w:top="1134" w:right="1678" w:bottom="1440" w:left="1678" w:header="0" w:footer="1440" w:gutter="0"/>
          <w:pgNumType w:fmt="decimal"/>
          <w:cols w:space="0" w:num="1"/>
          <w:rtlGutter w:val="0"/>
          <w:docGrid w:type="lines" w:linePitch="386" w:charSpace="0"/>
        </w:sectPr>
      </w:pPr>
    </w:p>
    <w:sdt>
      <w:sdtPr>
        <w:rPr>
          <w:rFonts w:ascii="宋体" w:hAnsi="宋体" w:eastAsia="宋体" w:cs="宋体"/>
          <w:sz w:val="21"/>
          <w:szCs w:val="28"/>
        </w:rPr>
        <w:id w:val="147480622"/>
        <w15:color w:val="DBDBDB"/>
        <w:docPartObj>
          <w:docPartGallery w:val="Table of Contents"/>
          <w:docPartUnique/>
        </w:docPartObj>
      </w:sdtPr>
      <w:sdtEndPr>
        <w:rPr>
          <w:rFonts w:ascii="宋体" w:hAnsi="宋体" w:eastAsia="宋体" w:cs="宋体"/>
          <w:sz w:val="24"/>
          <w:szCs w:val="24"/>
        </w:rPr>
      </w:sdtEndPr>
      <w:sdtContent>
        <w:p w14:paraId="34EB4429">
          <w:pPr>
            <w:spacing w:before="0" w:beforeLines="0" w:after="0" w:afterLines="0" w:line="240" w:lineRule="auto"/>
            <w:ind w:left="0" w:leftChars="0" w:right="0" w:rightChars="0" w:firstLine="0" w:firstLineChars="0"/>
            <w:jc w:val="center"/>
            <w:rPr>
              <w:b/>
              <w:bCs/>
              <w:sz w:val="32"/>
              <w:szCs w:val="32"/>
            </w:rPr>
          </w:pPr>
          <w:bookmarkStart w:id="1" w:name="_Toc24580"/>
          <w:r>
            <w:rPr>
              <w:rFonts w:ascii="宋体" w:hAnsi="宋体" w:eastAsia="宋体"/>
              <w:b/>
              <w:bCs/>
              <w:sz w:val="32"/>
              <w:szCs w:val="32"/>
            </w:rPr>
            <w:t>目</w:t>
          </w:r>
          <w:r>
            <w:rPr>
              <w:rFonts w:hint="eastAsia" w:eastAsia="宋体"/>
              <w:b/>
              <w:bCs/>
              <w:sz w:val="32"/>
              <w:szCs w:val="32"/>
              <w:lang w:val="en-US" w:eastAsia="zh-CN"/>
            </w:rPr>
            <w:t xml:space="preserve">  </w:t>
          </w:r>
          <w:r>
            <w:rPr>
              <w:rFonts w:ascii="宋体" w:hAnsi="宋体" w:eastAsia="宋体"/>
              <w:b/>
              <w:bCs/>
              <w:sz w:val="32"/>
              <w:szCs w:val="32"/>
            </w:rPr>
            <w:t>录</w:t>
          </w:r>
        </w:p>
        <w:p w14:paraId="4DD7E80A">
          <w:pPr>
            <w:pStyle w:val="16"/>
            <w:tabs>
              <w:tab w:val="right" w:leader="dot" w:pos="8785"/>
            </w:tabs>
          </w:pPr>
          <w:r>
            <w:rPr>
              <w:sz w:val="24"/>
              <w:szCs w:val="24"/>
            </w:rPr>
            <w:fldChar w:fldCharType="begin"/>
          </w:r>
          <w:r>
            <w:rPr>
              <w:sz w:val="24"/>
              <w:szCs w:val="24"/>
            </w:rPr>
            <w:instrText xml:space="preserve">TOC \o "1-3" \h \u </w:instrText>
          </w:r>
          <w:r>
            <w:rPr>
              <w:sz w:val="24"/>
              <w:szCs w:val="24"/>
            </w:rPr>
            <w:fldChar w:fldCharType="separate"/>
          </w:r>
          <w:r>
            <w:rPr>
              <w:szCs w:val="24"/>
            </w:rPr>
            <w:fldChar w:fldCharType="begin"/>
          </w:r>
          <w:r>
            <w:rPr>
              <w:szCs w:val="24"/>
            </w:rPr>
            <w:instrText xml:space="preserve"> HYPERLINK \l _Toc3667 </w:instrText>
          </w:r>
          <w:r>
            <w:rPr>
              <w:szCs w:val="24"/>
            </w:rPr>
            <w:fldChar w:fldCharType="separate"/>
          </w:r>
          <w:r>
            <w:rPr>
              <w:highlight w:val="none"/>
            </w:rPr>
            <w:t>一、</w:t>
          </w:r>
          <w:r>
            <w:rPr>
              <w:rFonts w:hint="eastAsia"/>
              <w:highlight w:val="none"/>
              <w:lang w:val="en-US" w:eastAsia="zh-CN"/>
            </w:rPr>
            <w:t>部门基本情况</w:t>
          </w:r>
          <w:r>
            <w:tab/>
          </w:r>
          <w:r>
            <w:fldChar w:fldCharType="begin"/>
          </w:r>
          <w:r>
            <w:instrText xml:space="preserve"> PAGEREF _Toc3667 \h </w:instrText>
          </w:r>
          <w:r>
            <w:fldChar w:fldCharType="separate"/>
          </w:r>
          <w:r>
            <w:t>1</w:t>
          </w:r>
          <w:r>
            <w:fldChar w:fldCharType="end"/>
          </w:r>
          <w:r>
            <w:rPr>
              <w:szCs w:val="24"/>
            </w:rPr>
            <w:fldChar w:fldCharType="end"/>
          </w:r>
        </w:p>
        <w:p w14:paraId="217D80A4">
          <w:pPr>
            <w:pStyle w:val="17"/>
            <w:tabs>
              <w:tab w:val="right" w:leader="dot" w:pos="8785"/>
            </w:tabs>
          </w:pPr>
          <w:r>
            <w:rPr>
              <w:szCs w:val="24"/>
            </w:rPr>
            <w:fldChar w:fldCharType="begin"/>
          </w:r>
          <w:r>
            <w:rPr>
              <w:szCs w:val="24"/>
            </w:rPr>
            <w:instrText xml:space="preserve"> HYPERLINK \l _Toc21104 </w:instrText>
          </w:r>
          <w:r>
            <w:rPr>
              <w:szCs w:val="24"/>
            </w:rPr>
            <w:fldChar w:fldCharType="separate"/>
          </w:r>
          <w:r>
            <w:rPr>
              <w:highlight w:val="none"/>
            </w:rPr>
            <w:t>（一）</w:t>
          </w:r>
          <w:r>
            <w:rPr>
              <w:rFonts w:hint="eastAsia"/>
              <w:highlight w:val="none"/>
              <w:lang w:val="en-US" w:eastAsia="zh-CN"/>
            </w:rPr>
            <w:t>部门</w:t>
          </w:r>
          <w:r>
            <w:rPr>
              <w:highlight w:val="none"/>
            </w:rPr>
            <w:t>概况</w:t>
          </w:r>
          <w:r>
            <w:tab/>
          </w:r>
          <w:r>
            <w:fldChar w:fldCharType="begin"/>
          </w:r>
          <w:r>
            <w:instrText xml:space="preserve"> PAGEREF _Toc21104 \h </w:instrText>
          </w:r>
          <w:r>
            <w:fldChar w:fldCharType="separate"/>
          </w:r>
          <w:r>
            <w:t>1</w:t>
          </w:r>
          <w:r>
            <w:fldChar w:fldCharType="end"/>
          </w:r>
          <w:r>
            <w:rPr>
              <w:szCs w:val="24"/>
            </w:rPr>
            <w:fldChar w:fldCharType="end"/>
          </w:r>
        </w:p>
        <w:p w14:paraId="5EFDC6BB">
          <w:pPr>
            <w:pStyle w:val="13"/>
            <w:tabs>
              <w:tab w:val="right" w:leader="dot" w:pos="8785"/>
            </w:tabs>
          </w:pPr>
          <w:r>
            <w:rPr>
              <w:szCs w:val="24"/>
            </w:rPr>
            <w:fldChar w:fldCharType="begin"/>
          </w:r>
          <w:r>
            <w:rPr>
              <w:szCs w:val="24"/>
            </w:rPr>
            <w:instrText xml:space="preserve"> HYPERLINK \l _Toc12252 </w:instrText>
          </w:r>
          <w:r>
            <w:rPr>
              <w:szCs w:val="24"/>
            </w:rPr>
            <w:fldChar w:fldCharType="separate"/>
          </w:r>
          <w:r>
            <w:rPr>
              <w:highlight w:val="none"/>
            </w:rPr>
            <w:t>1</w:t>
          </w:r>
          <w:r>
            <w:rPr>
              <w:rFonts w:hint="eastAsia"/>
              <w:highlight w:val="none"/>
              <w:lang w:val="en-US" w:eastAsia="zh-CN"/>
            </w:rPr>
            <w:t>.部门职能</w:t>
          </w:r>
          <w:r>
            <w:tab/>
          </w:r>
          <w:r>
            <w:fldChar w:fldCharType="begin"/>
          </w:r>
          <w:r>
            <w:instrText xml:space="preserve"> PAGEREF _Toc12252 \h </w:instrText>
          </w:r>
          <w:r>
            <w:fldChar w:fldCharType="separate"/>
          </w:r>
          <w:r>
            <w:t>1</w:t>
          </w:r>
          <w:r>
            <w:fldChar w:fldCharType="end"/>
          </w:r>
          <w:r>
            <w:rPr>
              <w:szCs w:val="24"/>
            </w:rPr>
            <w:fldChar w:fldCharType="end"/>
          </w:r>
        </w:p>
        <w:p w14:paraId="34ACBAFC">
          <w:pPr>
            <w:pStyle w:val="13"/>
            <w:tabs>
              <w:tab w:val="right" w:leader="dot" w:pos="8785"/>
            </w:tabs>
          </w:pPr>
          <w:r>
            <w:rPr>
              <w:szCs w:val="24"/>
            </w:rPr>
            <w:fldChar w:fldCharType="begin"/>
          </w:r>
          <w:r>
            <w:rPr>
              <w:szCs w:val="24"/>
            </w:rPr>
            <w:instrText xml:space="preserve"> HYPERLINK \l _Toc769 </w:instrText>
          </w:r>
          <w:r>
            <w:rPr>
              <w:szCs w:val="24"/>
            </w:rPr>
            <w:fldChar w:fldCharType="separate"/>
          </w:r>
          <w:r>
            <w:rPr>
              <w:rFonts w:hint="eastAsia"/>
              <w:highlight w:val="none"/>
              <w:lang w:val="en-US" w:eastAsia="zh-CN"/>
            </w:rPr>
            <w:t>2.机构设置及编制情况</w:t>
          </w:r>
          <w:r>
            <w:tab/>
          </w:r>
          <w:r>
            <w:fldChar w:fldCharType="begin"/>
          </w:r>
          <w:r>
            <w:instrText xml:space="preserve"> PAGEREF _Toc769 \h </w:instrText>
          </w:r>
          <w:r>
            <w:fldChar w:fldCharType="separate"/>
          </w:r>
          <w:r>
            <w:t>3</w:t>
          </w:r>
          <w:r>
            <w:fldChar w:fldCharType="end"/>
          </w:r>
          <w:r>
            <w:rPr>
              <w:szCs w:val="24"/>
            </w:rPr>
            <w:fldChar w:fldCharType="end"/>
          </w:r>
        </w:p>
        <w:p w14:paraId="60A8B8D1">
          <w:pPr>
            <w:pStyle w:val="13"/>
            <w:tabs>
              <w:tab w:val="right" w:leader="dot" w:pos="8785"/>
            </w:tabs>
          </w:pPr>
          <w:r>
            <w:rPr>
              <w:szCs w:val="24"/>
            </w:rPr>
            <w:fldChar w:fldCharType="begin"/>
          </w:r>
          <w:r>
            <w:rPr>
              <w:szCs w:val="24"/>
            </w:rPr>
            <w:instrText xml:space="preserve"> HYPERLINK \l _Toc19784 </w:instrText>
          </w:r>
          <w:r>
            <w:rPr>
              <w:szCs w:val="24"/>
            </w:rPr>
            <w:fldChar w:fldCharType="separate"/>
          </w:r>
          <w:r>
            <w:rPr>
              <w:rFonts w:hint="eastAsia"/>
              <w:highlight w:val="none"/>
              <w:lang w:val="en-US" w:eastAsia="zh-CN"/>
            </w:rPr>
            <w:t>3.部门资产情况</w:t>
          </w:r>
          <w:r>
            <w:tab/>
          </w:r>
          <w:r>
            <w:fldChar w:fldCharType="begin"/>
          </w:r>
          <w:r>
            <w:instrText xml:space="preserve"> PAGEREF _Toc19784 \h </w:instrText>
          </w:r>
          <w:r>
            <w:fldChar w:fldCharType="separate"/>
          </w:r>
          <w:r>
            <w:t>4</w:t>
          </w:r>
          <w:r>
            <w:fldChar w:fldCharType="end"/>
          </w:r>
          <w:r>
            <w:rPr>
              <w:szCs w:val="24"/>
            </w:rPr>
            <w:fldChar w:fldCharType="end"/>
          </w:r>
        </w:p>
        <w:p w14:paraId="6BFA9123">
          <w:pPr>
            <w:pStyle w:val="17"/>
            <w:tabs>
              <w:tab w:val="right" w:leader="dot" w:pos="8785"/>
            </w:tabs>
          </w:pPr>
          <w:r>
            <w:rPr>
              <w:szCs w:val="24"/>
            </w:rPr>
            <w:fldChar w:fldCharType="begin"/>
          </w:r>
          <w:r>
            <w:rPr>
              <w:szCs w:val="24"/>
            </w:rPr>
            <w:instrText xml:space="preserve"> HYPERLINK \l _Toc20866 </w:instrText>
          </w:r>
          <w:r>
            <w:rPr>
              <w:szCs w:val="24"/>
            </w:rPr>
            <w:fldChar w:fldCharType="separate"/>
          </w:r>
          <w:r>
            <w:rPr>
              <w:rFonts w:hint="eastAsia"/>
              <w:lang w:val="en-US" w:eastAsia="zh-CN"/>
            </w:rPr>
            <w:t xml:space="preserve">（二） </w:t>
          </w:r>
          <w:r>
            <w:rPr>
              <w:rFonts w:hint="eastAsia"/>
              <w:highlight w:val="none"/>
              <w:lang w:val="en-US" w:eastAsia="zh-CN"/>
            </w:rPr>
            <w:t>部门预决算情况</w:t>
          </w:r>
          <w:r>
            <w:tab/>
          </w:r>
          <w:r>
            <w:fldChar w:fldCharType="begin"/>
          </w:r>
          <w:r>
            <w:instrText xml:space="preserve"> PAGEREF _Toc20866 \h </w:instrText>
          </w:r>
          <w:r>
            <w:fldChar w:fldCharType="separate"/>
          </w:r>
          <w:r>
            <w:t>4</w:t>
          </w:r>
          <w:r>
            <w:fldChar w:fldCharType="end"/>
          </w:r>
          <w:r>
            <w:rPr>
              <w:szCs w:val="24"/>
            </w:rPr>
            <w:fldChar w:fldCharType="end"/>
          </w:r>
        </w:p>
        <w:p w14:paraId="3A9B2BA6">
          <w:pPr>
            <w:pStyle w:val="13"/>
            <w:tabs>
              <w:tab w:val="right" w:leader="dot" w:pos="8785"/>
            </w:tabs>
          </w:pPr>
          <w:r>
            <w:rPr>
              <w:szCs w:val="24"/>
            </w:rPr>
            <w:fldChar w:fldCharType="begin"/>
          </w:r>
          <w:r>
            <w:rPr>
              <w:szCs w:val="24"/>
            </w:rPr>
            <w:instrText xml:space="preserve"> HYPERLINK \l _Toc20760 </w:instrText>
          </w:r>
          <w:r>
            <w:rPr>
              <w:szCs w:val="24"/>
            </w:rPr>
            <w:fldChar w:fldCharType="separate"/>
          </w:r>
          <w:r>
            <w:rPr>
              <w:rFonts w:hint="eastAsia"/>
              <w:highlight w:val="none"/>
              <w:lang w:val="en-US" w:eastAsia="zh-CN"/>
            </w:rPr>
            <w:t>1.2024年部门预算编制情况</w:t>
          </w:r>
          <w:r>
            <w:tab/>
          </w:r>
          <w:r>
            <w:fldChar w:fldCharType="begin"/>
          </w:r>
          <w:r>
            <w:instrText xml:space="preserve"> PAGEREF _Toc20760 \h </w:instrText>
          </w:r>
          <w:r>
            <w:fldChar w:fldCharType="separate"/>
          </w:r>
          <w:r>
            <w:t>4</w:t>
          </w:r>
          <w:r>
            <w:fldChar w:fldCharType="end"/>
          </w:r>
          <w:r>
            <w:rPr>
              <w:szCs w:val="24"/>
            </w:rPr>
            <w:fldChar w:fldCharType="end"/>
          </w:r>
        </w:p>
        <w:p w14:paraId="48AF55DE">
          <w:pPr>
            <w:pStyle w:val="13"/>
            <w:tabs>
              <w:tab w:val="right" w:leader="dot" w:pos="8785"/>
            </w:tabs>
          </w:pPr>
          <w:r>
            <w:rPr>
              <w:szCs w:val="24"/>
            </w:rPr>
            <w:fldChar w:fldCharType="begin"/>
          </w:r>
          <w:r>
            <w:rPr>
              <w:szCs w:val="24"/>
            </w:rPr>
            <w:instrText xml:space="preserve"> HYPERLINK \l _Toc19769 </w:instrText>
          </w:r>
          <w:r>
            <w:rPr>
              <w:szCs w:val="24"/>
            </w:rPr>
            <w:fldChar w:fldCharType="separate"/>
          </w:r>
          <w:r>
            <w:rPr>
              <w:rFonts w:hint="eastAsia"/>
              <w:highlight w:val="none"/>
              <w:lang w:val="en-US" w:eastAsia="zh-CN"/>
            </w:rPr>
            <w:t>2.2024年部门预算执行情况</w:t>
          </w:r>
          <w:r>
            <w:tab/>
          </w:r>
          <w:r>
            <w:fldChar w:fldCharType="begin"/>
          </w:r>
          <w:r>
            <w:instrText xml:space="preserve"> PAGEREF _Toc19769 \h </w:instrText>
          </w:r>
          <w:r>
            <w:fldChar w:fldCharType="separate"/>
          </w:r>
          <w:r>
            <w:t>5</w:t>
          </w:r>
          <w:r>
            <w:fldChar w:fldCharType="end"/>
          </w:r>
          <w:r>
            <w:rPr>
              <w:szCs w:val="24"/>
            </w:rPr>
            <w:fldChar w:fldCharType="end"/>
          </w:r>
        </w:p>
        <w:p w14:paraId="70CEF659">
          <w:pPr>
            <w:pStyle w:val="13"/>
            <w:tabs>
              <w:tab w:val="right" w:leader="dot" w:pos="8785"/>
            </w:tabs>
          </w:pPr>
          <w:r>
            <w:rPr>
              <w:szCs w:val="24"/>
            </w:rPr>
            <w:fldChar w:fldCharType="begin"/>
          </w:r>
          <w:r>
            <w:rPr>
              <w:szCs w:val="24"/>
            </w:rPr>
            <w:instrText xml:space="preserve"> HYPERLINK \l _Toc18715 </w:instrText>
          </w:r>
          <w:r>
            <w:rPr>
              <w:szCs w:val="24"/>
            </w:rPr>
            <w:fldChar w:fldCharType="separate"/>
          </w:r>
          <w:r>
            <w:rPr>
              <w:rFonts w:hint="eastAsia"/>
              <w:highlight w:val="none"/>
              <w:lang w:val="en-US" w:eastAsia="zh-CN"/>
            </w:rPr>
            <w:t>3.2024年部门资金支出情况</w:t>
          </w:r>
          <w:r>
            <w:tab/>
          </w:r>
          <w:r>
            <w:fldChar w:fldCharType="begin"/>
          </w:r>
          <w:r>
            <w:instrText xml:space="preserve"> PAGEREF _Toc18715 \h </w:instrText>
          </w:r>
          <w:r>
            <w:fldChar w:fldCharType="separate"/>
          </w:r>
          <w:r>
            <w:t>5</w:t>
          </w:r>
          <w:r>
            <w:fldChar w:fldCharType="end"/>
          </w:r>
          <w:r>
            <w:rPr>
              <w:szCs w:val="24"/>
            </w:rPr>
            <w:fldChar w:fldCharType="end"/>
          </w:r>
        </w:p>
        <w:p w14:paraId="2FF536A9">
          <w:pPr>
            <w:pStyle w:val="13"/>
            <w:tabs>
              <w:tab w:val="right" w:leader="dot" w:pos="8785"/>
            </w:tabs>
          </w:pPr>
          <w:r>
            <w:rPr>
              <w:szCs w:val="24"/>
            </w:rPr>
            <w:fldChar w:fldCharType="begin"/>
          </w:r>
          <w:r>
            <w:rPr>
              <w:szCs w:val="24"/>
            </w:rPr>
            <w:instrText xml:space="preserve"> HYPERLINK \l _Toc8662 </w:instrText>
          </w:r>
          <w:r>
            <w:rPr>
              <w:szCs w:val="24"/>
            </w:rPr>
            <w:fldChar w:fldCharType="separate"/>
          </w:r>
          <w:r>
            <w:rPr>
              <w:rFonts w:hint="eastAsia"/>
              <w:highlight w:val="none"/>
              <w:lang w:val="en-US" w:eastAsia="zh-CN"/>
            </w:rPr>
            <w:t>4.2024年部门“三公经费”预算安排及执行情况</w:t>
          </w:r>
          <w:r>
            <w:tab/>
          </w:r>
          <w:r>
            <w:fldChar w:fldCharType="begin"/>
          </w:r>
          <w:r>
            <w:instrText xml:space="preserve"> PAGEREF _Toc8662 \h </w:instrText>
          </w:r>
          <w:r>
            <w:fldChar w:fldCharType="separate"/>
          </w:r>
          <w:r>
            <w:t>6</w:t>
          </w:r>
          <w:r>
            <w:fldChar w:fldCharType="end"/>
          </w:r>
          <w:r>
            <w:rPr>
              <w:szCs w:val="24"/>
            </w:rPr>
            <w:fldChar w:fldCharType="end"/>
          </w:r>
        </w:p>
        <w:p w14:paraId="0C8ED301">
          <w:pPr>
            <w:pStyle w:val="13"/>
            <w:tabs>
              <w:tab w:val="right" w:leader="dot" w:pos="8785"/>
            </w:tabs>
          </w:pPr>
          <w:r>
            <w:rPr>
              <w:szCs w:val="24"/>
            </w:rPr>
            <w:fldChar w:fldCharType="begin"/>
          </w:r>
          <w:r>
            <w:rPr>
              <w:szCs w:val="24"/>
            </w:rPr>
            <w:instrText xml:space="preserve"> HYPERLINK \l _Toc6903 </w:instrText>
          </w:r>
          <w:r>
            <w:rPr>
              <w:szCs w:val="24"/>
            </w:rPr>
            <w:fldChar w:fldCharType="separate"/>
          </w:r>
          <w:r>
            <w:rPr>
              <w:rFonts w:hint="eastAsia"/>
              <w:highlight w:val="none"/>
              <w:lang w:val="en-US" w:eastAsia="zh-CN"/>
            </w:rPr>
            <w:t>5.2024年部门</w:t>
          </w:r>
          <w:r>
            <w:rPr>
              <w:highlight w:val="none"/>
            </w:rPr>
            <w:t>预决算公开</w:t>
          </w:r>
          <w:r>
            <w:rPr>
              <w:rFonts w:hint="eastAsia"/>
              <w:highlight w:val="none"/>
              <w:lang w:val="en-US" w:eastAsia="zh-CN"/>
            </w:rPr>
            <w:t>情况</w:t>
          </w:r>
          <w:r>
            <w:tab/>
          </w:r>
          <w:r>
            <w:fldChar w:fldCharType="begin"/>
          </w:r>
          <w:r>
            <w:instrText xml:space="preserve"> PAGEREF _Toc6903 \h </w:instrText>
          </w:r>
          <w:r>
            <w:fldChar w:fldCharType="separate"/>
          </w:r>
          <w:r>
            <w:t>6</w:t>
          </w:r>
          <w:r>
            <w:fldChar w:fldCharType="end"/>
          </w:r>
          <w:r>
            <w:rPr>
              <w:szCs w:val="24"/>
            </w:rPr>
            <w:fldChar w:fldCharType="end"/>
          </w:r>
        </w:p>
        <w:p w14:paraId="22F65188">
          <w:pPr>
            <w:pStyle w:val="17"/>
            <w:tabs>
              <w:tab w:val="right" w:leader="dot" w:pos="8785"/>
            </w:tabs>
          </w:pPr>
          <w:r>
            <w:rPr>
              <w:szCs w:val="24"/>
            </w:rPr>
            <w:fldChar w:fldCharType="begin"/>
          </w:r>
          <w:r>
            <w:rPr>
              <w:szCs w:val="24"/>
            </w:rPr>
            <w:instrText xml:space="preserve"> HYPERLINK \l _Toc11342 </w:instrText>
          </w:r>
          <w:r>
            <w:rPr>
              <w:szCs w:val="24"/>
            </w:rPr>
            <w:fldChar w:fldCharType="separate"/>
          </w:r>
          <w:r>
            <w:rPr>
              <w:highlight w:val="none"/>
            </w:rPr>
            <w:t>（</w:t>
          </w:r>
          <w:r>
            <w:rPr>
              <w:rFonts w:hint="eastAsia"/>
              <w:highlight w:val="none"/>
              <w:lang w:val="en-US" w:eastAsia="zh-CN"/>
            </w:rPr>
            <w:t>三</w:t>
          </w:r>
          <w:r>
            <w:rPr>
              <w:highlight w:val="none"/>
            </w:rPr>
            <w:t>）</w:t>
          </w:r>
          <w:r>
            <w:rPr>
              <w:rFonts w:hint="eastAsia"/>
              <w:highlight w:val="none"/>
              <w:lang w:val="en-US" w:eastAsia="zh-CN"/>
            </w:rPr>
            <w:t>部门</w:t>
          </w:r>
          <w:r>
            <w:rPr>
              <w:highlight w:val="none"/>
            </w:rPr>
            <w:t>绩效目标</w:t>
          </w:r>
          <w:r>
            <w:rPr>
              <w:rFonts w:hint="eastAsia"/>
              <w:highlight w:val="none"/>
              <w:lang w:val="en-US" w:eastAsia="zh-CN"/>
            </w:rPr>
            <w:t>设置情况</w:t>
          </w:r>
          <w:r>
            <w:tab/>
          </w:r>
          <w:r>
            <w:fldChar w:fldCharType="begin"/>
          </w:r>
          <w:r>
            <w:instrText xml:space="preserve"> PAGEREF _Toc11342 \h </w:instrText>
          </w:r>
          <w:r>
            <w:fldChar w:fldCharType="separate"/>
          </w:r>
          <w:r>
            <w:t>7</w:t>
          </w:r>
          <w:r>
            <w:fldChar w:fldCharType="end"/>
          </w:r>
          <w:r>
            <w:rPr>
              <w:szCs w:val="24"/>
            </w:rPr>
            <w:fldChar w:fldCharType="end"/>
          </w:r>
        </w:p>
        <w:p w14:paraId="3AA00452">
          <w:pPr>
            <w:pStyle w:val="13"/>
            <w:tabs>
              <w:tab w:val="right" w:leader="dot" w:pos="8785"/>
            </w:tabs>
          </w:pPr>
          <w:r>
            <w:rPr>
              <w:szCs w:val="24"/>
            </w:rPr>
            <w:fldChar w:fldCharType="begin"/>
          </w:r>
          <w:r>
            <w:rPr>
              <w:szCs w:val="24"/>
            </w:rPr>
            <w:instrText xml:space="preserve"> HYPERLINK \l _Toc11786 </w:instrText>
          </w:r>
          <w:r>
            <w:rPr>
              <w:szCs w:val="24"/>
            </w:rPr>
            <w:fldChar w:fldCharType="separate"/>
          </w:r>
          <w:r>
            <w:rPr>
              <w:highlight w:val="none"/>
            </w:rPr>
            <w:t>1</w:t>
          </w:r>
          <w:r>
            <w:rPr>
              <w:rFonts w:hint="eastAsia"/>
              <w:highlight w:val="none"/>
              <w:lang w:val="en-US" w:eastAsia="zh-CN"/>
            </w:rPr>
            <w:t>.部门年度履职</w:t>
          </w:r>
          <w:r>
            <w:rPr>
              <w:highlight w:val="none"/>
            </w:rPr>
            <w:t>目标</w:t>
          </w:r>
          <w:r>
            <w:tab/>
          </w:r>
          <w:r>
            <w:fldChar w:fldCharType="begin"/>
          </w:r>
          <w:r>
            <w:instrText xml:space="preserve"> PAGEREF _Toc11786 \h </w:instrText>
          </w:r>
          <w:r>
            <w:fldChar w:fldCharType="separate"/>
          </w:r>
          <w:r>
            <w:t>7</w:t>
          </w:r>
          <w:r>
            <w:fldChar w:fldCharType="end"/>
          </w:r>
          <w:r>
            <w:rPr>
              <w:szCs w:val="24"/>
            </w:rPr>
            <w:fldChar w:fldCharType="end"/>
          </w:r>
        </w:p>
        <w:p w14:paraId="51E50DBA">
          <w:pPr>
            <w:pStyle w:val="13"/>
            <w:tabs>
              <w:tab w:val="right" w:leader="dot" w:pos="8785"/>
            </w:tabs>
          </w:pPr>
          <w:r>
            <w:rPr>
              <w:szCs w:val="24"/>
            </w:rPr>
            <w:fldChar w:fldCharType="begin"/>
          </w:r>
          <w:r>
            <w:rPr>
              <w:szCs w:val="24"/>
            </w:rPr>
            <w:instrText xml:space="preserve"> HYPERLINK \l _Toc17345 </w:instrText>
          </w:r>
          <w:r>
            <w:rPr>
              <w:szCs w:val="24"/>
            </w:rPr>
            <w:fldChar w:fldCharType="separate"/>
          </w:r>
          <w:r>
            <w:rPr>
              <w:rFonts w:hint="eastAsia"/>
              <w:highlight w:val="none"/>
              <w:lang w:val="en-US" w:eastAsia="zh-CN"/>
            </w:rPr>
            <w:t>2.部门年度主要任务</w:t>
          </w:r>
          <w:r>
            <w:tab/>
          </w:r>
          <w:r>
            <w:fldChar w:fldCharType="begin"/>
          </w:r>
          <w:r>
            <w:instrText xml:space="preserve"> PAGEREF _Toc17345 \h </w:instrText>
          </w:r>
          <w:r>
            <w:fldChar w:fldCharType="separate"/>
          </w:r>
          <w:r>
            <w:t>7</w:t>
          </w:r>
          <w:r>
            <w:fldChar w:fldCharType="end"/>
          </w:r>
          <w:r>
            <w:rPr>
              <w:szCs w:val="24"/>
            </w:rPr>
            <w:fldChar w:fldCharType="end"/>
          </w:r>
        </w:p>
        <w:p w14:paraId="22C2E34B">
          <w:pPr>
            <w:pStyle w:val="13"/>
            <w:tabs>
              <w:tab w:val="right" w:leader="dot" w:pos="8785"/>
            </w:tabs>
          </w:pPr>
          <w:r>
            <w:rPr>
              <w:szCs w:val="24"/>
            </w:rPr>
            <w:fldChar w:fldCharType="begin"/>
          </w:r>
          <w:r>
            <w:rPr>
              <w:szCs w:val="24"/>
            </w:rPr>
            <w:instrText xml:space="preserve"> HYPERLINK \l _Toc15687 </w:instrText>
          </w:r>
          <w:r>
            <w:rPr>
              <w:szCs w:val="24"/>
            </w:rPr>
            <w:fldChar w:fldCharType="separate"/>
          </w:r>
          <w:r>
            <w:rPr>
              <w:rFonts w:hint="eastAsia"/>
              <w:highlight w:val="none"/>
              <w:lang w:val="en-US" w:eastAsia="zh-CN"/>
            </w:rPr>
            <w:t>3.部门具体绩效</w:t>
          </w:r>
          <w:r>
            <w:rPr>
              <w:highlight w:val="none"/>
            </w:rPr>
            <w:t>目标</w:t>
          </w:r>
          <w:r>
            <w:tab/>
          </w:r>
          <w:r>
            <w:fldChar w:fldCharType="begin"/>
          </w:r>
          <w:r>
            <w:instrText xml:space="preserve"> PAGEREF _Toc15687 \h </w:instrText>
          </w:r>
          <w:r>
            <w:fldChar w:fldCharType="separate"/>
          </w:r>
          <w:r>
            <w:t>7</w:t>
          </w:r>
          <w:r>
            <w:fldChar w:fldCharType="end"/>
          </w:r>
          <w:r>
            <w:rPr>
              <w:szCs w:val="24"/>
            </w:rPr>
            <w:fldChar w:fldCharType="end"/>
          </w:r>
        </w:p>
        <w:p w14:paraId="3AB17ACD">
          <w:pPr>
            <w:pStyle w:val="16"/>
            <w:tabs>
              <w:tab w:val="right" w:leader="dot" w:pos="8785"/>
            </w:tabs>
          </w:pPr>
          <w:r>
            <w:rPr>
              <w:szCs w:val="24"/>
            </w:rPr>
            <w:fldChar w:fldCharType="begin"/>
          </w:r>
          <w:r>
            <w:rPr>
              <w:szCs w:val="24"/>
            </w:rPr>
            <w:instrText xml:space="preserve"> HYPERLINK \l _Toc15972 </w:instrText>
          </w:r>
          <w:r>
            <w:rPr>
              <w:szCs w:val="24"/>
            </w:rPr>
            <w:fldChar w:fldCharType="separate"/>
          </w:r>
          <w:r>
            <w:rPr>
              <w:highlight w:val="none"/>
            </w:rPr>
            <w:t>二、绩效评价工作开展情况</w:t>
          </w:r>
          <w:r>
            <w:tab/>
          </w:r>
          <w:r>
            <w:fldChar w:fldCharType="begin"/>
          </w:r>
          <w:r>
            <w:instrText xml:space="preserve"> PAGEREF _Toc15972 \h </w:instrText>
          </w:r>
          <w:r>
            <w:fldChar w:fldCharType="separate"/>
          </w:r>
          <w:r>
            <w:t>9</w:t>
          </w:r>
          <w:r>
            <w:fldChar w:fldCharType="end"/>
          </w:r>
          <w:r>
            <w:rPr>
              <w:szCs w:val="24"/>
            </w:rPr>
            <w:fldChar w:fldCharType="end"/>
          </w:r>
        </w:p>
        <w:p w14:paraId="467F6359">
          <w:pPr>
            <w:pStyle w:val="17"/>
            <w:tabs>
              <w:tab w:val="right" w:leader="dot" w:pos="8785"/>
            </w:tabs>
          </w:pPr>
          <w:r>
            <w:rPr>
              <w:szCs w:val="24"/>
            </w:rPr>
            <w:fldChar w:fldCharType="begin"/>
          </w:r>
          <w:r>
            <w:rPr>
              <w:szCs w:val="24"/>
            </w:rPr>
            <w:instrText xml:space="preserve"> HYPERLINK \l _Toc22773 </w:instrText>
          </w:r>
          <w:r>
            <w:rPr>
              <w:szCs w:val="24"/>
            </w:rPr>
            <w:fldChar w:fldCharType="separate"/>
          </w:r>
          <w:r>
            <w:rPr>
              <w:highlight w:val="none"/>
            </w:rPr>
            <w:t>（一）评价目的</w:t>
          </w:r>
          <w:r>
            <w:tab/>
          </w:r>
          <w:r>
            <w:fldChar w:fldCharType="begin"/>
          </w:r>
          <w:r>
            <w:instrText xml:space="preserve"> PAGEREF _Toc22773 \h </w:instrText>
          </w:r>
          <w:r>
            <w:fldChar w:fldCharType="separate"/>
          </w:r>
          <w:r>
            <w:t>9</w:t>
          </w:r>
          <w:r>
            <w:fldChar w:fldCharType="end"/>
          </w:r>
          <w:r>
            <w:rPr>
              <w:szCs w:val="24"/>
            </w:rPr>
            <w:fldChar w:fldCharType="end"/>
          </w:r>
        </w:p>
        <w:p w14:paraId="365864B6">
          <w:pPr>
            <w:pStyle w:val="17"/>
            <w:tabs>
              <w:tab w:val="right" w:leader="dot" w:pos="8785"/>
            </w:tabs>
          </w:pPr>
          <w:r>
            <w:rPr>
              <w:szCs w:val="24"/>
            </w:rPr>
            <w:fldChar w:fldCharType="begin"/>
          </w:r>
          <w:r>
            <w:rPr>
              <w:szCs w:val="24"/>
            </w:rPr>
            <w:instrText xml:space="preserve"> HYPERLINK \l _Toc15031 </w:instrText>
          </w:r>
          <w:r>
            <w:rPr>
              <w:szCs w:val="24"/>
            </w:rPr>
            <w:fldChar w:fldCharType="separate"/>
          </w: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评价对象、资金范围及时间段</w:t>
          </w:r>
          <w:r>
            <w:tab/>
          </w:r>
          <w:r>
            <w:fldChar w:fldCharType="begin"/>
          </w:r>
          <w:r>
            <w:instrText xml:space="preserve"> PAGEREF _Toc15031 \h </w:instrText>
          </w:r>
          <w:r>
            <w:fldChar w:fldCharType="separate"/>
          </w:r>
          <w:r>
            <w:t>9</w:t>
          </w:r>
          <w:r>
            <w:fldChar w:fldCharType="end"/>
          </w:r>
          <w:r>
            <w:rPr>
              <w:szCs w:val="24"/>
            </w:rPr>
            <w:fldChar w:fldCharType="end"/>
          </w:r>
        </w:p>
        <w:p w14:paraId="6E11D4CC">
          <w:pPr>
            <w:pStyle w:val="17"/>
            <w:tabs>
              <w:tab w:val="right" w:leader="dot" w:pos="8785"/>
            </w:tabs>
          </w:pPr>
          <w:r>
            <w:rPr>
              <w:szCs w:val="24"/>
            </w:rPr>
            <w:fldChar w:fldCharType="begin"/>
          </w:r>
          <w:r>
            <w:rPr>
              <w:szCs w:val="24"/>
            </w:rPr>
            <w:instrText xml:space="preserve"> HYPERLINK \l _Toc8065 </w:instrText>
          </w:r>
          <w:r>
            <w:rPr>
              <w:szCs w:val="24"/>
            </w:rPr>
            <w:fldChar w:fldCharType="separate"/>
          </w:r>
          <w:r>
            <w:rPr>
              <w:highlight w:val="none"/>
            </w:rPr>
            <w:t>（</w:t>
          </w:r>
          <w:r>
            <w:rPr>
              <w:rFonts w:hint="eastAsia"/>
              <w:highlight w:val="none"/>
              <w:lang w:val="en-US" w:eastAsia="zh-CN"/>
            </w:rPr>
            <w:t>三</w:t>
          </w:r>
          <w:r>
            <w:rPr>
              <w:highlight w:val="none"/>
            </w:rPr>
            <w:t>）评价依据</w:t>
          </w:r>
          <w:r>
            <w:tab/>
          </w:r>
          <w:r>
            <w:fldChar w:fldCharType="begin"/>
          </w:r>
          <w:r>
            <w:instrText xml:space="preserve"> PAGEREF _Toc8065 \h </w:instrText>
          </w:r>
          <w:r>
            <w:fldChar w:fldCharType="separate"/>
          </w:r>
          <w:r>
            <w:t>9</w:t>
          </w:r>
          <w:r>
            <w:fldChar w:fldCharType="end"/>
          </w:r>
          <w:r>
            <w:rPr>
              <w:szCs w:val="24"/>
            </w:rPr>
            <w:fldChar w:fldCharType="end"/>
          </w:r>
        </w:p>
        <w:p w14:paraId="1ACC04CD">
          <w:pPr>
            <w:pStyle w:val="17"/>
            <w:tabs>
              <w:tab w:val="right" w:leader="dot" w:pos="8785"/>
            </w:tabs>
          </w:pPr>
          <w:r>
            <w:rPr>
              <w:szCs w:val="24"/>
            </w:rPr>
            <w:fldChar w:fldCharType="begin"/>
          </w:r>
          <w:r>
            <w:rPr>
              <w:szCs w:val="24"/>
            </w:rPr>
            <w:instrText xml:space="preserve"> HYPERLINK \l _Toc14240 </w:instrText>
          </w:r>
          <w:r>
            <w:rPr>
              <w:szCs w:val="24"/>
            </w:rPr>
            <w:fldChar w:fldCharType="separate"/>
          </w:r>
          <w:r>
            <w:rPr>
              <w:highlight w:val="none"/>
            </w:rPr>
            <w:t>（</w:t>
          </w:r>
          <w:r>
            <w:rPr>
              <w:rFonts w:hint="eastAsia"/>
              <w:highlight w:val="none"/>
              <w:lang w:val="en-US" w:eastAsia="zh-CN"/>
            </w:rPr>
            <w:t>四</w:t>
          </w:r>
          <w:r>
            <w:rPr>
              <w:highlight w:val="none"/>
            </w:rPr>
            <w:t>）评价的原则</w:t>
          </w:r>
          <w:r>
            <w:rPr>
              <w:rFonts w:hint="eastAsia"/>
              <w:highlight w:val="none"/>
              <w:lang w:eastAsia="zh-CN"/>
            </w:rPr>
            <w:t>、</w:t>
          </w:r>
          <w:r>
            <w:rPr>
              <w:highlight w:val="none"/>
            </w:rPr>
            <w:t>方法</w:t>
          </w:r>
          <w:r>
            <w:rPr>
              <w:rFonts w:hint="eastAsia"/>
              <w:highlight w:val="none"/>
              <w:lang w:val="en-US" w:eastAsia="zh-CN"/>
            </w:rPr>
            <w:t>和标准</w:t>
          </w:r>
          <w:r>
            <w:tab/>
          </w:r>
          <w:r>
            <w:fldChar w:fldCharType="begin"/>
          </w:r>
          <w:r>
            <w:instrText xml:space="preserve"> PAGEREF _Toc14240 \h </w:instrText>
          </w:r>
          <w:r>
            <w:fldChar w:fldCharType="separate"/>
          </w:r>
          <w:r>
            <w:t>10</w:t>
          </w:r>
          <w:r>
            <w:fldChar w:fldCharType="end"/>
          </w:r>
          <w:r>
            <w:rPr>
              <w:szCs w:val="24"/>
            </w:rPr>
            <w:fldChar w:fldCharType="end"/>
          </w:r>
        </w:p>
        <w:p w14:paraId="6C875BF2">
          <w:pPr>
            <w:pStyle w:val="13"/>
            <w:tabs>
              <w:tab w:val="right" w:leader="dot" w:pos="8785"/>
            </w:tabs>
          </w:pPr>
          <w:r>
            <w:rPr>
              <w:szCs w:val="24"/>
            </w:rPr>
            <w:fldChar w:fldCharType="begin"/>
          </w:r>
          <w:r>
            <w:rPr>
              <w:szCs w:val="24"/>
            </w:rPr>
            <w:instrText xml:space="preserve"> HYPERLINK \l _Toc11712 </w:instrText>
          </w:r>
          <w:r>
            <w:rPr>
              <w:szCs w:val="24"/>
            </w:rPr>
            <w:fldChar w:fldCharType="separate"/>
          </w:r>
          <w:r>
            <w:rPr>
              <w:highlight w:val="none"/>
            </w:rPr>
            <w:t>1</w:t>
          </w:r>
          <w:r>
            <w:rPr>
              <w:rFonts w:hint="eastAsia"/>
              <w:highlight w:val="none"/>
              <w:lang w:val="en-US" w:eastAsia="zh-CN"/>
            </w:rPr>
            <w:t>.</w:t>
          </w:r>
          <w:r>
            <w:rPr>
              <w:highlight w:val="none"/>
            </w:rPr>
            <w:t>绩效评价原则</w:t>
          </w:r>
          <w:r>
            <w:tab/>
          </w:r>
          <w:r>
            <w:fldChar w:fldCharType="begin"/>
          </w:r>
          <w:r>
            <w:instrText xml:space="preserve"> PAGEREF _Toc11712 \h </w:instrText>
          </w:r>
          <w:r>
            <w:fldChar w:fldCharType="separate"/>
          </w:r>
          <w:r>
            <w:t>10</w:t>
          </w:r>
          <w:r>
            <w:fldChar w:fldCharType="end"/>
          </w:r>
          <w:r>
            <w:rPr>
              <w:szCs w:val="24"/>
            </w:rPr>
            <w:fldChar w:fldCharType="end"/>
          </w:r>
        </w:p>
        <w:p w14:paraId="03C45088">
          <w:pPr>
            <w:pStyle w:val="13"/>
            <w:tabs>
              <w:tab w:val="right" w:leader="dot" w:pos="8785"/>
            </w:tabs>
          </w:pPr>
          <w:r>
            <w:rPr>
              <w:szCs w:val="24"/>
            </w:rPr>
            <w:fldChar w:fldCharType="begin"/>
          </w:r>
          <w:r>
            <w:rPr>
              <w:szCs w:val="24"/>
            </w:rPr>
            <w:instrText xml:space="preserve"> HYPERLINK \l _Toc6682 </w:instrText>
          </w:r>
          <w:r>
            <w:rPr>
              <w:szCs w:val="24"/>
            </w:rPr>
            <w:fldChar w:fldCharType="separate"/>
          </w:r>
          <w:r>
            <w:rPr>
              <w:highlight w:val="none"/>
            </w:rPr>
            <w:t>2</w:t>
          </w:r>
          <w:r>
            <w:rPr>
              <w:rFonts w:hint="eastAsia"/>
              <w:highlight w:val="none"/>
              <w:lang w:val="en-US" w:eastAsia="zh-CN"/>
            </w:rPr>
            <w:t>.</w:t>
          </w:r>
          <w:r>
            <w:rPr>
              <w:highlight w:val="none"/>
            </w:rPr>
            <w:t>绩效评价方法</w:t>
          </w:r>
          <w:r>
            <w:tab/>
          </w:r>
          <w:r>
            <w:fldChar w:fldCharType="begin"/>
          </w:r>
          <w:r>
            <w:instrText xml:space="preserve"> PAGEREF _Toc6682 \h </w:instrText>
          </w:r>
          <w:r>
            <w:fldChar w:fldCharType="separate"/>
          </w:r>
          <w:r>
            <w:t>11</w:t>
          </w:r>
          <w:r>
            <w:fldChar w:fldCharType="end"/>
          </w:r>
          <w:r>
            <w:rPr>
              <w:szCs w:val="24"/>
            </w:rPr>
            <w:fldChar w:fldCharType="end"/>
          </w:r>
        </w:p>
        <w:p w14:paraId="18B2259B">
          <w:pPr>
            <w:pStyle w:val="13"/>
            <w:tabs>
              <w:tab w:val="right" w:leader="dot" w:pos="8785"/>
            </w:tabs>
          </w:pPr>
          <w:r>
            <w:rPr>
              <w:szCs w:val="24"/>
            </w:rPr>
            <w:fldChar w:fldCharType="begin"/>
          </w:r>
          <w:r>
            <w:rPr>
              <w:szCs w:val="24"/>
            </w:rPr>
            <w:instrText xml:space="preserve"> HYPERLINK \l _Toc2638 </w:instrText>
          </w:r>
          <w:r>
            <w:rPr>
              <w:szCs w:val="24"/>
            </w:rPr>
            <w:fldChar w:fldCharType="separate"/>
          </w:r>
          <w:r>
            <w:rPr>
              <w:highlight w:val="none"/>
              <w:lang w:val="en-US" w:eastAsia="zh-CN"/>
            </w:rPr>
            <w:t>3</w:t>
          </w:r>
          <w:r>
            <w:rPr>
              <w:rFonts w:hint="eastAsia"/>
              <w:highlight w:val="none"/>
              <w:lang w:val="en-US" w:eastAsia="zh-CN"/>
            </w:rPr>
            <w:t>.</w:t>
          </w:r>
          <w:r>
            <w:rPr>
              <w:highlight w:val="none"/>
              <w:lang w:val="en-US" w:eastAsia="zh-CN"/>
            </w:rPr>
            <w:t>绩效评价标准</w:t>
          </w:r>
          <w:r>
            <w:tab/>
          </w:r>
          <w:r>
            <w:fldChar w:fldCharType="begin"/>
          </w:r>
          <w:r>
            <w:instrText xml:space="preserve"> PAGEREF _Toc2638 \h </w:instrText>
          </w:r>
          <w:r>
            <w:fldChar w:fldCharType="separate"/>
          </w:r>
          <w:r>
            <w:t>11</w:t>
          </w:r>
          <w:r>
            <w:fldChar w:fldCharType="end"/>
          </w:r>
          <w:r>
            <w:rPr>
              <w:szCs w:val="24"/>
            </w:rPr>
            <w:fldChar w:fldCharType="end"/>
          </w:r>
        </w:p>
        <w:p w14:paraId="5AFC7645">
          <w:pPr>
            <w:pStyle w:val="17"/>
            <w:tabs>
              <w:tab w:val="right" w:leader="dot" w:pos="8785"/>
            </w:tabs>
          </w:pPr>
          <w:r>
            <w:rPr>
              <w:szCs w:val="24"/>
            </w:rPr>
            <w:fldChar w:fldCharType="begin"/>
          </w:r>
          <w:r>
            <w:rPr>
              <w:szCs w:val="24"/>
            </w:rPr>
            <w:instrText xml:space="preserve"> HYPERLINK \l _Toc30104 </w:instrText>
          </w:r>
          <w:r>
            <w:rPr>
              <w:szCs w:val="24"/>
            </w:rPr>
            <w:fldChar w:fldCharType="separate"/>
          </w:r>
          <w:r>
            <w:rPr>
              <w:rFonts w:hint="eastAsia"/>
              <w:highlight w:val="none"/>
              <w:lang w:eastAsia="zh-CN"/>
            </w:rPr>
            <w:t>（</w:t>
          </w:r>
          <w:r>
            <w:rPr>
              <w:rFonts w:hint="eastAsia"/>
              <w:highlight w:val="none"/>
              <w:lang w:val="en-US" w:eastAsia="zh-CN"/>
            </w:rPr>
            <w:t>五</w:t>
          </w:r>
          <w:r>
            <w:rPr>
              <w:rFonts w:hint="eastAsia"/>
              <w:highlight w:val="none"/>
              <w:lang w:eastAsia="zh-CN"/>
            </w:rPr>
            <w:t>）</w:t>
          </w:r>
          <w:r>
            <w:rPr>
              <w:rFonts w:hint="eastAsia"/>
              <w:highlight w:val="none"/>
            </w:rPr>
            <w:t>绩效评价</w:t>
          </w:r>
          <w:r>
            <w:rPr>
              <w:highlight w:val="none"/>
            </w:rPr>
            <w:t>指标体系</w:t>
          </w:r>
          <w:r>
            <w:tab/>
          </w:r>
          <w:r>
            <w:fldChar w:fldCharType="begin"/>
          </w:r>
          <w:r>
            <w:instrText xml:space="preserve"> PAGEREF _Toc30104 \h </w:instrText>
          </w:r>
          <w:r>
            <w:fldChar w:fldCharType="separate"/>
          </w:r>
          <w:r>
            <w:t>12</w:t>
          </w:r>
          <w:r>
            <w:fldChar w:fldCharType="end"/>
          </w:r>
          <w:r>
            <w:rPr>
              <w:szCs w:val="24"/>
            </w:rPr>
            <w:fldChar w:fldCharType="end"/>
          </w:r>
        </w:p>
        <w:p w14:paraId="08B21DCE">
          <w:pPr>
            <w:pStyle w:val="13"/>
            <w:tabs>
              <w:tab w:val="right" w:leader="dot" w:pos="8785"/>
            </w:tabs>
          </w:pPr>
          <w:r>
            <w:rPr>
              <w:szCs w:val="24"/>
            </w:rPr>
            <w:fldChar w:fldCharType="begin"/>
          </w:r>
          <w:r>
            <w:rPr>
              <w:szCs w:val="24"/>
            </w:rPr>
            <w:instrText xml:space="preserve"> HYPERLINK \l _Toc11513 </w:instrText>
          </w:r>
          <w:r>
            <w:rPr>
              <w:szCs w:val="24"/>
            </w:rPr>
            <w:fldChar w:fldCharType="separate"/>
          </w:r>
          <w:r>
            <w:rPr>
              <w:rFonts w:hint="eastAsia"/>
              <w:highlight w:val="none"/>
              <w:lang w:val="en-US" w:eastAsia="zh-CN"/>
            </w:rPr>
            <w:t>1.</w:t>
          </w:r>
          <w:r>
            <w:rPr>
              <w:highlight w:val="none"/>
            </w:rPr>
            <w:t>评价指标设计的总体思路</w:t>
          </w:r>
          <w:r>
            <w:tab/>
          </w:r>
          <w:r>
            <w:fldChar w:fldCharType="begin"/>
          </w:r>
          <w:r>
            <w:instrText xml:space="preserve"> PAGEREF _Toc11513 \h </w:instrText>
          </w:r>
          <w:r>
            <w:fldChar w:fldCharType="separate"/>
          </w:r>
          <w:r>
            <w:t>12</w:t>
          </w:r>
          <w:r>
            <w:fldChar w:fldCharType="end"/>
          </w:r>
          <w:r>
            <w:rPr>
              <w:szCs w:val="24"/>
            </w:rPr>
            <w:fldChar w:fldCharType="end"/>
          </w:r>
        </w:p>
        <w:p w14:paraId="471644C3">
          <w:pPr>
            <w:pStyle w:val="13"/>
            <w:tabs>
              <w:tab w:val="right" w:leader="dot" w:pos="8785"/>
            </w:tabs>
          </w:pPr>
          <w:r>
            <w:rPr>
              <w:szCs w:val="24"/>
            </w:rPr>
            <w:fldChar w:fldCharType="begin"/>
          </w:r>
          <w:r>
            <w:rPr>
              <w:szCs w:val="24"/>
            </w:rPr>
            <w:instrText xml:space="preserve"> HYPERLINK \l _Toc21584 </w:instrText>
          </w:r>
          <w:r>
            <w:rPr>
              <w:szCs w:val="24"/>
            </w:rPr>
            <w:fldChar w:fldCharType="separate"/>
          </w:r>
          <w:r>
            <w:rPr>
              <w:rFonts w:hint="eastAsia"/>
              <w:highlight w:val="none"/>
              <w:lang w:val="en-US" w:eastAsia="zh-CN"/>
            </w:rPr>
            <w:t>2.</w:t>
          </w:r>
          <w:r>
            <w:rPr>
              <w:highlight w:val="none"/>
            </w:rPr>
            <w:t>评价指标</w:t>
          </w:r>
          <w:r>
            <w:tab/>
          </w:r>
          <w:r>
            <w:fldChar w:fldCharType="begin"/>
          </w:r>
          <w:r>
            <w:instrText xml:space="preserve"> PAGEREF _Toc21584 \h </w:instrText>
          </w:r>
          <w:r>
            <w:fldChar w:fldCharType="separate"/>
          </w:r>
          <w:r>
            <w:t>12</w:t>
          </w:r>
          <w:r>
            <w:fldChar w:fldCharType="end"/>
          </w:r>
          <w:r>
            <w:rPr>
              <w:szCs w:val="24"/>
            </w:rPr>
            <w:fldChar w:fldCharType="end"/>
          </w:r>
        </w:p>
        <w:p w14:paraId="5D4F8F9A">
          <w:pPr>
            <w:pStyle w:val="13"/>
            <w:tabs>
              <w:tab w:val="right" w:leader="dot" w:pos="8785"/>
            </w:tabs>
          </w:pPr>
          <w:r>
            <w:rPr>
              <w:szCs w:val="24"/>
            </w:rPr>
            <w:fldChar w:fldCharType="begin"/>
          </w:r>
          <w:r>
            <w:rPr>
              <w:szCs w:val="24"/>
            </w:rPr>
            <w:instrText xml:space="preserve"> HYPERLINK \l _Toc2635 </w:instrText>
          </w:r>
          <w:r>
            <w:rPr>
              <w:szCs w:val="24"/>
            </w:rPr>
            <w:fldChar w:fldCharType="separate"/>
          </w:r>
          <w:r>
            <w:rPr>
              <w:rFonts w:hint="eastAsia"/>
              <w:highlight w:val="none"/>
              <w:lang w:val="en-US" w:eastAsia="zh-CN"/>
            </w:rPr>
            <w:t>3.评价结果的确定</w:t>
          </w:r>
          <w:r>
            <w:tab/>
          </w:r>
          <w:r>
            <w:fldChar w:fldCharType="begin"/>
          </w:r>
          <w:r>
            <w:instrText xml:space="preserve"> PAGEREF _Toc2635 \h </w:instrText>
          </w:r>
          <w:r>
            <w:fldChar w:fldCharType="separate"/>
          </w:r>
          <w:r>
            <w:t>13</w:t>
          </w:r>
          <w:r>
            <w:fldChar w:fldCharType="end"/>
          </w:r>
          <w:r>
            <w:rPr>
              <w:szCs w:val="24"/>
            </w:rPr>
            <w:fldChar w:fldCharType="end"/>
          </w:r>
        </w:p>
        <w:p w14:paraId="2B8AC927">
          <w:pPr>
            <w:pStyle w:val="17"/>
            <w:tabs>
              <w:tab w:val="right" w:leader="dot" w:pos="8785"/>
            </w:tabs>
          </w:pPr>
          <w:r>
            <w:rPr>
              <w:szCs w:val="24"/>
            </w:rPr>
            <w:fldChar w:fldCharType="begin"/>
          </w:r>
          <w:r>
            <w:rPr>
              <w:szCs w:val="24"/>
            </w:rPr>
            <w:instrText xml:space="preserve"> HYPERLINK \l _Toc26375 </w:instrText>
          </w:r>
          <w:r>
            <w:rPr>
              <w:szCs w:val="24"/>
            </w:rPr>
            <w:fldChar w:fldCharType="separate"/>
          </w:r>
          <w:r>
            <w:rPr>
              <w:rFonts w:hint="eastAsia"/>
              <w:highlight w:val="none"/>
              <w:lang w:val="en-US" w:eastAsia="zh-CN"/>
            </w:rPr>
            <w:t>（六）评价工作过程</w:t>
          </w:r>
          <w:r>
            <w:tab/>
          </w:r>
          <w:r>
            <w:fldChar w:fldCharType="begin"/>
          </w:r>
          <w:r>
            <w:instrText xml:space="preserve"> PAGEREF _Toc26375 \h </w:instrText>
          </w:r>
          <w:r>
            <w:fldChar w:fldCharType="separate"/>
          </w:r>
          <w:r>
            <w:t>13</w:t>
          </w:r>
          <w:r>
            <w:fldChar w:fldCharType="end"/>
          </w:r>
          <w:r>
            <w:rPr>
              <w:szCs w:val="24"/>
            </w:rPr>
            <w:fldChar w:fldCharType="end"/>
          </w:r>
        </w:p>
        <w:p w14:paraId="6E215433">
          <w:pPr>
            <w:pStyle w:val="16"/>
            <w:tabs>
              <w:tab w:val="right" w:leader="dot" w:pos="8785"/>
            </w:tabs>
          </w:pPr>
          <w:r>
            <w:rPr>
              <w:szCs w:val="24"/>
            </w:rPr>
            <w:fldChar w:fldCharType="begin"/>
          </w:r>
          <w:r>
            <w:rPr>
              <w:szCs w:val="24"/>
            </w:rPr>
            <w:instrText xml:space="preserve"> HYPERLINK \l _Toc3258 </w:instrText>
          </w:r>
          <w:r>
            <w:rPr>
              <w:szCs w:val="24"/>
            </w:rPr>
            <w:fldChar w:fldCharType="separate"/>
          </w:r>
          <w:r>
            <w:rPr>
              <w:highlight w:val="none"/>
            </w:rPr>
            <w:t>三、综合评价情况及评价结论</w:t>
          </w:r>
          <w:r>
            <w:tab/>
          </w:r>
          <w:r>
            <w:fldChar w:fldCharType="begin"/>
          </w:r>
          <w:r>
            <w:instrText xml:space="preserve"> PAGEREF _Toc3258 \h </w:instrText>
          </w:r>
          <w:r>
            <w:fldChar w:fldCharType="separate"/>
          </w:r>
          <w:r>
            <w:t>13</w:t>
          </w:r>
          <w:r>
            <w:fldChar w:fldCharType="end"/>
          </w:r>
          <w:r>
            <w:rPr>
              <w:szCs w:val="24"/>
            </w:rPr>
            <w:fldChar w:fldCharType="end"/>
          </w:r>
        </w:p>
        <w:p w14:paraId="36379444">
          <w:pPr>
            <w:pStyle w:val="17"/>
            <w:tabs>
              <w:tab w:val="right" w:leader="dot" w:pos="8785"/>
            </w:tabs>
          </w:pPr>
          <w:r>
            <w:rPr>
              <w:szCs w:val="24"/>
            </w:rPr>
            <w:fldChar w:fldCharType="begin"/>
          </w:r>
          <w:r>
            <w:rPr>
              <w:szCs w:val="24"/>
            </w:rPr>
            <w:instrText xml:space="preserve"> HYPERLINK \l _Toc24 </w:instrText>
          </w:r>
          <w:r>
            <w:rPr>
              <w:szCs w:val="24"/>
            </w:rPr>
            <w:fldChar w:fldCharType="separate"/>
          </w:r>
          <w:r>
            <w:rPr>
              <w:highlight w:val="none"/>
            </w:rPr>
            <w:t>（一）总体评价得分</w:t>
          </w:r>
          <w:r>
            <w:tab/>
          </w:r>
          <w:r>
            <w:fldChar w:fldCharType="begin"/>
          </w:r>
          <w:r>
            <w:instrText xml:space="preserve"> PAGEREF _Toc24 \h </w:instrText>
          </w:r>
          <w:r>
            <w:fldChar w:fldCharType="separate"/>
          </w:r>
          <w:r>
            <w:t>13</w:t>
          </w:r>
          <w:r>
            <w:fldChar w:fldCharType="end"/>
          </w:r>
          <w:r>
            <w:rPr>
              <w:szCs w:val="24"/>
            </w:rPr>
            <w:fldChar w:fldCharType="end"/>
          </w:r>
        </w:p>
        <w:p w14:paraId="54E54BFE">
          <w:pPr>
            <w:pStyle w:val="17"/>
            <w:tabs>
              <w:tab w:val="right" w:leader="dot" w:pos="8785"/>
            </w:tabs>
          </w:pPr>
          <w:r>
            <w:rPr>
              <w:szCs w:val="24"/>
            </w:rPr>
            <w:fldChar w:fldCharType="begin"/>
          </w:r>
          <w:r>
            <w:rPr>
              <w:szCs w:val="24"/>
            </w:rPr>
            <w:instrText xml:space="preserve"> HYPERLINK \l _Toc28681 </w:instrText>
          </w:r>
          <w:r>
            <w:rPr>
              <w:szCs w:val="24"/>
            </w:rPr>
            <w:fldChar w:fldCharType="separate"/>
          </w:r>
          <w:r>
            <w:rPr>
              <w:highlight w:val="none"/>
            </w:rPr>
            <w:t>（二）综合评价结论</w:t>
          </w:r>
          <w:r>
            <w:tab/>
          </w:r>
          <w:r>
            <w:fldChar w:fldCharType="begin"/>
          </w:r>
          <w:r>
            <w:instrText xml:space="preserve"> PAGEREF _Toc28681 \h </w:instrText>
          </w:r>
          <w:r>
            <w:fldChar w:fldCharType="separate"/>
          </w:r>
          <w:r>
            <w:t>14</w:t>
          </w:r>
          <w:r>
            <w:fldChar w:fldCharType="end"/>
          </w:r>
          <w:r>
            <w:rPr>
              <w:szCs w:val="24"/>
            </w:rPr>
            <w:fldChar w:fldCharType="end"/>
          </w:r>
        </w:p>
        <w:p w14:paraId="610C96B1">
          <w:pPr>
            <w:pStyle w:val="16"/>
            <w:tabs>
              <w:tab w:val="right" w:leader="dot" w:pos="8785"/>
            </w:tabs>
          </w:pPr>
          <w:r>
            <w:rPr>
              <w:szCs w:val="24"/>
            </w:rPr>
            <w:fldChar w:fldCharType="begin"/>
          </w:r>
          <w:r>
            <w:rPr>
              <w:szCs w:val="24"/>
            </w:rPr>
            <w:instrText xml:space="preserve"> HYPERLINK \l _Toc7110 </w:instrText>
          </w:r>
          <w:r>
            <w:rPr>
              <w:szCs w:val="24"/>
            </w:rPr>
            <w:fldChar w:fldCharType="separate"/>
          </w:r>
          <w:r>
            <w:rPr>
              <w:rFonts w:hint="eastAsia"/>
              <w:highlight w:val="none"/>
              <w:lang w:val="en-US" w:eastAsia="zh-CN"/>
            </w:rPr>
            <w:t>四</w:t>
          </w:r>
          <w:r>
            <w:rPr>
              <w:highlight w:val="none"/>
            </w:rPr>
            <w:t>、取得成效</w:t>
          </w:r>
          <w:r>
            <w:tab/>
          </w:r>
          <w:r>
            <w:fldChar w:fldCharType="begin"/>
          </w:r>
          <w:r>
            <w:instrText xml:space="preserve"> PAGEREF _Toc7110 \h </w:instrText>
          </w:r>
          <w:r>
            <w:fldChar w:fldCharType="separate"/>
          </w:r>
          <w:r>
            <w:t>14</w:t>
          </w:r>
          <w:r>
            <w:fldChar w:fldCharType="end"/>
          </w:r>
          <w:r>
            <w:rPr>
              <w:szCs w:val="24"/>
            </w:rPr>
            <w:fldChar w:fldCharType="end"/>
          </w:r>
        </w:p>
        <w:p w14:paraId="659D8819">
          <w:pPr>
            <w:pStyle w:val="13"/>
            <w:tabs>
              <w:tab w:val="right" w:leader="dot" w:pos="8785"/>
            </w:tabs>
          </w:pPr>
          <w:r>
            <w:rPr>
              <w:szCs w:val="24"/>
            </w:rPr>
            <w:fldChar w:fldCharType="begin"/>
          </w:r>
          <w:r>
            <w:rPr>
              <w:szCs w:val="24"/>
            </w:rPr>
            <w:instrText xml:space="preserve"> HYPERLINK \l _Toc22737 </w:instrText>
          </w:r>
          <w:r>
            <w:rPr>
              <w:szCs w:val="24"/>
            </w:rPr>
            <w:fldChar w:fldCharType="separate"/>
          </w:r>
          <w:r>
            <w:rPr>
              <w:rFonts w:hint="eastAsia"/>
              <w:lang w:val="en-US" w:eastAsia="zh-CN"/>
            </w:rPr>
            <w:t>1、理</w:t>
          </w:r>
          <w:r>
            <w:rPr>
              <w:rFonts w:hint="eastAsia"/>
              <w:highlight w:val="none"/>
              <w:lang w:val="en-US" w:eastAsia="zh-CN"/>
            </w:rPr>
            <w:t>论学习、宣教工作等</w:t>
          </w:r>
          <w:r>
            <w:tab/>
          </w:r>
          <w:r>
            <w:fldChar w:fldCharType="begin"/>
          </w:r>
          <w:r>
            <w:instrText xml:space="preserve"> PAGEREF _Toc22737 \h </w:instrText>
          </w:r>
          <w:r>
            <w:fldChar w:fldCharType="separate"/>
          </w:r>
          <w:r>
            <w:t>14</w:t>
          </w:r>
          <w:r>
            <w:fldChar w:fldCharType="end"/>
          </w:r>
          <w:r>
            <w:rPr>
              <w:szCs w:val="24"/>
            </w:rPr>
            <w:fldChar w:fldCharType="end"/>
          </w:r>
        </w:p>
        <w:p w14:paraId="7F7DFC49">
          <w:pPr>
            <w:pStyle w:val="13"/>
            <w:tabs>
              <w:tab w:val="right" w:leader="dot" w:pos="8785"/>
            </w:tabs>
          </w:pPr>
          <w:r>
            <w:rPr>
              <w:szCs w:val="24"/>
            </w:rPr>
            <w:fldChar w:fldCharType="begin"/>
          </w:r>
          <w:r>
            <w:rPr>
              <w:szCs w:val="24"/>
            </w:rPr>
            <w:instrText xml:space="preserve"> HYPERLINK \l _Toc2078 </w:instrText>
          </w:r>
          <w:r>
            <w:rPr>
              <w:szCs w:val="24"/>
            </w:rPr>
            <w:fldChar w:fldCharType="separate"/>
          </w:r>
          <w:r>
            <w:rPr>
              <w:rFonts w:hint="eastAsia"/>
              <w:lang w:val="en-US" w:eastAsia="zh-CN"/>
            </w:rPr>
            <w:t>2、新闻</w:t>
          </w:r>
          <w:r>
            <w:rPr>
              <w:rFonts w:hint="eastAsia"/>
              <w:highlight w:val="none"/>
              <w:lang w:val="en-US" w:eastAsia="zh-CN"/>
            </w:rPr>
            <w:t>外宣等工作</w:t>
          </w:r>
          <w:r>
            <w:tab/>
          </w:r>
          <w:r>
            <w:fldChar w:fldCharType="begin"/>
          </w:r>
          <w:r>
            <w:instrText xml:space="preserve"> PAGEREF _Toc2078 \h </w:instrText>
          </w:r>
          <w:r>
            <w:fldChar w:fldCharType="separate"/>
          </w:r>
          <w:r>
            <w:t>16</w:t>
          </w:r>
          <w:r>
            <w:fldChar w:fldCharType="end"/>
          </w:r>
          <w:r>
            <w:rPr>
              <w:szCs w:val="24"/>
            </w:rPr>
            <w:fldChar w:fldCharType="end"/>
          </w:r>
        </w:p>
        <w:p w14:paraId="2EF333C4">
          <w:pPr>
            <w:pStyle w:val="13"/>
            <w:tabs>
              <w:tab w:val="right" w:leader="dot" w:pos="8785"/>
            </w:tabs>
          </w:pPr>
          <w:r>
            <w:rPr>
              <w:szCs w:val="24"/>
            </w:rPr>
            <w:fldChar w:fldCharType="begin"/>
          </w:r>
          <w:r>
            <w:rPr>
              <w:szCs w:val="24"/>
            </w:rPr>
            <w:instrText xml:space="preserve"> HYPERLINK \l _Toc4441 </w:instrText>
          </w:r>
          <w:r>
            <w:rPr>
              <w:szCs w:val="24"/>
            </w:rPr>
            <w:fldChar w:fldCharType="separate"/>
          </w:r>
          <w:r>
            <w:rPr>
              <w:rFonts w:hint="eastAsia"/>
              <w:highlight w:val="none"/>
              <w:lang w:val="en-US" w:eastAsia="zh-CN"/>
            </w:rPr>
            <w:t>3、精神文明建设、思想道德建设等工作</w:t>
          </w:r>
          <w:r>
            <w:tab/>
          </w:r>
          <w:r>
            <w:fldChar w:fldCharType="begin"/>
          </w:r>
          <w:r>
            <w:instrText xml:space="preserve"> PAGEREF _Toc4441 \h </w:instrText>
          </w:r>
          <w:r>
            <w:fldChar w:fldCharType="separate"/>
          </w:r>
          <w:r>
            <w:t>18</w:t>
          </w:r>
          <w:r>
            <w:fldChar w:fldCharType="end"/>
          </w:r>
          <w:r>
            <w:rPr>
              <w:szCs w:val="24"/>
            </w:rPr>
            <w:fldChar w:fldCharType="end"/>
          </w:r>
        </w:p>
        <w:p w14:paraId="36568D13">
          <w:pPr>
            <w:pStyle w:val="13"/>
            <w:tabs>
              <w:tab w:val="right" w:leader="dot" w:pos="8785"/>
            </w:tabs>
          </w:pPr>
          <w:r>
            <w:rPr>
              <w:szCs w:val="24"/>
            </w:rPr>
            <w:fldChar w:fldCharType="begin"/>
          </w:r>
          <w:r>
            <w:rPr>
              <w:szCs w:val="24"/>
            </w:rPr>
            <w:instrText xml:space="preserve"> HYPERLINK \l _Toc4343 </w:instrText>
          </w:r>
          <w:r>
            <w:rPr>
              <w:szCs w:val="24"/>
            </w:rPr>
            <w:fldChar w:fldCharType="separate"/>
          </w:r>
          <w:r>
            <w:rPr>
              <w:rFonts w:hint="eastAsia"/>
              <w:highlight w:val="none"/>
              <w:lang w:val="en-US" w:eastAsia="zh-CN"/>
            </w:rPr>
            <w:t>4.文化文艺等方面工作</w:t>
          </w:r>
          <w:r>
            <w:tab/>
          </w:r>
          <w:r>
            <w:fldChar w:fldCharType="begin"/>
          </w:r>
          <w:r>
            <w:instrText xml:space="preserve"> PAGEREF _Toc4343 \h </w:instrText>
          </w:r>
          <w:r>
            <w:fldChar w:fldCharType="separate"/>
          </w:r>
          <w:r>
            <w:t>18</w:t>
          </w:r>
          <w:r>
            <w:fldChar w:fldCharType="end"/>
          </w:r>
          <w:r>
            <w:rPr>
              <w:szCs w:val="24"/>
            </w:rPr>
            <w:fldChar w:fldCharType="end"/>
          </w:r>
        </w:p>
        <w:p w14:paraId="33B8B328">
          <w:pPr>
            <w:pStyle w:val="16"/>
            <w:tabs>
              <w:tab w:val="right" w:leader="dot" w:pos="8785"/>
            </w:tabs>
          </w:pPr>
          <w:r>
            <w:rPr>
              <w:szCs w:val="24"/>
            </w:rPr>
            <w:fldChar w:fldCharType="begin"/>
          </w:r>
          <w:r>
            <w:rPr>
              <w:szCs w:val="24"/>
            </w:rPr>
            <w:instrText xml:space="preserve"> HYPERLINK \l _Toc24095 </w:instrText>
          </w:r>
          <w:r>
            <w:rPr>
              <w:szCs w:val="24"/>
            </w:rPr>
            <w:fldChar w:fldCharType="separate"/>
          </w:r>
          <w:r>
            <w:rPr>
              <w:rFonts w:hint="eastAsia"/>
              <w:highlight w:val="none"/>
              <w:lang w:val="en-US" w:eastAsia="zh-CN"/>
            </w:rPr>
            <w:t>五、存在问题及下一步改进建议</w:t>
          </w:r>
          <w:r>
            <w:tab/>
          </w:r>
          <w:r>
            <w:fldChar w:fldCharType="begin"/>
          </w:r>
          <w:r>
            <w:instrText xml:space="preserve"> PAGEREF _Toc24095 \h </w:instrText>
          </w:r>
          <w:r>
            <w:fldChar w:fldCharType="separate"/>
          </w:r>
          <w:r>
            <w:t>19</w:t>
          </w:r>
          <w:r>
            <w:fldChar w:fldCharType="end"/>
          </w:r>
          <w:r>
            <w:rPr>
              <w:szCs w:val="24"/>
            </w:rPr>
            <w:fldChar w:fldCharType="end"/>
          </w:r>
        </w:p>
        <w:p w14:paraId="60C44D0C">
          <w:pPr>
            <w:pStyle w:val="17"/>
            <w:tabs>
              <w:tab w:val="right" w:leader="dot" w:pos="8785"/>
            </w:tabs>
          </w:pPr>
          <w:r>
            <w:rPr>
              <w:szCs w:val="24"/>
            </w:rPr>
            <w:fldChar w:fldCharType="begin"/>
          </w:r>
          <w:r>
            <w:rPr>
              <w:szCs w:val="24"/>
            </w:rPr>
            <w:instrText xml:space="preserve"> HYPERLINK \l _Toc30925 </w:instrText>
          </w:r>
          <w:r>
            <w:rPr>
              <w:szCs w:val="24"/>
            </w:rPr>
            <w:fldChar w:fldCharType="separate"/>
          </w:r>
          <w:r>
            <w:rPr>
              <w:highlight w:val="none"/>
            </w:rPr>
            <w:t>（一）存在问题</w:t>
          </w:r>
          <w:r>
            <w:tab/>
          </w:r>
          <w:r>
            <w:fldChar w:fldCharType="begin"/>
          </w:r>
          <w:r>
            <w:instrText xml:space="preserve"> PAGEREF _Toc30925 \h </w:instrText>
          </w:r>
          <w:r>
            <w:fldChar w:fldCharType="separate"/>
          </w:r>
          <w:r>
            <w:t>19</w:t>
          </w:r>
          <w:r>
            <w:fldChar w:fldCharType="end"/>
          </w:r>
          <w:r>
            <w:rPr>
              <w:szCs w:val="24"/>
            </w:rPr>
            <w:fldChar w:fldCharType="end"/>
          </w:r>
        </w:p>
        <w:p w14:paraId="72F1856B">
          <w:pPr>
            <w:pStyle w:val="13"/>
            <w:tabs>
              <w:tab w:val="right" w:leader="dot" w:pos="8785"/>
            </w:tabs>
          </w:pPr>
          <w:r>
            <w:rPr>
              <w:szCs w:val="24"/>
            </w:rPr>
            <w:fldChar w:fldCharType="begin"/>
          </w:r>
          <w:r>
            <w:rPr>
              <w:szCs w:val="24"/>
            </w:rPr>
            <w:instrText xml:space="preserve"> HYPERLINK \l _Toc12230 </w:instrText>
          </w:r>
          <w:r>
            <w:rPr>
              <w:szCs w:val="24"/>
            </w:rPr>
            <w:fldChar w:fldCharType="separate"/>
          </w:r>
          <w:r>
            <w:rPr>
              <w:rFonts w:hint="eastAsia"/>
              <w:highlight w:val="none"/>
              <w:lang w:val="en-US" w:eastAsia="zh-CN"/>
            </w:rPr>
            <w:t>1.预算绩效产出指标未细化和量化</w:t>
          </w:r>
          <w:r>
            <w:tab/>
          </w:r>
          <w:r>
            <w:fldChar w:fldCharType="begin"/>
          </w:r>
          <w:r>
            <w:instrText xml:space="preserve"> PAGEREF _Toc12230 \h </w:instrText>
          </w:r>
          <w:r>
            <w:fldChar w:fldCharType="separate"/>
          </w:r>
          <w:r>
            <w:t>19</w:t>
          </w:r>
          <w:r>
            <w:fldChar w:fldCharType="end"/>
          </w:r>
          <w:r>
            <w:rPr>
              <w:szCs w:val="24"/>
            </w:rPr>
            <w:fldChar w:fldCharType="end"/>
          </w:r>
        </w:p>
        <w:p w14:paraId="06A9FF59">
          <w:pPr>
            <w:pStyle w:val="13"/>
            <w:tabs>
              <w:tab w:val="right" w:leader="dot" w:pos="8785"/>
            </w:tabs>
          </w:pPr>
          <w:r>
            <w:rPr>
              <w:szCs w:val="24"/>
            </w:rPr>
            <w:fldChar w:fldCharType="begin"/>
          </w:r>
          <w:r>
            <w:rPr>
              <w:szCs w:val="24"/>
            </w:rPr>
            <w:instrText xml:space="preserve"> HYPERLINK \l _Toc3459 </w:instrText>
          </w:r>
          <w:r>
            <w:rPr>
              <w:szCs w:val="24"/>
            </w:rPr>
            <w:fldChar w:fldCharType="separate"/>
          </w:r>
          <w:r>
            <w:rPr>
              <w:rFonts w:hint="eastAsia"/>
              <w:highlight w:val="none"/>
              <w:lang w:val="en-US" w:eastAsia="zh-CN"/>
            </w:rPr>
            <w:t>2.预算编制不完整</w:t>
          </w:r>
          <w:r>
            <w:tab/>
          </w:r>
          <w:r>
            <w:fldChar w:fldCharType="begin"/>
          </w:r>
          <w:r>
            <w:instrText xml:space="preserve"> PAGEREF _Toc3459 \h </w:instrText>
          </w:r>
          <w:r>
            <w:fldChar w:fldCharType="separate"/>
          </w:r>
          <w:r>
            <w:t>20</w:t>
          </w:r>
          <w:r>
            <w:fldChar w:fldCharType="end"/>
          </w:r>
          <w:r>
            <w:rPr>
              <w:szCs w:val="24"/>
            </w:rPr>
            <w:fldChar w:fldCharType="end"/>
          </w:r>
        </w:p>
        <w:p w14:paraId="041B645D">
          <w:pPr>
            <w:pStyle w:val="13"/>
            <w:tabs>
              <w:tab w:val="right" w:leader="dot" w:pos="8785"/>
            </w:tabs>
          </w:pPr>
          <w:r>
            <w:rPr>
              <w:szCs w:val="24"/>
            </w:rPr>
            <w:fldChar w:fldCharType="begin"/>
          </w:r>
          <w:r>
            <w:rPr>
              <w:szCs w:val="24"/>
            </w:rPr>
            <w:instrText xml:space="preserve"> HYPERLINK \l _Toc25918 </w:instrText>
          </w:r>
          <w:r>
            <w:rPr>
              <w:szCs w:val="24"/>
            </w:rPr>
            <w:fldChar w:fldCharType="separate"/>
          </w:r>
          <w:r>
            <w:rPr>
              <w:rFonts w:hint="eastAsia"/>
              <w:highlight w:val="none"/>
              <w:lang w:val="en-US" w:eastAsia="zh-CN"/>
            </w:rPr>
            <w:t>3.固定资产入账不及时</w:t>
          </w:r>
          <w:r>
            <w:tab/>
          </w:r>
          <w:r>
            <w:fldChar w:fldCharType="begin"/>
          </w:r>
          <w:r>
            <w:instrText xml:space="preserve"> PAGEREF _Toc25918 \h </w:instrText>
          </w:r>
          <w:r>
            <w:fldChar w:fldCharType="separate"/>
          </w:r>
          <w:r>
            <w:t>20</w:t>
          </w:r>
          <w:r>
            <w:fldChar w:fldCharType="end"/>
          </w:r>
          <w:r>
            <w:rPr>
              <w:szCs w:val="24"/>
            </w:rPr>
            <w:fldChar w:fldCharType="end"/>
          </w:r>
        </w:p>
        <w:p w14:paraId="6D91F650">
          <w:pPr>
            <w:pStyle w:val="13"/>
            <w:tabs>
              <w:tab w:val="right" w:leader="dot" w:pos="8785"/>
            </w:tabs>
          </w:pPr>
          <w:r>
            <w:rPr>
              <w:szCs w:val="24"/>
            </w:rPr>
            <w:fldChar w:fldCharType="begin"/>
          </w:r>
          <w:r>
            <w:rPr>
              <w:szCs w:val="24"/>
            </w:rPr>
            <w:instrText xml:space="preserve"> HYPERLINK \l _Toc24676 </w:instrText>
          </w:r>
          <w:r>
            <w:rPr>
              <w:szCs w:val="24"/>
            </w:rPr>
            <w:fldChar w:fldCharType="separate"/>
          </w:r>
          <w:r>
            <w:rPr>
              <w:rFonts w:hint="eastAsia"/>
              <w:highlight w:val="none"/>
              <w:lang w:val="en-US" w:eastAsia="zh-CN"/>
            </w:rPr>
            <w:t>4.管理制度不健全、重大项目支出评估论证和审批流程执行不到位</w:t>
          </w:r>
          <w:r>
            <w:tab/>
          </w:r>
          <w:r>
            <w:fldChar w:fldCharType="begin"/>
          </w:r>
          <w:r>
            <w:instrText xml:space="preserve"> PAGEREF _Toc24676 \h </w:instrText>
          </w:r>
          <w:r>
            <w:fldChar w:fldCharType="separate"/>
          </w:r>
          <w:r>
            <w:t>20</w:t>
          </w:r>
          <w:r>
            <w:fldChar w:fldCharType="end"/>
          </w:r>
          <w:r>
            <w:rPr>
              <w:szCs w:val="24"/>
            </w:rPr>
            <w:fldChar w:fldCharType="end"/>
          </w:r>
        </w:p>
        <w:p w14:paraId="4FB5C472">
          <w:pPr>
            <w:pStyle w:val="17"/>
            <w:tabs>
              <w:tab w:val="right" w:leader="dot" w:pos="8785"/>
            </w:tabs>
          </w:pPr>
          <w:r>
            <w:rPr>
              <w:szCs w:val="24"/>
            </w:rPr>
            <w:fldChar w:fldCharType="begin"/>
          </w:r>
          <w:r>
            <w:rPr>
              <w:szCs w:val="24"/>
            </w:rPr>
            <w:instrText xml:space="preserve"> HYPERLINK \l _Toc10338 </w:instrText>
          </w:r>
          <w:r>
            <w:rPr>
              <w:szCs w:val="24"/>
            </w:rPr>
            <w:fldChar w:fldCharType="separate"/>
          </w:r>
          <w:r>
            <w:rPr>
              <w:highlight w:val="none"/>
            </w:rPr>
            <w:t>（二）下一步改进建议</w:t>
          </w:r>
          <w:r>
            <w:tab/>
          </w:r>
          <w:r>
            <w:fldChar w:fldCharType="begin"/>
          </w:r>
          <w:r>
            <w:instrText xml:space="preserve"> PAGEREF _Toc10338 \h </w:instrText>
          </w:r>
          <w:r>
            <w:fldChar w:fldCharType="separate"/>
          </w:r>
          <w:r>
            <w:t>20</w:t>
          </w:r>
          <w:r>
            <w:fldChar w:fldCharType="end"/>
          </w:r>
          <w:r>
            <w:rPr>
              <w:szCs w:val="24"/>
            </w:rPr>
            <w:fldChar w:fldCharType="end"/>
          </w:r>
        </w:p>
        <w:p w14:paraId="0F2AD811">
          <w:pPr>
            <w:pStyle w:val="13"/>
            <w:tabs>
              <w:tab w:val="right" w:leader="dot" w:pos="8785"/>
            </w:tabs>
          </w:pPr>
          <w:r>
            <w:rPr>
              <w:szCs w:val="24"/>
            </w:rPr>
            <w:fldChar w:fldCharType="begin"/>
          </w:r>
          <w:r>
            <w:rPr>
              <w:szCs w:val="24"/>
            </w:rPr>
            <w:instrText xml:space="preserve"> HYPERLINK \l _Toc8904 </w:instrText>
          </w:r>
          <w:r>
            <w:rPr>
              <w:szCs w:val="24"/>
            </w:rPr>
            <w:fldChar w:fldCharType="separate"/>
          </w:r>
          <w:r>
            <w:rPr>
              <w:rFonts w:hint="eastAsia"/>
              <w:highlight w:val="none"/>
              <w:lang w:val="en-US" w:eastAsia="zh-CN"/>
            </w:rPr>
            <w:t>1.</w:t>
          </w:r>
          <w:r>
            <w:rPr>
              <w:rFonts w:hint="eastAsia" w:cs="宋体"/>
              <w:bCs w:val="0"/>
              <w:spacing w:val="6"/>
              <w:szCs w:val="28"/>
              <w:highlight w:val="none"/>
              <w:lang w:val="en-US" w:eastAsia="zh-CN"/>
            </w:rPr>
            <w:t>制定合理明确的绩效指标，加强绩效管理工作</w:t>
          </w:r>
          <w:r>
            <w:tab/>
          </w:r>
          <w:r>
            <w:fldChar w:fldCharType="begin"/>
          </w:r>
          <w:r>
            <w:instrText xml:space="preserve"> PAGEREF _Toc8904 \h </w:instrText>
          </w:r>
          <w:r>
            <w:fldChar w:fldCharType="separate"/>
          </w:r>
          <w:r>
            <w:t>20</w:t>
          </w:r>
          <w:r>
            <w:fldChar w:fldCharType="end"/>
          </w:r>
          <w:r>
            <w:rPr>
              <w:szCs w:val="24"/>
            </w:rPr>
            <w:fldChar w:fldCharType="end"/>
          </w:r>
        </w:p>
        <w:p w14:paraId="17EEDE1A">
          <w:pPr>
            <w:pStyle w:val="13"/>
            <w:tabs>
              <w:tab w:val="right" w:leader="dot" w:pos="8785"/>
            </w:tabs>
          </w:pPr>
          <w:r>
            <w:rPr>
              <w:szCs w:val="24"/>
            </w:rPr>
            <w:fldChar w:fldCharType="begin"/>
          </w:r>
          <w:r>
            <w:rPr>
              <w:szCs w:val="24"/>
            </w:rPr>
            <w:instrText xml:space="preserve"> HYPERLINK \l _Toc103 </w:instrText>
          </w:r>
          <w:r>
            <w:rPr>
              <w:szCs w:val="24"/>
            </w:rPr>
            <w:fldChar w:fldCharType="separate"/>
          </w:r>
          <w:r>
            <w:rPr>
              <w:rFonts w:hint="eastAsia"/>
              <w:highlight w:val="none"/>
              <w:lang w:val="en-US" w:eastAsia="zh-CN"/>
            </w:rPr>
            <w:t>2.加</w:t>
          </w:r>
          <w:r>
            <w:rPr>
              <w:rFonts w:hint="eastAsia" w:cs="宋体"/>
              <w:bCs w:val="0"/>
              <w:spacing w:val="6"/>
              <w:szCs w:val="28"/>
              <w:highlight w:val="none"/>
              <w:lang w:val="en-US" w:eastAsia="zh-CN"/>
            </w:rPr>
            <w:t>强预算管理，增进预算编制准确性和完整性</w:t>
          </w:r>
          <w:r>
            <w:tab/>
          </w:r>
          <w:r>
            <w:fldChar w:fldCharType="begin"/>
          </w:r>
          <w:r>
            <w:instrText xml:space="preserve"> PAGEREF _Toc103 \h </w:instrText>
          </w:r>
          <w:r>
            <w:fldChar w:fldCharType="separate"/>
          </w:r>
          <w:r>
            <w:t>21</w:t>
          </w:r>
          <w:r>
            <w:fldChar w:fldCharType="end"/>
          </w:r>
          <w:r>
            <w:rPr>
              <w:szCs w:val="24"/>
            </w:rPr>
            <w:fldChar w:fldCharType="end"/>
          </w:r>
        </w:p>
        <w:p w14:paraId="3174CFCC">
          <w:pPr>
            <w:pStyle w:val="13"/>
            <w:tabs>
              <w:tab w:val="right" w:leader="dot" w:pos="8785"/>
            </w:tabs>
          </w:pPr>
          <w:r>
            <w:rPr>
              <w:szCs w:val="24"/>
            </w:rPr>
            <w:fldChar w:fldCharType="begin"/>
          </w:r>
          <w:r>
            <w:rPr>
              <w:szCs w:val="24"/>
            </w:rPr>
            <w:instrText xml:space="preserve"> HYPERLINK \l _Toc30028 </w:instrText>
          </w:r>
          <w:r>
            <w:rPr>
              <w:szCs w:val="24"/>
            </w:rPr>
            <w:fldChar w:fldCharType="separate"/>
          </w:r>
          <w:r>
            <w:rPr>
              <w:rFonts w:hint="eastAsia"/>
              <w:highlight w:val="none"/>
              <w:lang w:val="en-US" w:eastAsia="zh-CN"/>
            </w:rPr>
            <w:t>3.加强固定资产管理</w:t>
          </w:r>
          <w:r>
            <w:tab/>
          </w:r>
          <w:r>
            <w:fldChar w:fldCharType="begin"/>
          </w:r>
          <w:r>
            <w:instrText xml:space="preserve"> PAGEREF _Toc30028 \h </w:instrText>
          </w:r>
          <w:r>
            <w:fldChar w:fldCharType="separate"/>
          </w:r>
          <w:r>
            <w:t>21</w:t>
          </w:r>
          <w:r>
            <w:fldChar w:fldCharType="end"/>
          </w:r>
          <w:r>
            <w:rPr>
              <w:szCs w:val="24"/>
            </w:rPr>
            <w:fldChar w:fldCharType="end"/>
          </w:r>
        </w:p>
        <w:p w14:paraId="5E96D545">
          <w:pPr>
            <w:pStyle w:val="13"/>
            <w:tabs>
              <w:tab w:val="right" w:leader="dot" w:pos="8785"/>
            </w:tabs>
          </w:pPr>
          <w:r>
            <w:rPr>
              <w:szCs w:val="24"/>
            </w:rPr>
            <w:fldChar w:fldCharType="begin"/>
          </w:r>
          <w:r>
            <w:rPr>
              <w:szCs w:val="24"/>
            </w:rPr>
            <w:instrText xml:space="preserve"> HYPERLINK \l _Toc20678 </w:instrText>
          </w:r>
          <w:r>
            <w:rPr>
              <w:szCs w:val="24"/>
            </w:rPr>
            <w:fldChar w:fldCharType="separate"/>
          </w:r>
          <w:r>
            <w:rPr>
              <w:rFonts w:hint="eastAsia"/>
              <w:highlight w:val="none"/>
              <w:lang w:val="en-US" w:eastAsia="zh-CN"/>
            </w:rPr>
            <w:t>4.完善管理制度、加强重大支出的评估论证和审批流程</w:t>
          </w:r>
          <w:r>
            <w:tab/>
          </w:r>
          <w:r>
            <w:fldChar w:fldCharType="begin"/>
          </w:r>
          <w:r>
            <w:instrText xml:space="preserve"> PAGEREF _Toc20678 \h </w:instrText>
          </w:r>
          <w:r>
            <w:fldChar w:fldCharType="separate"/>
          </w:r>
          <w:r>
            <w:t>21</w:t>
          </w:r>
          <w:r>
            <w:fldChar w:fldCharType="end"/>
          </w:r>
          <w:r>
            <w:rPr>
              <w:szCs w:val="24"/>
            </w:rPr>
            <w:fldChar w:fldCharType="end"/>
          </w:r>
        </w:p>
        <w:p w14:paraId="5F93C364">
          <w:pPr>
            <w:pStyle w:val="16"/>
            <w:tabs>
              <w:tab w:val="right" w:leader="dot" w:pos="8785"/>
            </w:tabs>
          </w:pPr>
          <w:r>
            <w:rPr>
              <w:szCs w:val="24"/>
            </w:rPr>
            <w:fldChar w:fldCharType="begin"/>
          </w:r>
          <w:r>
            <w:rPr>
              <w:szCs w:val="24"/>
            </w:rPr>
            <w:instrText xml:space="preserve"> HYPERLINK \l _Toc9611 </w:instrText>
          </w:r>
          <w:r>
            <w:rPr>
              <w:szCs w:val="24"/>
            </w:rPr>
            <w:fldChar w:fldCharType="separate"/>
          </w:r>
          <w:r>
            <w:rPr>
              <w:rFonts w:hint="eastAsia"/>
              <w:highlight w:val="none"/>
              <w:lang w:val="en-US" w:eastAsia="zh-CN"/>
            </w:rPr>
            <w:t>六、其他需要说明的问题</w:t>
          </w:r>
          <w:r>
            <w:tab/>
          </w:r>
          <w:r>
            <w:fldChar w:fldCharType="begin"/>
          </w:r>
          <w:r>
            <w:instrText xml:space="preserve"> PAGEREF _Toc9611 \h </w:instrText>
          </w:r>
          <w:r>
            <w:fldChar w:fldCharType="separate"/>
          </w:r>
          <w:r>
            <w:t>21</w:t>
          </w:r>
          <w:r>
            <w:fldChar w:fldCharType="end"/>
          </w:r>
          <w:r>
            <w:rPr>
              <w:szCs w:val="24"/>
            </w:rPr>
            <w:fldChar w:fldCharType="end"/>
          </w:r>
        </w:p>
        <w:p w14:paraId="09589B3E">
          <w:pPr>
            <w:pStyle w:val="16"/>
            <w:tabs>
              <w:tab w:val="right" w:leader="dot" w:pos="8785"/>
            </w:tabs>
          </w:pPr>
          <w:r>
            <w:rPr>
              <w:szCs w:val="24"/>
            </w:rPr>
            <w:fldChar w:fldCharType="begin"/>
          </w:r>
          <w:r>
            <w:rPr>
              <w:szCs w:val="24"/>
            </w:rPr>
            <w:instrText xml:space="preserve"> HYPERLINK \l _Toc28818 </w:instrText>
          </w:r>
          <w:r>
            <w:rPr>
              <w:szCs w:val="24"/>
            </w:rPr>
            <w:fldChar w:fldCharType="separate"/>
          </w:r>
          <w:r>
            <w:t>附件一</w:t>
          </w:r>
          <w:r>
            <w:rPr>
              <w:rFonts w:hint="eastAsia"/>
              <w:lang w:val="en-US" w:eastAsia="zh-CN"/>
            </w:rPr>
            <w:t xml:space="preserve"> </w:t>
          </w:r>
          <w:r>
            <w:t>指标体系综合评分表</w:t>
          </w:r>
          <w:r>
            <w:tab/>
          </w:r>
          <w:r>
            <w:fldChar w:fldCharType="begin"/>
          </w:r>
          <w:r>
            <w:instrText xml:space="preserve"> PAGEREF _Toc28818 \h </w:instrText>
          </w:r>
          <w:r>
            <w:fldChar w:fldCharType="separate"/>
          </w:r>
          <w:r>
            <w:t>23</w:t>
          </w:r>
          <w:r>
            <w:fldChar w:fldCharType="end"/>
          </w:r>
          <w:r>
            <w:rPr>
              <w:szCs w:val="24"/>
            </w:rPr>
            <w:fldChar w:fldCharType="end"/>
          </w:r>
        </w:p>
        <w:p w14:paraId="2577B1A4">
          <w:pPr>
            <w:pStyle w:val="16"/>
            <w:tabs>
              <w:tab w:val="right" w:leader="dot" w:pos="8785"/>
            </w:tabs>
          </w:pPr>
          <w:r>
            <w:rPr>
              <w:szCs w:val="24"/>
            </w:rPr>
            <w:fldChar w:fldCharType="begin"/>
          </w:r>
          <w:r>
            <w:rPr>
              <w:szCs w:val="24"/>
            </w:rPr>
            <w:instrText xml:space="preserve"> HYPERLINK \l _Toc30377 </w:instrText>
          </w:r>
          <w:r>
            <w:rPr>
              <w:szCs w:val="24"/>
            </w:rPr>
            <w:fldChar w:fldCharType="separate"/>
          </w:r>
          <w:r>
            <w:rPr>
              <w:highlight w:val="none"/>
            </w:rPr>
            <w:t xml:space="preserve">附件二 </w:t>
          </w:r>
          <w:r>
            <w:rPr>
              <w:rFonts w:hint="eastAsia"/>
              <w:highlight w:val="none"/>
              <w:lang w:val="en-US" w:eastAsia="zh-CN"/>
            </w:rPr>
            <w:t>内部工作人员</w:t>
          </w:r>
          <w:r>
            <w:rPr>
              <w:highlight w:val="none"/>
            </w:rPr>
            <w:t>满意度分析报告</w:t>
          </w:r>
          <w:r>
            <w:tab/>
          </w:r>
          <w:r>
            <w:fldChar w:fldCharType="begin"/>
          </w:r>
          <w:r>
            <w:instrText xml:space="preserve"> PAGEREF _Toc30377 \h </w:instrText>
          </w:r>
          <w:r>
            <w:fldChar w:fldCharType="separate"/>
          </w:r>
          <w:r>
            <w:t>32</w:t>
          </w:r>
          <w:r>
            <w:fldChar w:fldCharType="end"/>
          </w:r>
          <w:r>
            <w:rPr>
              <w:szCs w:val="24"/>
            </w:rPr>
            <w:fldChar w:fldCharType="end"/>
          </w:r>
        </w:p>
        <w:p w14:paraId="7FB3BE51">
          <w:pPr>
            <w:pStyle w:val="16"/>
            <w:tabs>
              <w:tab w:val="right" w:leader="dot" w:pos="8785"/>
            </w:tabs>
          </w:pPr>
          <w:r>
            <w:rPr>
              <w:szCs w:val="24"/>
            </w:rPr>
            <w:fldChar w:fldCharType="begin"/>
          </w:r>
          <w:r>
            <w:rPr>
              <w:szCs w:val="24"/>
            </w:rPr>
            <w:instrText xml:space="preserve"> HYPERLINK \l _Toc9556 </w:instrText>
          </w:r>
          <w:r>
            <w:rPr>
              <w:szCs w:val="24"/>
            </w:rPr>
            <w:fldChar w:fldCharType="separate"/>
          </w:r>
          <w:r>
            <w:rPr>
              <w:highlight w:val="none"/>
            </w:rPr>
            <w:t>附件</w:t>
          </w:r>
          <w:r>
            <w:rPr>
              <w:rFonts w:hint="eastAsia"/>
              <w:highlight w:val="none"/>
              <w:lang w:val="en-US" w:eastAsia="zh-CN"/>
            </w:rPr>
            <w:t>三</w:t>
          </w:r>
          <w:r>
            <w:rPr>
              <w:highlight w:val="none"/>
            </w:rPr>
            <w:t xml:space="preserve"> </w:t>
          </w:r>
          <w:r>
            <w:rPr>
              <w:rFonts w:hint="eastAsia"/>
              <w:highlight w:val="none"/>
              <w:lang w:val="en-US" w:eastAsia="zh-CN"/>
            </w:rPr>
            <w:t>社会公众</w:t>
          </w:r>
          <w:r>
            <w:rPr>
              <w:highlight w:val="none"/>
            </w:rPr>
            <w:t>满意度分析报告</w:t>
          </w:r>
          <w:r>
            <w:tab/>
          </w:r>
          <w:r>
            <w:fldChar w:fldCharType="begin"/>
          </w:r>
          <w:r>
            <w:instrText xml:space="preserve"> PAGEREF _Toc9556 \h </w:instrText>
          </w:r>
          <w:r>
            <w:fldChar w:fldCharType="separate"/>
          </w:r>
          <w:r>
            <w:t>36</w:t>
          </w:r>
          <w:r>
            <w:fldChar w:fldCharType="end"/>
          </w:r>
          <w:r>
            <w:rPr>
              <w:szCs w:val="24"/>
            </w:rPr>
            <w:fldChar w:fldCharType="end"/>
          </w:r>
        </w:p>
        <w:p w14:paraId="45483A79">
          <w:pPr>
            <w:pStyle w:val="16"/>
            <w:tabs>
              <w:tab w:val="right" w:leader="dot" w:pos="8785"/>
            </w:tabs>
          </w:pPr>
          <w:r>
            <w:rPr>
              <w:szCs w:val="24"/>
            </w:rPr>
            <w:fldChar w:fldCharType="begin"/>
          </w:r>
          <w:r>
            <w:rPr>
              <w:szCs w:val="24"/>
            </w:rPr>
            <w:instrText xml:space="preserve"> HYPERLINK \l _Toc26078 </w:instrText>
          </w:r>
          <w:r>
            <w:rPr>
              <w:szCs w:val="24"/>
            </w:rPr>
            <w:fldChar w:fldCharType="separate"/>
          </w:r>
          <w:r>
            <w:t>附件</w:t>
          </w:r>
          <w:r>
            <w:rPr>
              <w:rFonts w:hint="eastAsia"/>
              <w:lang w:val="en-US" w:eastAsia="zh-CN"/>
            </w:rPr>
            <w:t>四</w:t>
          </w:r>
          <w:r>
            <w:t xml:space="preserve"> </w:t>
          </w:r>
          <w:r>
            <w:rPr>
              <w:rFonts w:hint="eastAsia"/>
              <w:lang w:val="en-US" w:eastAsia="zh-CN"/>
            </w:rPr>
            <w:t>评价小组成员资质证书</w:t>
          </w:r>
          <w:r>
            <w:tab/>
          </w:r>
          <w:r>
            <w:fldChar w:fldCharType="begin"/>
          </w:r>
          <w:r>
            <w:instrText xml:space="preserve"> PAGEREF _Toc26078 \h </w:instrText>
          </w:r>
          <w:r>
            <w:fldChar w:fldCharType="separate"/>
          </w:r>
          <w:r>
            <w:t>40</w:t>
          </w:r>
          <w:r>
            <w:fldChar w:fldCharType="end"/>
          </w:r>
          <w:r>
            <w:rPr>
              <w:szCs w:val="24"/>
            </w:rPr>
            <w:fldChar w:fldCharType="end"/>
          </w:r>
        </w:p>
        <w:p w14:paraId="368F35C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sz w:val="24"/>
              <w:szCs w:val="24"/>
            </w:rPr>
            <w:sectPr>
              <w:headerReference r:id="rId6" w:type="default"/>
              <w:footerReference r:id="rId7" w:type="default"/>
              <w:pgSz w:w="12130" w:h="17000"/>
              <w:pgMar w:top="1445" w:right="1695" w:bottom="1562" w:left="1650" w:header="0" w:footer="1304" w:gutter="0"/>
              <w:pgNumType w:fmt="decimal" w:start="1"/>
              <w:cols w:space="720" w:num="1"/>
            </w:sectPr>
          </w:pPr>
          <w:r>
            <w:rPr>
              <w:szCs w:val="24"/>
            </w:rPr>
            <w:fldChar w:fldCharType="end"/>
          </w:r>
        </w:p>
      </w:sdtContent>
    </w:sdt>
    <w:bookmarkEnd w:id="1"/>
    <w:p w14:paraId="0AB13357">
      <w:pPr>
        <w:bidi w:val="0"/>
        <w:ind w:left="0" w:leftChars="0" w:firstLine="0" w:firstLineChars="0"/>
        <w:jc w:val="center"/>
        <w:rPr>
          <w:rFonts w:hint="eastAsia"/>
          <w:b/>
          <w:bCs/>
          <w:sz w:val="36"/>
          <w:szCs w:val="36"/>
          <w:highlight w:val="none"/>
          <w:lang w:val="en-US" w:eastAsia="zh-CN"/>
        </w:rPr>
      </w:pPr>
      <w:bookmarkStart w:id="2" w:name="_Toc24263"/>
      <w:r>
        <w:rPr>
          <w:rFonts w:hint="eastAsia"/>
          <w:b/>
          <w:bCs/>
          <w:sz w:val="36"/>
          <w:szCs w:val="36"/>
          <w:highlight w:val="none"/>
          <w:lang w:eastAsia="zh-CN"/>
        </w:rPr>
        <w:t>中共三门峡市陕州区委宣传部</w:t>
      </w:r>
      <w:r>
        <w:rPr>
          <w:rFonts w:hint="eastAsia"/>
          <w:b/>
          <w:bCs/>
          <w:sz w:val="36"/>
          <w:szCs w:val="36"/>
          <w:highlight w:val="none"/>
          <w:lang w:val="en-US" w:eastAsia="zh-CN"/>
        </w:rPr>
        <w:t>2024年部门整体</w:t>
      </w:r>
    </w:p>
    <w:p w14:paraId="69648C97">
      <w:pPr>
        <w:bidi w:val="0"/>
        <w:ind w:left="0" w:leftChars="0" w:firstLine="0" w:firstLineChars="0"/>
        <w:jc w:val="center"/>
        <w:rPr>
          <w:rFonts w:hint="eastAsia"/>
          <w:b/>
          <w:bCs/>
          <w:sz w:val="36"/>
          <w:szCs w:val="36"/>
          <w:highlight w:val="none"/>
        </w:rPr>
      </w:pPr>
      <w:r>
        <w:rPr>
          <w:rFonts w:hint="eastAsia"/>
          <w:b/>
          <w:bCs/>
          <w:sz w:val="36"/>
          <w:szCs w:val="36"/>
          <w:highlight w:val="none"/>
        </w:rPr>
        <w:t>绩效评价报告</w:t>
      </w:r>
    </w:p>
    <w:p w14:paraId="1B12D704">
      <w:pPr>
        <w:bidi w:val="0"/>
        <w:ind w:left="0" w:leftChars="0" w:firstLine="0" w:firstLineChars="0"/>
        <w:jc w:val="center"/>
        <w:rPr>
          <w:rFonts w:hint="eastAsia"/>
          <w:b/>
          <w:bCs/>
          <w:sz w:val="36"/>
          <w:szCs w:val="36"/>
          <w:highlight w:val="none"/>
        </w:rPr>
      </w:pPr>
    </w:p>
    <w:p w14:paraId="3124EC2C">
      <w:pPr>
        <w:pStyle w:val="2"/>
        <w:bidi w:val="0"/>
        <w:rPr>
          <w:rFonts w:hint="default"/>
          <w:highlight w:val="none"/>
          <w:lang w:val="en-US" w:eastAsia="zh-CN"/>
        </w:rPr>
      </w:pPr>
      <w:bookmarkStart w:id="3" w:name="_Toc3667"/>
      <w:r>
        <w:rPr>
          <w:highlight w:val="none"/>
        </w:rPr>
        <w:t>一、</w:t>
      </w:r>
      <w:bookmarkEnd w:id="2"/>
      <w:r>
        <w:rPr>
          <w:rFonts w:hint="eastAsia"/>
          <w:highlight w:val="none"/>
          <w:lang w:val="en-US" w:eastAsia="zh-CN"/>
        </w:rPr>
        <w:t>部门基本情况</w:t>
      </w:r>
      <w:bookmarkEnd w:id="3"/>
    </w:p>
    <w:p w14:paraId="379FEEEE">
      <w:pPr>
        <w:pStyle w:val="3"/>
        <w:bidi w:val="0"/>
        <w:rPr>
          <w:highlight w:val="none"/>
        </w:rPr>
      </w:pPr>
      <w:bookmarkStart w:id="4" w:name="_Toc9270"/>
      <w:bookmarkStart w:id="5" w:name="_Toc21104"/>
      <w:r>
        <w:rPr>
          <w:highlight w:val="none"/>
        </w:rPr>
        <w:t>（一）</w:t>
      </w:r>
      <w:r>
        <w:rPr>
          <w:rFonts w:hint="eastAsia"/>
          <w:highlight w:val="none"/>
          <w:lang w:val="en-US" w:eastAsia="zh-CN"/>
        </w:rPr>
        <w:t>部门</w:t>
      </w:r>
      <w:r>
        <w:rPr>
          <w:highlight w:val="none"/>
        </w:rPr>
        <w:t>概况</w:t>
      </w:r>
      <w:bookmarkEnd w:id="4"/>
      <w:bookmarkEnd w:id="5"/>
    </w:p>
    <w:p w14:paraId="3D64BDFC">
      <w:pPr>
        <w:pStyle w:val="4"/>
        <w:bidi w:val="0"/>
        <w:rPr>
          <w:rFonts w:hint="eastAsia" w:eastAsia="宋体"/>
          <w:highlight w:val="none"/>
          <w:lang w:eastAsia="zh-CN"/>
        </w:rPr>
      </w:pPr>
      <w:bookmarkStart w:id="6" w:name="_Toc244"/>
      <w:bookmarkStart w:id="7" w:name="_Toc12252"/>
      <w:r>
        <w:rPr>
          <w:highlight w:val="none"/>
        </w:rPr>
        <w:t>1</w:t>
      </w:r>
      <w:r>
        <w:rPr>
          <w:rFonts w:hint="eastAsia"/>
          <w:highlight w:val="none"/>
          <w:lang w:val="en-US" w:eastAsia="zh-CN"/>
        </w:rPr>
        <w:t>.</w:t>
      </w:r>
      <w:bookmarkEnd w:id="6"/>
      <w:r>
        <w:rPr>
          <w:rFonts w:hint="eastAsia"/>
          <w:highlight w:val="none"/>
          <w:lang w:val="en-US" w:eastAsia="zh-CN"/>
        </w:rPr>
        <w:t>部门职能</w:t>
      </w:r>
      <w:bookmarkEnd w:id="7"/>
    </w:p>
    <w:p w14:paraId="2E1CCAF4">
      <w:pPr>
        <w:spacing w:line="580" w:lineRule="exact"/>
        <w:ind w:firstLine="646"/>
        <w:rPr>
          <w:rFonts w:hint="eastAsia" w:asciiTheme="minorEastAsia" w:hAnsiTheme="minorEastAsia" w:eastAsiaTheme="minorEastAsia" w:cstheme="minorEastAsia"/>
          <w:sz w:val="28"/>
          <w:szCs w:val="28"/>
          <w:lang w:val="en-US" w:eastAsia="zh-CN"/>
        </w:rPr>
      </w:pPr>
      <w:bookmarkStart w:id="8" w:name="_Toc19719"/>
      <w:r>
        <w:rPr>
          <w:rFonts w:hint="eastAsia" w:asciiTheme="minorEastAsia" w:hAnsiTheme="minorEastAsia" w:eastAsiaTheme="minorEastAsia" w:cstheme="minorEastAsia"/>
          <w:sz w:val="28"/>
          <w:szCs w:val="28"/>
          <w:lang w:val="en-US" w:eastAsia="zh-CN"/>
        </w:rPr>
        <w:t>区委宣传部主要职责是:</w:t>
      </w:r>
    </w:p>
    <w:p w14:paraId="1D63C68F">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（一）贯彻落实中央宣传思想文化工作重大方针政策，拟订全区宣传思想文化事业发展规划，统筹协调推进宣传思想文化领域法制建设，按照区委统一部署，协调宣传文化系统各部门之间的工作。</w:t>
      </w:r>
    </w:p>
    <w:p w14:paraId="644A6256">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（二）贯彻落实中央、省委、市委、区委意识形态工作的决策部署，统筹协调全区党的意识形态工作，组织协调意识形态工作责任制落实和日常监督检查，结合巡视巡察工作开展专项检查。</w:t>
      </w:r>
    </w:p>
    <w:p w14:paraId="14828629">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（三）统筹指导全区理论研究、理论学习、理论宣传工作，组织推动理论武装工作。统筹指导全区哲学社会科学的规划发展。</w:t>
      </w:r>
    </w:p>
    <w:p w14:paraId="62F7E494">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（四）负责规划组织全区思想政治工作，组织全区重大先进典型的选树、宣传、学习，配合区委组织部做好党员教育工作，指导协调编写党员教育材料；会同有关部门研究和改进群众思想教育工作。</w:t>
      </w:r>
    </w:p>
    <w:p w14:paraId="29EABA97">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（五）统筹分析研判和引导社会舆论，统筹指导协调全区新闻单位工作，负责在陕州区新闻单位分支机构等的监督管理，组织全区突发公共事件应急新闻工作。</w:t>
      </w:r>
    </w:p>
    <w:p w14:paraId="1425FF10">
      <w:pPr>
        <w:spacing w:line="580" w:lineRule="exact"/>
        <w:ind w:firstLine="646"/>
        <w:rPr>
          <w:rFonts w:hint="eastAsia" w:asciiTheme="minorEastAsia" w:hAnsiTheme="minorEastAsia" w:eastAsiaTheme="minorEastAsia" w:cstheme="minorEastAsia"/>
          <w:sz w:val="28"/>
          <w:szCs w:val="28"/>
          <w:lang w:val="en-US" w:eastAsia="zh-CN"/>
        </w:rPr>
        <w:sectPr>
          <w:footerReference r:id="rId8" w:type="default"/>
          <w:pgSz w:w="11906" w:h="16839"/>
          <w:pgMar w:top="1431" w:right="1505" w:bottom="878" w:left="1785" w:header="0" w:footer="720" w:gutter="0"/>
          <w:pgNumType w:fmt="decimal" w:start="1"/>
          <w:cols w:space="720" w:num="1"/>
        </w:sectPr>
      </w:pPr>
      <w:r>
        <w:rPr>
          <w:rFonts w:hint="eastAsia" w:asciiTheme="minorEastAsia" w:hAnsiTheme="minorEastAsia" w:eastAsiaTheme="minorEastAsia" w:cstheme="minorEastAsia"/>
          <w:sz w:val="28"/>
          <w:szCs w:val="28"/>
          <w:lang w:val="en-US" w:eastAsia="zh-CN"/>
        </w:rPr>
        <w:t>（六）拟定全区新闻出版业的管理政策并督促落实，管理新闻出版行政事务，组织协调有关行政审批工作。统筹规划和指导协调新闻出版事业、产业发展，监督管理出版物内容和质量，监督管理印刷业，管理</w:t>
      </w:r>
    </w:p>
    <w:p w14:paraId="256C69B2">
      <w:pPr>
        <w:spacing w:line="580" w:lineRule="exact"/>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著作权，管理出版物进出口等。负责全区新闻记者证的监督管理。组织指导协调全区“扫黄打非”工作。</w:t>
      </w:r>
    </w:p>
    <w:p w14:paraId="7C27B958">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七）贯彻落实中央、省委、市委关于网络安全和信息化工作的决策部署，组织研究起草全区网络安全和信息化发展战略和规划，统筹协调全区网络安全保障体系和可信体系建设，协调有关部门制定相关行业网络安全规划及保障评价指标体系，督促落实涉及全区政治、文化、社会等各个领域网络安全和信息化重大事项，负责互联网信息内容管理，统筹协调组织互联网宣传管理和舆论引导工作，负责互联网信息内容监督管理执法等，统筹协调融媒体的建设与管理。</w:t>
      </w:r>
    </w:p>
    <w:p w14:paraId="04BB56D5">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（八）统筹指导协调推动精神文化产品的创作和生产，协调组织优秀传统文化传承发展有关工作，指导协调推动群众文化建设。</w:t>
      </w:r>
    </w:p>
    <w:p w14:paraId="60DF1C01">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（九）负责管理电影行政事务，指导监管电影制片、发行、放映工作，组织对电影内容进行审查，指导协调重大电影活动。</w:t>
      </w:r>
    </w:p>
    <w:p w14:paraId="40E604BD">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（十）对新闻出版、广播影视、文化艺术业改革发展研究提出政策性建议，统筹指导协调文化体制改革和文化事业、文化产业及旅游业发展，指导协调国有文化企业监督管理工作。</w:t>
      </w:r>
    </w:p>
    <w:p w14:paraId="61BF71FB">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（十一）统筹指导舆情信息工作，组织协调开展全区舆情信息收集分析研判工作，跟踪了解、研究掌握宣传舆情动态。</w:t>
      </w:r>
    </w:p>
    <w:p w14:paraId="4047CF17">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（十二）统筹协调全区对外宣传工作，指导协调有关部门研究拟订对外宣传工作政策措施和对外宣传事业发展规划。指导对外文化交流工作。会同有关部门做好境外媒体记者在我区采访的服务引导工作。</w:t>
      </w:r>
    </w:p>
    <w:p w14:paraId="7171A678">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三）统筹协调组织开展新闻发布工作，承担区委新闻发布有关组织协调工作，负责区政府新闻发布组织实施工作，对外以区人民政府新闻办公室名义开展工作，指导协调区政府各部门和各乡（镇）的新闻发布工作，推动新闻发言人制度建设。</w:t>
      </w:r>
    </w:p>
    <w:p w14:paraId="0D26A3E2">
      <w:pPr>
        <w:spacing w:line="580" w:lineRule="exact"/>
        <w:ind w:firstLine="646"/>
        <w:rPr>
          <w:rFonts w:hint="eastAsia" w:asciiTheme="minorEastAsia" w:hAnsiTheme="minorEastAsia" w:eastAsiaTheme="minorEastAsia" w:cstheme="minorEastAsia"/>
          <w:sz w:val="28"/>
          <w:szCs w:val="28"/>
          <w:lang w:val="en-US" w:eastAsia="zh-CN"/>
        </w:rPr>
        <w:sectPr>
          <w:footerReference r:id="rId9" w:type="default"/>
          <w:pgSz w:w="11906" w:h="16839"/>
          <w:pgMar w:top="1431" w:right="1505" w:bottom="878" w:left="1785" w:header="0" w:footer="720" w:gutter="0"/>
          <w:pgNumType w:fmt="decimal" w:start="2"/>
          <w:cols w:space="720" w:num="1"/>
        </w:sectPr>
      </w:pPr>
    </w:p>
    <w:p w14:paraId="312483EC">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四）贯彻落实党中央关于加强社会主义精神文明建设的方针政策和区委有关部署，在三门峡市陕州区精神文明建设指导委员会指导下统筹协调、指导推动全区精神文明建设工作，组织开展全区群众性精神文明创建活动，评选表彰精神文明建设先进典型，总结推广先进经验。</w:t>
      </w:r>
    </w:p>
    <w:p w14:paraId="0A51DB80">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（十五）受区委委托，协同区委组织部管理区直宣传思想文化单位的领导干部，负责有关重要宣传舆论阵地和重要岗位领导干部管理，负责组织开展宣传思想文化系统人才工作和干部教育培训。</w:t>
      </w:r>
    </w:p>
    <w:p w14:paraId="2AACC7E9">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（十六）归口领导三门峡市陕州区广播电视台。受区委委托，代管三门峡市陕州区文联，指导协调三门峡市陕州区文化广电和旅游局工作。</w:t>
      </w:r>
    </w:p>
    <w:p w14:paraId="6A6EB6EF">
      <w:pPr>
        <w:spacing w:line="580" w:lineRule="exact"/>
        <w:ind w:firstLine="646"/>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（十七）完成区委交办的其他任务。</w:t>
      </w:r>
    </w:p>
    <w:p w14:paraId="3BC370C5">
      <w:pPr>
        <w:pStyle w:val="4"/>
        <w:bidi w:val="0"/>
        <w:rPr>
          <w:rFonts w:hint="default" w:eastAsia="宋体"/>
          <w:highlight w:val="none"/>
          <w:lang w:val="en-US" w:eastAsia="zh-CN"/>
        </w:rPr>
      </w:pPr>
      <w:bookmarkStart w:id="9" w:name="_Toc769"/>
      <w:r>
        <w:rPr>
          <w:rFonts w:hint="eastAsia"/>
          <w:highlight w:val="none"/>
          <w:lang w:val="en-US" w:eastAsia="zh-CN"/>
        </w:rPr>
        <w:t>2.机构设置及编制情况</w:t>
      </w:r>
      <w:bookmarkEnd w:id="9"/>
    </w:p>
    <w:p w14:paraId="48F74263">
      <w:pPr>
        <w:pStyle w:val="5"/>
        <w:numPr>
          <w:ilvl w:val="0"/>
          <w:numId w:val="0"/>
        </w:numPr>
        <w:bidi w:val="0"/>
        <w:ind w:firstLine="281" w:firstLineChars="100"/>
        <w:rPr>
          <w:rFonts w:hint="default"/>
          <w:highlight w:val="none"/>
          <w:lang w:val="en-US" w:eastAsia="zh-CN"/>
        </w:rPr>
      </w:pPr>
      <w:r>
        <w:rPr>
          <w:rFonts w:hint="eastAsia"/>
          <w:highlight w:val="none"/>
          <w:lang w:val="en-US" w:eastAsia="zh-CN"/>
        </w:rPr>
        <w:t>（1）部门机构设置情况</w:t>
      </w:r>
    </w:p>
    <w:p w14:paraId="03383319">
      <w:pPr>
        <w:bidi w:val="0"/>
        <w:rPr>
          <w:rFonts w:hint="eastAsia"/>
          <w:highlight w:val="none"/>
          <w:lang w:val="en-US" w:eastAsia="zh-CN"/>
        </w:rPr>
      </w:pPr>
      <w:r>
        <w:rPr>
          <w:rFonts w:hint="eastAsia"/>
          <w:highlight w:val="none"/>
          <w:lang w:val="en-US" w:eastAsia="zh-CN"/>
        </w:rPr>
        <w:t>中共中共三门峡市陕州区委宣传部内设机构 7 个，包括：办公室、意识形态理论股、新闻外宣股、宣教和文化文艺股、新闻出版和电影股、精神文明建设股、网信股等 7 个股室。另设有三门峡市陕州区互联网应急指挥中心、三门峡市陕州区新时代文明实践指导中心两个财政全供事业单位。三门峡市陕州区电影事务中心为自收自支单位。</w:t>
      </w:r>
    </w:p>
    <w:p w14:paraId="4A0C6A5E">
      <w:pPr>
        <w:pStyle w:val="5"/>
        <w:bidi w:val="0"/>
        <w:ind w:left="0" w:leftChars="0" w:firstLine="281" w:firstLineChars="100"/>
        <w:rPr>
          <w:rFonts w:hint="default"/>
          <w:highlight w:val="none"/>
          <w:lang w:val="en-US" w:eastAsia="zh-CN"/>
        </w:rPr>
      </w:pPr>
      <w:r>
        <w:rPr>
          <w:rFonts w:hint="eastAsia"/>
          <w:highlight w:val="none"/>
          <w:lang w:val="en-US" w:eastAsia="zh-CN"/>
        </w:rPr>
        <w:t>（2）部门编制及人员在职情况</w:t>
      </w:r>
    </w:p>
    <w:p w14:paraId="4FD95E42">
      <w:pPr>
        <w:bidi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编制情况：部机关行政编制8名；三门峡市陕州区互联网应急指挥中心事业编制18名；三门峡市陕州区新时代文明实践指导中心事业编制6名、临时编制1名。</w:t>
      </w:r>
    </w:p>
    <w:p w14:paraId="6486F27A">
      <w:pPr>
        <w:bidi w:val="0"/>
        <w:rPr>
          <w:rFonts w:hint="eastAsia"/>
          <w:highlight w:val="yellow"/>
          <w:lang w:val="en-US" w:eastAsia="zh-CN"/>
        </w:rPr>
        <w:sectPr>
          <w:footerReference r:id="rId10" w:type="default"/>
          <w:pgSz w:w="11906" w:h="16839"/>
          <w:pgMar w:top="1431" w:right="1505" w:bottom="878" w:left="1785" w:header="0" w:footer="720" w:gutter="0"/>
          <w:pgNumType w:fmt="decimal"/>
          <w:cols w:space="720" w:num="1"/>
        </w:sectPr>
      </w:pPr>
      <w:r>
        <w:rPr>
          <w:rFonts w:hint="eastAsia" w:asciiTheme="minorEastAsia" w:hAnsiTheme="minorEastAsia" w:eastAsiaTheme="minorEastAsia" w:cstheme="minorEastAsia"/>
          <w:sz w:val="28"/>
          <w:szCs w:val="28"/>
          <w:lang w:val="en-US" w:eastAsia="zh-CN"/>
        </w:rPr>
        <w:t>截至2024年12月31日，实有在职人员27人，其中行政在职人员7人，工勤在职人员1人，事业在职人员18人。退休人员15人。</w:t>
      </w:r>
    </w:p>
    <w:p w14:paraId="01AE72BA">
      <w:pPr>
        <w:bidi w:val="0"/>
        <w:rPr>
          <w:rFonts w:hint="default"/>
          <w:highlight w:val="none"/>
          <w:lang w:val="en-US" w:eastAsia="zh-CN"/>
        </w:rPr>
      </w:pPr>
      <w:r>
        <w:rPr>
          <w:rFonts w:hint="eastAsia"/>
          <w:highlight w:val="none"/>
          <w:lang w:val="en-US" w:eastAsia="zh-CN"/>
        </w:rPr>
        <w:t>三门峡市陕州区互联网应急指挥中心、三门峡市陕州区新时代文明实践指导中心财务未单独核算，其预算和决算纳入中共三门峡市陕州区委宣传部</w:t>
      </w:r>
      <w:r>
        <w:rPr>
          <w:rFonts w:hint="default"/>
          <w:highlight w:val="none"/>
          <w:lang w:val="en-US" w:eastAsia="zh-CN"/>
        </w:rPr>
        <w:t>部门</w:t>
      </w:r>
      <w:r>
        <w:rPr>
          <w:rFonts w:hint="eastAsia"/>
          <w:highlight w:val="none"/>
          <w:lang w:val="en-US" w:eastAsia="zh-CN"/>
        </w:rPr>
        <w:t>整体预</w:t>
      </w:r>
      <w:r>
        <w:rPr>
          <w:rFonts w:hint="default"/>
          <w:highlight w:val="none"/>
          <w:lang w:val="en-US" w:eastAsia="zh-CN"/>
        </w:rPr>
        <w:t>决算。</w:t>
      </w:r>
    </w:p>
    <w:bookmarkEnd w:id="8"/>
    <w:p w14:paraId="2FABEB48">
      <w:pPr>
        <w:pStyle w:val="4"/>
        <w:bidi w:val="0"/>
        <w:rPr>
          <w:rFonts w:hint="default"/>
          <w:highlight w:val="none"/>
          <w:lang w:val="en-US"/>
        </w:rPr>
      </w:pPr>
      <w:bookmarkStart w:id="10" w:name="_Toc10451"/>
      <w:bookmarkStart w:id="11" w:name="_Toc19784"/>
      <w:r>
        <w:rPr>
          <w:rFonts w:hint="eastAsia"/>
          <w:highlight w:val="none"/>
          <w:lang w:val="en-US" w:eastAsia="zh-CN"/>
        </w:rPr>
        <w:t>3.</w:t>
      </w:r>
      <w:bookmarkEnd w:id="10"/>
      <w:r>
        <w:rPr>
          <w:rFonts w:hint="eastAsia"/>
          <w:highlight w:val="none"/>
          <w:lang w:val="en-US" w:eastAsia="zh-CN"/>
        </w:rPr>
        <w:t>部门资产情况</w:t>
      </w:r>
      <w:bookmarkEnd w:id="11"/>
    </w:p>
    <w:p w14:paraId="6B12F0A3">
      <w:pPr>
        <w:bidi w:val="0"/>
        <w:rPr>
          <w:rFonts w:hint="eastAsia"/>
          <w:highlight w:val="none"/>
          <w:lang w:val="en-US" w:eastAsia="zh-CN"/>
        </w:rPr>
      </w:pPr>
      <w:r>
        <w:rPr>
          <w:rFonts w:hint="eastAsia"/>
          <w:highlight w:val="none"/>
          <w:lang w:val="en-US" w:eastAsia="zh-CN"/>
        </w:rPr>
        <w:t>截至2024年12月31日，陕州区委宣传部固定资产原值1,287,522.75元，固定资产累计折旧1,127,836.28元，固定资产净值159,686.47元。</w:t>
      </w:r>
    </w:p>
    <w:p w14:paraId="65B6E1F2">
      <w:pPr>
        <w:pStyle w:val="3"/>
        <w:numPr>
          <w:ilvl w:val="0"/>
          <w:numId w:val="1"/>
        </w:numPr>
        <w:bidi w:val="0"/>
        <w:rPr>
          <w:rFonts w:hint="eastAsia"/>
          <w:highlight w:val="none"/>
          <w:lang w:val="en-US" w:eastAsia="zh-CN"/>
        </w:rPr>
      </w:pPr>
      <w:bookmarkStart w:id="12" w:name="_Toc20866"/>
      <w:r>
        <w:rPr>
          <w:rFonts w:hint="eastAsia"/>
          <w:highlight w:val="none"/>
          <w:lang w:val="en-US" w:eastAsia="zh-CN"/>
        </w:rPr>
        <w:t>部门预决算情况</w:t>
      </w:r>
      <w:bookmarkEnd w:id="12"/>
    </w:p>
    <w:p w14:paraId="4B70BE03">
      <w:pPr>
        <w:pStyle w:val="4"/>
        <w:bidi w:val="0"/>
        <w:rPr>
          <w:rFonts w:hint="default"/>
          <w:highlight w:val="none"/>
          <w:lang w:val="en-US" w:eastAsia="zh-CN"/>
        </w:rPr>
      </w:pPr>
      <w:bookmarkStart w:id="13" w:name="_Toc20760"/>
      <w:r>
        <w:rPr>
          <w:rFonts w:hint="eastAsia"/>
          <w:highlight w:val="none"/>
          <w:lang w:val="en-US" w:eastAsia="zh-CN"/>
        </w:rPr>
        <w:t>1.2024年部门预算编制情况</w:t>
      </w:r>
      <w:bookmarkEnd w:id="13"/>
    </w:p>
    <w:p w14:paraId="294E015B">
      <w:pPr>
        <w:bidi w:val="0"/>
        <w:rPr>
          <w:rFonts w:hint="eastAsia"/>
          <w:highlight w:val="none"/>
          <w:lang w:val="en-US" w:eastAsia="zh-CN"/>
        </w:rPr>
      </w:pPr>
      <w:r>
        <w:rPr>
          <w:rFonts w:hint="eastAsia"/>
          <w:highlight w:val="none"/>
          <w:lang w:val="en-US" w:eastAsia="zh-CN"/>
        </w:rPr>
        <w:t>根据陕州区委宣传部2024年部门预算公开信息显示，2024年度中共三门峡市陕州区委宣传部获批部门收入预算400.31万元，其中：一般公共预算财政拨款收入400.31万元；部门支出预算400.31万元，其中：基本支出326.04万元，占比81.45%；项目支出74.27万元，占比18.55%。具体情况见下表：</w:t>
      </w:r>
    </w:p>
    <w:p w14:paraId="54821BE7">
      <w:pPr>
        <w:bidi w:val="0"/>
        <w:jc w:val="center"/>
        <w:rPr>
          <w:rFonts w:hint="default"/>
          <w:b/>
          <w:bCs/>
          <w:highlight w:val="none"/>
          <w:lang w:val="en-US" w:eastAsia="zh-CN"/>
        </w:rPr>
      </w:pPr>
      <w:r>
        <w:rPr>
          <w:rFonts w:hint="eastAsia"/>
          <w:b/>
          <w:bCs/>
          <w:highlight w:val="none"/>
          <w:lang w:val="en-US" w:eastAsia="zh-CN"/>
        </w:rPr>
        <w:t>2024年陕州区委宣传部预算情况表</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80"/>
        <w:gridCol w:w="1548"/>
        <w:gridCol w:w="1224"/>
        <w:gridCol w:w="1356"/>
        <w:gridCol w:w="1620"/>
        <w:gridCol w:w="1172"/>
      </w:tblGrid>
      <w:tr w14:paraId="4F16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D76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年初预算</w:t>
            </w:r>
            <w:r>
              <w:rPr>
                <w:rFonts w:hint="eastAsia" w:ascii="宋体" w:hAnsi="宋体" w:eastAsia="宋体" w:cs="宋体"/>
                <w:b/>
                <w:bCs/>
                <w:i w:val="0"/>
                <w:iCs w:val="0"/>
                <w:color w:val="000000"/>
                <w:kern w:val="0"/>
                <w:sz w:val="24"/>
                <w:szCs w:val="24"/>
                <w:highlight w:val="none"/>
                <w:u w:val="none"/>
                <w:lang w:val="en-US" w:eastAsia="zh-CN" w:bidi="ar"/>
              </w:rPr>
              <w:t>收入</w:t>
            </w:r>
          </w:p>
        </w:tc>
        <w:tc>
          <w:tcPr>
            <w:tcW w:w="230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1EB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年初预算</w:t>
            </w:r>
            <w:r>
              <w:rPr>
                <w:rFonts w:hint="eastAsia" w:ascii="宋体" w:hAnsi="宋体" w:eastAsia="宋体" w:cs="宋体"/>
                <w:b/>
                <w:bCs/>
                <w:i w:val="0"/>
                <w:iCs w:val="0"/>
                <w:color w:val="000000"/>
                <w:kern w:val="0"/>
                <w:sz w:val="24"/>
                <w:szCs w:val="24"/>
                <w:highlight w:val="none"/>
                <w:u w:val="none"/>
                <w:lang w:val="en-US" w:eastAsia="zh-CN" w:bidi="ar"/>
              </w:rPr>
              <w:t>支出</w:t>
            </w:r>
          </w:p>
        </w:tc>
      </w:tr>
      <w:tr w14:paraId="3CC5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F5B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632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金额（万元）</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8F1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占比</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BDA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9D7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金额（万元）</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2EF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占比</w:t>
            </w:r>
          </w:p>
        </w:tc>
      </w:tr>
      <w:tr w14:paraId="59E1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000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一般公共预算财政拨款收入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1F9E">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400.31</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E38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100.00</w:t>
            </w:r>
            <w:r>
              <w:rPr>
                <w:rFonts w:hint="eastAsia" w:ascii="宋体" w:hAnsi="宋体" w:eastAsia="宋体" w:cs="宋体"/>
                <w:i w:val="0"/>
                <w:iCs w:val="0"/>
                <w:color w:val="000000"/>
                <w:kern w:val="0"/>
                <w:sz w:val="24"/>
                <w:szCs w:val="24"/>
                <w:highlight w:val="none"/>
                <w:u w:val="none"/>
                <w:lang w:val="en-US" w:eastAsia="zh-CN" w:bidi="ar"/>
              </w:rPr>
              <w:t>%</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4D5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基本支出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6C3">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326.04</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158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r>
              <w:rPr>
                <w:rFonts w:hint="eastAsia" w:cs="宋体"/>
                <w:i w:val="0"/>
                <w:iCs w:val="0"/>
                <w:color w:val="000000"/>
                <w:kern w:val="0"/>
                <w:sz w:val="24"/>
                <w:szCs w:val="24"/>
                <w:highlight w:val="none"/>
                <w:u w:val="none"/>
                <w:lang w:val="en-US" w:eastAsia="zh-CN" w:bidi="ar"/>
              </w:rPr>
              <w:t>1.45</w:t>
            </w:r>
            <w:r>
              <w:rPr>
                <w:rFonts w:hint="eastAsia" w:ascii="宋体" w:hAnsi="宋体" w:eastAsia="宋体" w:cs="宋体"/>
                <w:i w:val="0"/>
                <w:iCs w:val="0"/>
                <w:color w:val="000000"/>
                <w:kern w:val="0"/>
                <w:sz w:val="24"/>
                <w:szCs w:val="24"/>
                <w:highlight w:val="none"/>
                <w:u w:val="none"/>
                <w:lang w:val="en-US" w:eastAsia="zh-CN" w:bidi="ar"/>
              </w:rPr>
              <w:t>%</w:t>
            </w:r>
          </w:p>
        </w:tc>
      </w:tr>
      <w:tr w14:paraId="0A90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B0E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政府性基金预算拨款收入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91B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248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2AE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B016">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74.27</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538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18.55</w:t>
            </w:r>
            <w:r>
              <w:rPr>
                <w:rFonts w:hint="eastAsia" w:ascii="宋体" w:hAnsi="宋体" w:eastAsia="宋体" w:cs="宋体"/>
                <w:i w:val="0"/>
                <w:iCs w:val="0"/>
                <w:color w:val="000000"/>
                <w:kern w:val="0"/>
                <w:sz w:val="24"/>
                <w:szCs w:val="24"/>
                <w:highlight w:val="none"/>
                <w:u w:val="none"/>
                <w:lang w:val="en-US" w:eastAsia="zh-CN" w:bidi="ar"/>
              </w:rPr>
              <w:t>%</w:t>
            </w:r>
          </w:p>
        </w:tc>
      </w:tr>
      <w:tr w14:paraId="1B73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D44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国有资本经营预算财政拨款收入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F64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4A2D">
            <w:pPr>
              <w:spacing w:line="240" w:lineRule="auto"/>
              <w:ind w:firstLine="0" w:firstLineChars="0"/>
              <w:rPr>
                <w:rFonts w:hint="eastAsia" w:ascii="宋体" w:hAnsi="宋体" w:eastAsia="宋体" w:cs="宋体"/>
                <w:i w:val="0"/>
                <w:iCs w:val="0"/>
                <w:color w:val="000000"/>
                <w:sz w:val="24"/>
                <w:szCs w:val="24"/>
                <w:highlight w:val="none"/>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C36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上缴上级支出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C8F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CC68">
            <w:pPr>
              <w:spacing w:line="240" w:lineRule="auto"/>
              <w:ind w:firstLine="0" w:firstLineChars="0"/>
              <w:rPr>
                <w:rFonts w:hint="eastAsia" w:ascii="宋体" w:hAnsi="宋体" w:eastAsia="宋体" w:cs="宋体"/>
                <w:i w:val="0"/>
                <w:iCs w:val="0"/>
                <w:color w:val="000000"/>
                <w:sz w:val="24"/>
                <w:szCs w:val="24"/>
                <w:highlight w:val="none"/>
                <w:u w:val="none"/>
              </w:rPr>
            </w:pPr>
          </w:p>
        </w:tc>
      </w:tr>
      <w:tr w14:paraId="1379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43D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上级补助收入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FF7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3F1B">
            <w:pPr>
              <w:spacing w:line="240" w:lineRule="auto"/>
              <w:ind w:firstLine="0" w:firstLineChars="0"/>
              <w:rPr>
                <w:rFonts w:hint="eastAsia" w:ascii="宋体" w:hAnsi="宋体" w:eastAsia="宋体" w:cs="宋体"/>
                <w:i w:val="0"/>
                <w:iCs w:val="0"/>
                <w:color w:val="000000"/>
                <w:sz w:val="24"/>
                <w:szCs w:val="24"/>
                <w:highlight w:val="none"/>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38B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经营支出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5E8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ABF3">
            <w:pPr>
              <w:spacing w:line="240" w:lineRule="auto"/>
              <w:ind w:firstLine="0" w:firstLineChars="0"/>
              <w:rPr>
                <w:rFonts w:hint="eastAsia" w:ascii="宋体" w:hAnsi="宋体" w:eastAsia="宋体" w:cs="宋体"/>
                <w:i w:val="0"/>
                <w:iCs w:val="0"/>
                <w:color w:val="000000"/>
                <w:sz w:val="24"/>
                <w:szCs w:val="24"/>
                <w:highlight w:val="none"/>
                <w:u w:val="none"/>
              </w:rPr>
            </w:pPr>
          </w:p>
        </w:tc>
      </w:tr>
      <w:tr w14:paraId="19B6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B18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F54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EB07">
            <w:pPr>
              <w:spacing w:line="240" w:lineRule="auto"/>
              <w:ind w:firstLine="0" w:firstLineChars="0"/>
              <w:rPr>
                <w:rFonts w:hint="eastAsia" w:ascii="宋体" w:hAnsi="宋体" w:eastAsia="宋体" w:cs="宋体"/>
                <w:i w:val="0"/>
                <w:iCs w:val="0"/>
                <w:color w:val="000000"/>
                <w:sz w:val="24"/>
                <w:szCs w:val="24"/>
                <w:highlight w:val="none"/>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5E71">
            <w:pPr>
              <w:spacing w:line="240" w:lineRule="auto"/>
              <w:ind w:firstLine="0" w:firstLineChars="0"/>
              <w:rPr>
                <w:rFonts w:hint="eastAsia" w:ascii="宋体" w:hAnsi="宋体" w:eastAsia="宋体" w:cs="宋体"/>
                <w:i w:val="0"/>
                <w:iCs w:val="0"/>
                <w:color w:val="000000"/>
                <w:sz w:val="24"/>
                <w:szCs w:val="24"/>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D4C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D3E6">
            <w:pPr>
              <w:spacing w:line="240" w:lineRule="auto"/>
              <w:ind w:firstLine="0" w:firstLineChars="0"/>
              <w:rPr>
                <w:rFonts w:hint="eastAsia" w:ascii="宋体" w:hAnsi="宋体" w:eastAsia="宋体" w:cs="宋体"/>
                <w:i w:val="0"/>
                <w:iCs w:val="0"/>
                <w:color w:val="000000"/>
                <w:sz w:val="24"/>
                <w:szCs w:val="24"/>
                <w:highlight w:val="none"/>
                <w:u w:val="none"/>
              </w:rPr>
            </w:pPr>
          </w:p>
        </w:tc>
      </w:tr>
      <w:tr w14:paraId="7F32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1A3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83CE">
            <w:pPr>
              <w:keepNext w:val="0"/>
              <w:keepLines w:val="0"/>
              <w:widowControl/>
              <w:suppressLineNumbers w:val="0"/>
              <w:spacing w:line="240" w:lineRule="auto"/>
              <w:ind w:firstLine="0" w:firstLineChars="0"/>
              <w:jc w:val="right"/>
              <w:textAlignment w:val="center"/>
              <w:rPr>
                <w:rFonts w:hint="default" w:ascii="宋体" w:hAnsi="宋体" w:eastAsia="宋体" w:cs="宋体"/>
                <w:b/>
                <w:bCs/>
                <w:i w:val="0"/>
                <w:iCs w:val="0"/>
                <w:color w:val="000000"/>
                <w:sz w:val="24"/>
                <w:szCs w:val="24"/>
                <w:highlight w:val="none"/>
                <w:u w:val="none"/>
                <w:lang w:val="en-US"/>
              </w:rPr>
            </w:pPr>
            <w:r>
              <w:rPr>
                <w:rFonts w:hint="eastAsia" w:ascii="宋体" w:hAnsi="宋体" w:eastAsia="宋体" w:cs="宋体"/>
                <w:b/>
                <w:bCs/>
                <w:i w:val="0"/>
                <w:iCs w:val="0"/>
                <w:color w:val="000000"/>
                <w:kern w:val="0"/>
                <w:sz w:val="24"/>
                <w:szCs w:val="24"/>
                <w:highlight w:val="none"/>
                <w:u w:val="none"/>
                <w:lang w:val="en-US" w:eastAsia="zh-CN" w:bidi="ar"/>
              </w:rPr>
              <w:t xml:space="preserve"> </w:t>
            </w:r>
            <w:r>
              <w:rPr>
                <w:rFonts w:hint="eastAsia" w:cs="宋体"/>
                <w:b/>
                <w:bCs/>
                <w:i w:val="0"/>
                <w:iCs w:val="0"/>
                <w:color w:val="000000"/>
                <w:kern w:val="0"/>
                <w:sz w:val="24"/>
                <w:szCs w:val="24"/>
                <w:highlight w:val="none"/>
                <w:u w:val="none"/>
                <w:lang w:val="en-US" w:eastAsia="zh-CN" w:bidi="ar"/>
              </w:rPr>
              <w:t>400.31</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FAA4">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100</w:t>
            </w:r>
            <w:r>
              <w:rPr>
                <w:rFonts w:hint="eastAsia" w:cs="宋体"/>
                <w:b/>
                <w:bCs/>
                <w:i w:val="0"/>
                <w:iCs w:val="0"/>
                <w:color w:val="000000"/>
                <w:kern w:val="0"/>
                <w:sz w:val="24"/>
                <w:szCs w:val="24"/>
                <w:highlight w:val="none"/>
                <w:u w:val="none"/>
                <w:lang w:val="en-US" w:eastAsia="zh-CN" w:bidi="ar"/>
              </w:rPr>
              <w:t>.00</w:t>
            </w:r>
            <w:r>
              <w:rPr>
                <w:rFonts w:hint="eastAsia" w:ascii="宋体" w:hAnsi="宋体" w:eastAsia="宋体" w:cs="宋体"/>
                <w:b/>
                <w:bCs/>
                <w:i w:val="0"/>
                <w:iCs w:val="0"/>
                <w:color w:val="000000"/>
                <w:kern w:val="0"/>
                <w:sz w:val="24"/>
                <w:szCs w:val="24"/>
                <w:highlight w:val="none"/>
                <w:u w:val="none"/>
                <w:lang w:val="en-US" w:eastAsia="zh-CN" w:bidi="ar"/>
              </w:rPr>
              <w:t>%</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10C9">
            <w:pPr>
              <w:spacing w:line="240" w:lineRule="auto"/>
              <w:ind w:firstLine="0" w:firstLineChars="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9BD2">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400.31</w:t>
            </w:r>
            <w:r>
              <w:rPr>
                <w:rFonts w:hint="eastAsia" w:ascii="宋体" w:hAnsi="宋体" w:eastAsia="宋体" w:cs="宋体"/>
                <w:b/>
                <w:bCs/>
                <w:i w:val="0"/>
                <w:iCs w:val="0"/>
                <w:color w:val="000000"/>
                <w:kern w:val="0"/>
                <w:sz w:val="24"/>
                <w:szCs w:val="24"/>
                <w:highlight w:val="none"/>
                <w:u w:val="none"/>
                <w:lang w:val="en-US" w:eastAsia="zh-CN" w:bidi="ar"/>
              </w:rPr>
              <w:t xml:space="preserve">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9A43">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100</w:t>
            </w:r>
            <w:r>
              <w:rPr>
                <w:rFonts w:hint="eastAsia" w:cs="宋体"/>
                <w:b/>
                <w:bCs/>
                <w:i w:val="0"/>
                <w:iCs w:val="0"/>
                <w:color w:val="000000"/>
                <w:kern w:val="0"/>
                <w:sz w:val="24"/>
                <w:szCs w:val="24"/>
                <w:highlight w:val="none"/>
                <w:u w:val="none"/>
                <w:lang w:val="en-US" w:eastAsia="zh-CN" w:bidi="ar"/>
              </w:rPr>
              <w:t>.00</w:t>
            </w:r>
            <w:r>
              <w:rPr>
                <w:rFonts w:hint="eastAsia" w:ascii="宋体" w:hAnsi="宋体" w:eastAsia="宋体" w:cs="宋体"/>
                <w:b/>
                <w:bCs/>
                <w:i w:val="0"/>
                <w:iCs w:val="0"/>
                <w:color w:val="000000"/>
                <w:kern w:val="0"/>
                <w:sz w:val="24"/>
                <w:szCs w:val="24"/>
                <w:highlight w:val="none"/>
                <w:u w:val="none"/>
                <w:lang w:val="en-US" w:eastAsia="zh-CN" w:bidi="ar"/>
              </w:rPr>
              <w:t>%</w:t>
            </w:r>
          </w:p>
        </w:tc>
      </w:tr>
    </w:tbl>
    <w:p w14:paraId="696473BD">
      <w:pPr>
        <w:pStyle w:val="4"/>
        <w:bidi w:val="0"/>
        <w:rPr>
          <w:rFonts w:hint="default"/>
          <w:highlight w:val="none"/>
          <w:lang w:val="en-US" w:eastAsia="zh-CN"/>
        </w:rPr>
      </w:pPr>
      <w:bookmarkStart w:id="14" w:name="_Toc19769"/>
      <w:r>
        <w:rPr>
          <w:rFonts w:hint="eastAsia"/>
          <w:highlight w:val="none"/>
          <w:lang w:val="en-US" w:eastAsia="zh-CN"/>
        </w:rPr>
        <w:t>2.2024年部门预算执行情况</w:t>
      </w:r>
      <w:bookmarkEnd w:id="14"/>
    </w:p>
    <w:p w14:paraId="64FA9894">
      <w:pPr>
        <w:bidi w:val="0"/>
        <w:rPr>
          <w:rFonts w:hint="eastAsia"/>
          <w:highlight w:val="none"/>
          <w:lang w:val="en-US" w:eastAsia="zh-CN"/>
        </w:rPr>
      </w:pPr>
      <w:r>
        <w:rPr>
          <w:rFonts w:hint="eastAsia"/>
          <w:highlight w:val="none"/>
          <w:lang w:val="en-US" w:eastAsia="zh-CN"/>
        </w:rPr>
        <w:t>根据陕州区委宣传部2024年部门决算公开信息显示，2024年度部门年初预算数400.31万元，全年调整后预算数为763.68万元，调整的主要原因为追加区直单位党报党刊经费140.00万元。 2024年决算数613.45元，其中：基本支出339.50万元，项目支出273.95万元。具体情况详见下表：</w:t>
      </w:r>
    </w:p>
    <w:p w14:paraId="5B877E58">
      <w:pPr>
        <w:bidi w:val="0"/>
        <w:jc w:val="center"/>
        <w:rPr>
          <w:rFonts w:hint="default"/>
          <w:b/>
          <w:bCs/>
          <w:highlight w:val="none"/>
          <w:lang w:val="en-US" w:eastAsia="zh-CN"/>
        </w:rPr>
      </w:pPr>
      <w:r>
        <w:rPr>
          <w:rFonts w:hint="eastAsia"/>
          <w:b/>
          <w:bCs/>
          <w:highlight w:val="none"/>
          <w:lang w:val="en-US" w:eastAsia="zh-CN"/>
        </w:rPr>
        <w:t>2024年陕州区委宣传部决算情况表</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98"/>
        <w:gridCol w:w="1584"/>
        <w:gridCol w:w="1428"/>
        <w:gridCol w:w="1284"/>
        <w:gridCol w:w="1584"/>
        <w:gridCol w:w="1124"/>
      </w:tblGrid>
      <w:tr w14:paraId="26C8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78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27A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决算</w:t>
            </w:r>
            <w:r>
              <w:rPr>
                <w:rFonts w:hint="eastAsia" w:ascii="宋体" w:hAnsi="宋体" w:eastAsia="宋体" w:cs="宋体"/>
                <w:b/>
                <w:bCs/>
                <w:i w:val="0"/>
                <w:iCs w:val="0"/>
                <w:color w:val="000000"/>
                <w:kern w:val="0"/>
                <w:sz w:val="24"/>
                <w:szCs w:val="24"/>
                <w:highlight w:val="none"/>
                <w:u w:val="none"/>
                <w:lang w:val="en-US" w:eastAsia="zh-CN" w:bidi="ar"/>
              </w:rPr>
              <w:t>收入</w:t>
            </w:r>
          </w:p>
        </w:tc>
        <w:tc>
          <w:tcPr>
            <w:tcW w:w="221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A69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决算</w:t>
            </w:r>
            <w:r>
              <w:rPr>
                <w:rFonts w:hint="eastAsia" w:ascii="宋体" w:hAnsi="宋体" w:eastAsia="宋体" w:cs="宋体"/>
                <w:b/>
                <w:bCs/>
                <w:i w:val="0"/>
                <w:iCs w:val="0"/>
                <w:color w:val="000000"/>
                <w:kern w:val="0"/>
                <w:sz w:val="24"/>
                <w:szCs w:val="24"/>
                <w:highlight w:val="none"/>
                <w:u w:val="none"/>
                <w:lang w:val="en-US" w:eastAsia="zh-CN" w:bidi="ar"/>
              </w:rPr>
              <w:t>支出</w:t>
            </w:r>
          </w:p>
        </w:tc>
      </w:tr>
      <w:tr w14:paraId="5116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674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DF1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金额（万元）</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140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占比</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8BF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12C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金额（万元）</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8D2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占比</w:t>
            </w:r>
          </w:p>
        </w:tc>
      </w:tr>
      <w:tr w14:paraId="0DA5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015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一般公共预算财政拨款收入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8EC8">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583.02</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5EB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r>
              <w:rPr>
                <w:rFonts w:hint="eastAsia" w:cs="宋体"/>
                <w:i w:val="0"/>
                <w:iCs w:val="0"/>
                <w:color w:val="000000"/>
                <w:kern w:val="0"/>
                <w:sz w:val="24"/>
                <w:szCs w:val="24"/>
                <w:highlight w:val="none"/>
                <w:u w:val="none"/>
                <w:lang w:val="en-US" w:eastAsia="zh-CN" w:bidi="ar"/>
              </w:rPr>
              <w:t>5.04</w:t>
            </w:r>
            <w:r>
              <w:rPr>
                <w:rFonts w:hint="eastAsia" w:ascii="宋体" w:hAnsi="宋体" w:eastAsia="宋体" w:cs="宋体"/>
                <w:i w:val="0"/>
                <w:iCs w:val="0"/>
                <w:color w:val="000000"/>
                <w:kern w:val="0"/>
                <w:sz w:val="24"/>
                <w:szCs w:val="24"/>
                <w:highlight w:val="none"/>
                <w:u w:val="none"/>
                <w:lang w:val="en-US" w:eastAsia="zh-CN" w:bidi="ar"/>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B76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基本支出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7A19">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339.50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FB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55.34</w:t>
            </w:r>
            <w:r>
              <w:rPr>
                <w:rFonts w:hint="eastAsia" w:ascii="宋体" w:hAnsi="宋体" w:eastAsia="宋体" w:cs="宋体"/>
                <w:i w:val="0"/>
                <w:iCs w:val="0"/>
                <w:color w:val="000000"/>
                <w:kern w:val="0"/>
                <w:sz w:val="24"/>
                <w:szCs w:val="24"/>
                <w:highlight w:val="none"/>
                <w:u w:val="none"/>
                <w:lang w:val="en-US" w:eastAsia="zh-CN" w:bidi="ar"/>
              </w:rPr>
              <w:t>%</w:t>
            </w:r>
          </w:p>
        </w:tc>
      </w:tr>
      <w:tr w14:paraId="605E4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57E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政府性基金预算拨款收入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92B2">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30.00</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9200">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4.89%</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030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7734">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rPr>
            </w:pPr>
            <w:r>
              <w:rPr>
                <w:rFonts w:hint="eastAsia" w:cs="宋体"/>
                <w:i w:val="0"/>
                <w:iCs w:val="0"/>
                <w:color w:val="000000"/>
                <w:kern w:val="0"/>
                <w:sz w:val="24"/>
                <w:szCs w:val="24"/>
                <w:highlight w:val="none"/>
                <w:u w:val="none"/>
                <w:lang w:val="en-US" w:eastAsia="zh-CN" w:bidi="ar"/>
              </w:rPr>
              <w:t>273.95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3B2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44.66</w:t>
            </w:r>
            <w:r>
              <w:rPr>
                <w:rFonts w:hint="eastAsia" w:ascii="宋体" w:hAnsi="宋体" w:eastAsia="宋体" w:cs="宋体"/>
                <w:i w:val="0"/>
                <w:iCs w:val="0"/>
                <w:color w:val="000000"/>
                <w:kern w:val="0"/>
                <w:sz w:val="24"/>
                <w:szCs w:val="24"/>
                <w:highlight w:val="none"/>
                <w:u w:val="none"/>
                <w:lang w:val="en-US" w:eastAsia="zh-CN" w:bidi="ar"/>
              </w:rPr>
              <w:t>%</w:t>
            </w:r>
          </w:p>
        </w:tc>
      </w:tr>
      <w:tr w14:paraId="12618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0F9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国有资本经营预算财政拨款收入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0E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911A">
            <w:pPr>
              <w:spacing w:line="240" w:lineRule="auto"/>
              <w:ind w:firstLine="0" w:firstLineChars="0"/>
              <w:rPr>
                <w:rFonts w:hint="eastAsia" w:ascii="宋体" w:hAnsi="宋体" w:eastAsia="宋体" w:cs="宋体"/>
                <w:i w:val="0"/>
                <w:iCs w:val="0"/>
                <w:color w:val="000000"/>
                <w:sz w:val="24"/>
                <w:szCs w:val="24"/>
                <w:highlight w:val="none"/>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D2B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上缴上级支出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F5E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B546">
            <w:pPr>
              <w:spacing w:line="240" w:lineRule="auto"/>
              <w:ind w:firstLine="0" w:firstLineChars="0"/>
              <w:rPr>
                <w:rFonts w:hint="eastAsia" w:ascii="宋体" w:hAnsi="宋体" w:eastAsia="宋体" w:cs="宋体"/>
                <w:i w:val="0"/>
                <w:iCs w:val="0"/>
                <w:color w:val="000000"/>
                <w:sz w:val="24"/>
                <w:szCs w:val="24"/>
                <w:highlight w:val="none"/>
                <w:u w:val="none"/>
              </w:rPr>
            </w:pPr>
          </w:p>
        </w:tc>
      </w:tr>
      <w:tr w14:paraId="79ED7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A14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上级补助收入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C92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42C5">
            <w:pPr>
              <w:spacing w:line="240" w:lineRule="auto"/>
              <w:ind w:firstLine="0" w:firstLineChars="0"/>
              <w:rPr>
                <w:rFonts w:hint="eastAsia" w:ascii="宋体" w:hAnsi="宋体" w:eastAsia="宋体" w:cs="宋体"/>
                <w:i w:val="0"/>
                <w:iCs w:val="0"/>
                <w:color w:val="000000"/>
                <w:sz w:val="24"/>
                <w:szCs w:val="24"/>
                <w:highlight w:val="none"/>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C3C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经营支出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174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AB1A">
            <w:pPr>
              <w:spacing w:line="240" w:lineRule="auto"/>
              <w:ind w:firstLine="0" w:firstLineChars="0"/>
              <w:rPr>
                <w:rFonts w:hint="eastAsia" w:ascii="宋体" w:hAnsi="宋体" w:eastAsia="宋体" w:cs="宋体"/>
                <w:i w:val="0"/>
                <w:iCs w:val="0"/>
                <w:color w:val="000000"/>
                <w:sz w:val="24"/>
                <w:szCs w:val="24"/>
                <w:highlight w:val="none"/>
                <w:u w:val="none"/>
              </w:rPr>
            </w:pPr>
          </w:p>
        </w:tc>
      </w:tr>
      <w:tr w14:paraId="21D3A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05F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1393">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0.43</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EE71">
            <w:pPr>
              <w:spacing w:line="240" w:lineRule="auto"/>
              <w:ind w:firstLine="0" w:firstLineChars="0"/>
              <w:jc w:val="right"/>
              <w:rPr>
                <w:rFonts w:hint="default" w:ascii="宋体" w:hAnsi="宋体" w:eastAsia="宋体"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0.07%</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89A6">
            <w:pPr>
              <w:spacing w:line="240" w:lineRule="auto"/>
              <w:ind w:firstLine="0" w:firstLineChars="0"/>
              <w:rPr>
                <w:rFonts w:hint="eastAsia" w:ascii="宋体" w:hAnsi="宋体" w:eastAsia="宋体" w:cs="宋体"/>
                <w:i w:val="0"/>
                <w:iCs w:val="0"/>
                <w:color w:val="000000"/>
                <w:sz w:val="24"/>
                <w:szCs w:val="24"/>
                <w:highlight w:val="none"/>
                <w:u w:val="none"/>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2FC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highlight w:val="none"/>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60FB">
            <w:pPr>
              <w:spacing w:line="240" w:lineRule="auto"/>
              <w:ind w:firstLine="0" w:firstLineChars="0"/>
              <w:rPr>
                <w:rFonts w:hint="eastAsia" w:ascii="宋体" w:hAnsi="宋体" w:eastAsia="宋体" w:cs="宋体"/>
                <w:i w:val="0"/>
                <w:iCs w:val="0"/>
                <w:color w:val="000000"/>
                <w:sz w:val="24"/>
                <w:szCs w:val="24"/>
                <w:highlight w:val="none"/>
                <w:u w:val="none"/>
              </w:rPr>
            </w:pPr>
          </w:p>
        </w:tc>
      </w:tr>
      <w:tr w14:paraId="3018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C9D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D49F">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613.45</w:t>
            </w:r>
            <w:r>
              <w:rPr>
                <w:rFonts w:hint="eastAsia" w:ascii="宋体" w:hAnsi="宋体" w:eastAsia="宋体" w:cs="宋体"/>
                <w:b/>
                <w:bCs/>
                <w:i w:val="0"/>
                <w:iCs w:val="0"/>
                <w:color w:val="000000"/>
                <w:kern w:val="0"/>
                <w:sz w:val="24"/>
                <w:szCs w:val="24"/>
                <w:highlight w:val="none"/>
                <w:u w:val="none"/>
                <w:lang w:val="en-US" w:eastAsia="zh-CN" w:bidi="ar"/>
              </w:rPr>
              <w:t xml:space="preserve">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8B25">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100</w:t>
            </w:r>
            <w:r>
              <w:rPr>
                <w:rFonts w:hint="eastAsia" w:cs="宋体"/>
                <w:b/>
                <w:bCs/>
                <w:i w:val="0"/>
                <w:iCs w:val="0"/>
                <w:color w:val="000000"/>
                <w:kern w:val="0"/>
                <w:sz w:val="24"/>
                <w:szCs w:val="24"/>
                <w:highlight w:val="none"/>
                <w:u w:val="none"/>
                <w:lang w:val="en-US" w:eastAsia="zh-CN" w:bidi="ar"/>
              </w:rPr>
              <w:t>.00</w:t>
            </w:r>
            <w:r>
              <w:rPr>
                <w:rFonts w:hint="eastAsia" w:ascii="宋体" w:hAnsi="宋体" w:eastAsia="宋体" w:cs="宋体"/>
                <w:b/>
                <w:bCs/>
                <w:i w:val="0"/>
                <w:iCs w:val="0"/>
                <w:color w:val="000000"/>
                <w:kern w:val="0"/>
                <w:sz w:val="24"/>
                <w:szCs w:val="24"/>
                <w:highlight w:val="none"/>
                <w:u w:val="none"/>
                <w:lang w:val="en-US" w:eastAsia="zh-CN" w:bidi="ar"/>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47D1">
            <w:pPr>
              <w:spacing w:line="240" w:lineRule="auto"/>
              <w:ind w:firstLine="0" w:firstLineChars="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DE5A">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cs="宋体"/>
                <w:b/>
                <w:bCs/>
                <w:i w:val="0"/>
                <w:iCs w:val="0"/>
                <w:color w:val="000000"/>
                <w:kern w:val="0"/>
                <w:sz w:val="24"/>
                <w:szCs w:val="24"/>
                <w:highlight w:val="none"/>
                <w:u w:val="none"/>
                <w:lang w:val="en-US" w:eastAsia="zh-CN" w:bidi="ar"/>
              </w:rPr>
              <w:t>613.45</w:t>
            </w:r>
            <w:r>
              <w:rPr>
                <w:rFonts w:hint="eastAsia" w:ascii="宋体" w:hAnsi="宋体" w:eastAsia="宋体" w:cs="宋体"/>
                <w:b/>
                <w:bCs/>
                <w:i w:val="0"/>
                <w:iCs w:val="0"/>
                <w:color w:val="000000"/>
                <w:kern w:val="0"/>
                <w:sz w:val="24"/>
                <w:szCs w:val="24"/>
                <w:highlight w:val="none"/>
                <w:u w:val="none"/>
                <w:lang w:val="en-US" w:eastAsia="zh-CN" w:bidi="ar"/>
              </w:rPr>
              <w:t xml:space="preserve"> </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4E8F">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100</w:t>
            </w:r>
            <w:r>
              <w:rPr>
                <w:rFonts w:hint="eastAsia" w:cs="宋体"/>
                <w:b/>
                <w:bCs/>
                <w:i w:val="0"/>
                <w:iCs w:val="0"/>
                <w:color w:val="000000"/>
                <w:kern w:val="0"/>
                <w:sz w:val="24"/>
                <w:szCs w:val="24"/>
                <w:highlight w:val="none"/>
                <w:u w:val="none"/>
                <w:lang w:val="en-US" w:eastAsia="zh-CN" w:bidi="ar"/>
              </w:rPr>
              <w:t>.00</w:t>
            </w:r>
            <w:r>
              <w:rPr>
                <w:rFonts w:hint="eastAsia" w:ascii="宋体" w:hAnsi="宋体" w:eastAsia="宋体" w:cs="宋体"/>
                <w:b/>
                <w:bCs/>
                <w:i w:val="0"/>
                <w:iCs w:val="0"/>
                <w:color w:val="000000"/>
                <w:kern w:val="0"/>
                <w:sz w:val="24"/>
                <w:szCs w:val="24"/>
                <w:highlight w:val="none"/>
                <w:u w:val="none"/>
                <w:lang w:val="en-US" w:eastAsia="zh-CN" w:bidi="ar"/>
              </w:rPr>
              <w:t>%</w:t>
            </w:r>
          </w:p>
        </w:tc>
      </w:tr>
    </w:tbl>
    <w:p w14:paraId="041E00F7">
      <w:pPr>
        <w:pStyle w:val="4"/>
        <w:bidi w:val="0"/>
        <w:rPr>
          <w:rFonts w:hint="default"/>
          <w:highlight w:val="none"/>
          <w:lang w:val="en-US" w:eastAsia="zh-CN"/>
        </w:rPr>
      </w:pPr>
      <w:bookmarkStart w:id="15" w:name="_Toc18715"/>
      <w:r>
        <w:rPr>
          <w:rFonts w:hint="eastAsia"/>
          <w:highlight w:val="none"/>
          <w:lang w:val="en-US" w:eastAsia="zh-CN"/>
        </w:rPr>
        <w:t>3.2024年部门资金支出情况</w:t>
      </w:r>
      <w:bookmarkEnd w:id="15"/>
    </w:p>
    <w:p w14:paraId="4A4833C6">
      <w:pPr>
        <w:bidi w:val="0"/>
        <w:rPr>
          <w:rFonts w:hint="eastAsia"/>
          <w:highlight w:val="none"/>
          <w:lang w:val="en-US" w:eastAsia="zh-CN"/>
        </w:rPr>
      </w:pPr>
      <w:r>
        <w:rPr>
          <w:rFonts w:hint="eastAsia"/>
          <w:highlight w:val="none"/>
          <w:lang w:val="en-US" w:eastAsia="zh-CN"/>
        </w:rPr>
        <w:t>结合陕州区委宣传部所提供资料及评价小组所收集资料，2024年度陕州区委宣传部决算支出包含：①一般公共服务（类）支出486.08万元，占比79.24%；②文化旅游体育与传媒（类）支出40.50万元，占比6.52%；③社会保障和就业（类）支出48.24万元，占比7.86%；④卫生健康（类）支出15.10万元，占比2.46%；⑥住房保障（类）支出23.53万元，占比3.83%。</w:t>
      </w:r>
    </w:p>
    <w:p w14:paraId="61806297">
      <w:pPr>
        <w:pStyle w:val="5"/>
        <w:bidi w:val="0"/>
        <w:rPr>
          <w:rFonts w:hint="eastAsia"/>
          <w:highlight w:val="none"/>
          <w:lang w:val="en-US" w:eastAsia="zh-CN"/>
        </w:rPr>
      </w:pPr>
      <w:r>
        <w:rPr>
          <w:rFonts w:hint="eastAsia"/>
          <w:highlight w:val="none"/>
          <w:lang w:val="en-US" w:eastAsia="zh-CN"/>
        </w:rPr>
        <w:t>（1）一般公共预算财政拨款基本支出</w:t>
      </w:r>
    </w:p>
    <w:p w14:paraId="75168D7C">
      <w:pPr>
        <w:numPr>
          <w:ilvl w:val="0"/>
          <w:numId w:val="0"/>
        </w:numPr>
        <w:bidi w:val="0"/>
        <w:ind w:firstLine="560" w:firstLineChars="200"/>
        <w:rPr>
          <w:rFonts w:hint="eastAsia"/>
          <w:highlight w:val="none"/>
          <w:lang w:val="en-US" w:eastAsia="zh-CN"/>
        </w:rPr>
      </w:pPr>
      <w:r>
        <w:rPr>
          <w:rFonts w:hint="eastAsia"/>
          <w:highlight w:val="none"/>
          <w:lang w:val="en-US" w:eastAsia="zh-CN"/>
        </w:rPr>
        <w:t>2024年度一般公共预算财政拨款基本支出共计339.07万元，其中：</w:t>
      </w:r>
    </w:p>
    <w:p w14:paraId="3328BE77">
      <w:pPr>
        <w:numPr>
          <w:ilvl w:val="0"/>
          <w:numId w:val="0"/>
        </w:numPr>
        <w:bidi w:val="0"/>
        <w:ind w:firstLine="560" w:firstLineChars="200"/>
        <w:rPr>
          <w:rFonts w:hint="eastAsia"/>
          <w:highlight w:val="none"/>
          <w:lang w:val="en-US" w:eastAsia="zh-CN"/>
        </w:rPr>
      </w:pPr>
      <w:r>
        <w:rPr>
          <w:rFonts w:hint="eastAsia"/>
          <w:highlight w:val="none"/>
          <w:lang w:val="en-US" w:eastAsia="zh-CN"/>
        </w:rPr>
        <w:t>①人员经费331.89万元，主要包括：基本工资、奖金、机关事业单位基本养老保险缴费、职工基本医疗保险缴费、其他社会保障缴费、住房公积金、其他工资福利支出、退休费。</w:t>
      </w:r>
    </w:p>
    <w:p w14:paraId="1C326853">
      <w:pPr>
        <w:bidi w:val="0"/>
        <w:rPr>
          <w:rFonts w:hint="eastAsia"/>
          <w:highlight w:val="none"/>
          <w:lang w:val="en-US" w:eastAsia="zh-CN"/>
        </w:rPr>
      </w:pPr>
      <w:r>
        <w:rPr>
          <w:rFonts w:hint="eastAsia"/>
          <w:highlight w:val="none"/>
          <w:lang w:val="en-US" w:eastAsia="zh-CN"/>
        </w:rPr>
        <w:t>②公用经费7.18万元，包括：办公费、印刷费、差旅费、劳务费、福利费。</w:t>
      </w:r>
    </w:p>
    <w:p w14:paraId="659CCEFF">
      <w:pPr>
        <w:pStyle w:val="5"/>
        <w:bidi w:val="0"/>
        <w:rPr>
          <w:rFonts w:hint="eastAsia"/>
          <w:highlight w:val="none"/>
          <w:lang w:val="en-US" w:eastAsia="zh-CN"/>
        </w:rPr>
      </w:pPr>
      <w:r>
        <w:rPr>
          <w:rFonts w:hint="eastAsia"/>
          <w:highlight w:val="none"/>
          <w:lang w:val="en-US" w:eastAsia="zh-CN"/>
        </w:rPr>
        <w:t>（2）一般公共预算财政拨款项目支出</w:t>
      </w:r>
    </w:p>
    <w:p w14:paraId="5B949771">
      <w:pPr>
        <w:bidi w:val="0"/>
        <w:rPr>
          <w:rFonts w:hint="default"/>
          <w:highlight w:val="yellow"/>
          <w:lang w:val="en-US" w:eastAsia="zh-CN"/>
        </w:rPr>
      </w:pPr>
      <w:r>
        <w:rPr>
          <w:rFonts w:hint="eastAsia"/>
          <w:highlight w:val="none"/>
          <w:lang w:val="en-US" w:eastAsia="zh-CN"/>
        </w:rPr>
        <w:t>2024年度一般公共预算财政拨款项目支出合计243.95万元，金额较大的项目支出有支付2025年党刊报刊征订费用140.00万元，支付2020年三门峡日报社《今日陕州》专刊费用30.00万元，支付河南大象融媒体技术有限公司宣传服务费10.00万元。</w:t>
      </w:r>
      <w:bookmarkStart w:id="86" w:name="_GoBack"/>
      <w:bookmarkEnd w:id="86"/>
    </w:p>
    <w:p w14:paraId="257DE056">
      <w:pPr>
        <w:pStyle w:val="4"/>
        <w:bidi w:val="0"/>
        <w:rPr>
          <w:rFonts w:hint="eastAsia"/>
          <w:highlight w:val="none"/>
          <w:lang w:val="en-US" w:eastAsia="zh-CN"/>
        </w:rPr>
      </w:pPr>
      <w:bookmarkStart w:id="16" w:name="_Toc8662"/>
      <w:r>
        <w:rPr>
          <w:rFonts w:hint="eastAsia"/>
          <w:highlight w:val="none"/>
          <w:lang w:val="en-US" w:eastAsia="zh-CN"/>
        </w:rPr>
        <w:t>4.2024年部门“三公经费”预算安排及执行情况</w:t>
      </w:r>
      <w:bookmarkEnd w:id="16"/>
    </w:p>
    <w:p w14:paraId="29410354">
      <w:pPr>
        <w:bidi w:val="0"/>
        <w:rPr>
          <w:rFonts w:hint="eastAsia"/>
          <w:highlight w:val="none"/>
          <w:lang w:val="en-US" w:eastAsia="zh-CN"/>
        </w:rPr>
      </w:pPr>
      <w:r>
        <w:rPr>
          <w:rFonts w:hint="eastAsia"/>
          <w:highlight w:val="none"/>
          <w:lang w:val="en-US" w:eastAsia="zh-CN"/>
        </w:rPr>
        <w:t>2024年度，陕州区委宣传部部门“三公经费”预算安排13.00万元，决算数6.50万元，完成预算的50.02%。</w:t>
      </w:r>
    </w:p>
    <w:p w14:paraId="1FB7DA38">
      <w:pPr>
        <w:pStyle w:val="4"/>
        <w:bidi w:val="0"/>
        <w:rPr>
          <w:rFonts w:hint="eastAsia" w:eastAsia="宋体"/>
          <w:highlight w:val="none"/>
          <w:lang w:val="en-US" w:eastAsia="zh-CN"/>
        </w:rPr>
      </w:pPr>
      <w:bookmarkStart w:id="17" w:name="_Toc6903"/>
      <w:r>
        <w:rPr>
          <w:rFonts w:hint="eastAsia"/>
          <w:highlight w:val="none"/>
          <w:lang w:val="en-US" w:eastAsia="zh-CN"/>
        </w:rPr>
        <w:t>5.2024年部门</w:t>
      </w:r>
      <w:r>
        <w:rPr>
          <w:highlight w:val="none"/>
        </w:rPr>
        <w:t>预决算公开</w:t>
      </w:r>
      <w:r>
        <w:rPr>
          <w:rFonts w:hint="eastAsia"/>
          <w:highlight w:val="none"/>
          <w:lang w:val="en-US" w:eastAsia="zh-CN"/>
        </w:rPr>
        <w:t>情况</w:t>
      </w:r>
      <w:bookmarkEnd w:id="17"/>
    </w:p>
    <w:p w14:paraId="5111D8B3">
      <w:pPr>
        <w:bidi w:val="0"/>
        <w:rPr>
          <w:rFonts w:hint="eastAsia" w:eastAsia="宋体"/>
          <w:highlight w:val="none"/>
          <w:lang w:val="en-US" w:eastAsia="zh-CN"/>
        </w:rPr>
      </w:pPr>
      <w:r>
        <w:rPr>
          <w:rFonts w:hint="eastAsia"/>
          <w:highlight w:val="none"/>
          <w:lang w:val="en-US" w:eastAsia="zh-CN"/>
        </w:rPr>
        <w:t>中共三门峡市陕州区委宣传部</w:t>
      </w:r>
      <w:r>
        <w:rPr>
          <w:highlight w:val="none"/>
        </w:rPr>
        <w:t>根据相关要求</w:t>
      </w:r>
      <w:r>
        <w:rPr>
          <w:rFonts w:hint="eastAsia"/>
          <w:highlight w:val="none"/>
          <w:lang w:val="en-US" w:eastAsia="zh-CN"/>
        </w:rPr>
        <w:t>及时</w:t>
      </w:r>
      <w:r>
        <w:rPr>
          <w:highlight w:val="none"/>
        </w:rPr>
        <w:t>公开部门预决算信息，接受社会监督。</w:t>
      </w:r>
      <w:r>
        <w:rPr>
          <w:rFonts w:hint="eastAsia"/>
          <w:highlight w:val="none"/>
          <w:lang w:eastAsia="zh-CN"/>
        </w:rPr>
        <w:t>2024</w:t>
      </w:r>
      <w:r>
        <w:rPr>
          <w:highlight w:val="none"/>
        </w:rPr>
        <w:t>年</w:t>
      </w:r>
      <w:r>
        <w:rPr>
          <w:rFonts w:hint="eastAsia"/>
          <w:highlight w:val="none"/>
          <w:lang w:val="en-US" w:eastAsia="zh-CN"/>
        </w:rPr>
        <w:t>03</w:t>
      </w:r>
      <w:r>
        <w:rPr>
          <w:highlight w:val="none"/>
        </w:rPr>
        <w:t>月在</w:t>
      </w:r>
      <w:r>
        <w:rPr>
          <w:rFonts w:hint="eastAsia"/>
          <w:highlight w:val="none"/>
          <w:lang w:val="en-US" w:eastAsia="zh-CN"/>
        </w:rPr>
        <w:t>陕州区人民</w:t>
      </w:r>
      <w:r>
        <w:rPr>
          <w:highlight w:val="none"/>
        </w:rPr>
        <w:t>政府网站公开《</w:t>
      </w:r>
      <w:r>
        <w:rPr>
          <w:rFonts w:hint="eastAsia"/>
          <w:highlight w:val="none"/>
          <w:lang w:eastAsia="zh-CN"/>
        </w:rPr>
        <w:t>2024</w:t>
      </w:r>
      <w:r>
        <w:rPr>
          <w:rFonts w:hint="eastAsia"/>
          <w:highlight w:val="none"/>
        </w:rPr>
        <w:t>年度</w:t>
      </w:r>
      <w:r>
        <w:rPr>
          <w:rFonts w:hint="eastAsia"/>
          <w:highlight w:val="none"/>
          <w:lang w:eastAsia="zh-CN"/>
        </w:rPr>
        <w:t>中共三门峡市陕州区委宣传部</w:t>
      </w:r>
      <w:r>
        <w:rPr>
          <w:rFonts w:hint="eastAsia"/>
          <w:highlight w:val="none"/>
        </w:rPr>
        <w:t>部门预算公开</w:t>
      </w:r>
      <w:r>
        <w:rPr>
          <w:highlight w:val="none"/>
        </w:rPr>
        <w:t>》，</w:t>
      </w:r>
      <w:r>
        <w:rPr>
          <w:rFonts w:hint="eastAsia"/>
          <w:highlight w:val="none"/>
        </w:rPr>
        <w:t>https://www.shanzhou.gov.cn/18062/616727232/1533862.html</w:t>
      </w:r>
      <w:r>
        <w:rPr>
          <w:rFonts w:hint="eastAsia"/>
          <w:highlight w:val="none"/>
          <w:lang w:eastAsia="zh-CN"/>
        </w:rPr>
        <w:t>；</w:t>
      </w:r>
      <w:r>
        <w:rPr>
          <w:rFonts w:hint="eastAsia"/>
          <w:highlight w:val="none"/>
          <w:lang w:val="en-US" w:eastAsia="zh-CN"/>
        </w:rPr>
        <w:t>2025</w:t>
      </w:r>
      <w:r>
        <w:rPr>
          <w:highlight w:val="none"/>
        </w:rPr>
        <w:t>年</w:t>
      </w:r>
      <w:r>
        <w:rPr>
          <w:rFonts w:hint="eastAsia"/>
          <w:highlight w:val="none"/>
          <w:lang w:val="en-US" w:eastAsia="zh-CN"/>
        </w:rPr>
        <w:t>8</w:t>
      </w:r>
      <w:r>
        <w:rPr>
          <w:highlight w:val="none"/>
        </w:rPr>
        <w:t>月公开《</w:t>
      </w:r>
      <w:r>
        <w:rPr>
          <w:rFonts w:hint="eastAsia"/>
          <w:highlight w:val="none"/>
          <w:lang w:eastAsia="zh-CN"/>
        </w:rPr>
        <w:t>2024</w:t>
      </w:r>
      <w:r>
        <w:rPr>
          <w:rFonts w:hint="eastAsia"/>
          <w:highlight w:val="none"/>
        </w:rPr>
        <w:t>年度</w:t>
      </w:r>
      <w:r>
        <w:rPr>
          <w:rFonts w:hint="eastAsia"/>
          <w:highlight w:val="none"/>
          <w:lang w:eastAsia="zh-CN"/>
        </w:rPr>
        <w:t>中共三门峡市陕州区委宣传部</w:t>
      </w:r>
      <w:r>
        <w:rPr>
          <w:rFonts w:hint="eastAsia"/>
          <w:highlight w:val="none"/>
        </w:rPr>
        <w:t>部门决算公开</w:t>
      </w:r>
      <w:r>
        <w:rPr>
          <w:highlight w:val="none"/>
        </w:rPr>
        <w:t>》，</w:t>
      </w:r>
      <w:r>
        <w:rPr>
          <w:rFonts w:hint="eastAsia"/>
          <w:highlight w:val="none"/>
        </w:rPr>
        <w:t>https://www.shanzhou.gov.cn/18063/2025/8/2149576.html</w:t>
      </w:r>
      <w:r>
        <w:rPr>
          <w:rFonts w:hint="eastAsia"/>
          <w:highlight w:val="none"/>
          <w:lang w:eastAsia="zh-CN"/>
        </w:rPr>
        <w:t>，</w:t>
      </w:r>
      <w:r>
        <w:rPr>
          <w:highlight w:val="none"/>
        </w:rPr>
        <w:t>所有公开信息完整且内容清晰，有效保障预决算管理工作公开透明。</w:t>
      </w:r>
    </w:p>
    <w:p w14:paraId="19A1C396">
      <w:pPr>
        <w:pStyle w:val="3"/>
        <w:bidi w:val="0"/>
        <w:rPr>
          <w:rFonts w:hint="default" w:eastAsia="宋体"/>
          <w:highlight w:val="none"/>
          <w:lang w:val="en-US" w:eastAsia="zh-CN"/>
        </w:rPr>
      </w:pPr>
      <w:bookmarkStart w:id="18" w:name="_Toc11342"/>
      <w:r>
        <w:rPr>
          <w:highlight w:val="none"/>
        </w:rPr>
        <w:t>（</w:t>
      </w:r>
      <w:r>
        <w:rPr>
          <w:rFonts w:hint="eastAsia"/>
          <w:highlight w:val="none"/>
          <w:lang w:val="en-US" w:eastAsia="zh-CN"/>
        </w:rPr>
        <w:t>三</w:t>
      </w:r>
      <w:r>
        <w:rPr>
          <w:highlight w:val="none"/>
        </w:rPr>
        <w:t>）</w:t>
      </w:r>
      <w:r>
        <w:rPr>
          <w:rFonts w:hint="eastAsia"/>
          <w:highlight w:val="none"/>
          <w:lang w:val="en-US" w:eastAsia="zh-CN"/>
        </w:rPr>
        <w:t>部门</w:t>
      </w:r>
      <w:r>
        <w:rPr>
          <w:highlight w:val="none"/>
        </w:rPr>
        <w:t>绩效目标</w:t>
      </w:r>
      <w:r>
        <w:rPr>
          <w:rFonts w:hint="eastAsia"/>
          <w:highlight w:val="none"/>
          <w:lang w:val="en-US" w:eastAsia="zh-CN"/>
        </w:rPr>
        <w:t>设置情况</w:t>
      </w:r>
      <w:bookmarkEnd w:id="18"/>
    </w:p>
    <w:p w14:paraId="4E9904D1">
      <w:pPr>
        <w:pStyle w:val="4"/>
        <w:bidi w:val="0"/>
        <w:rPr>
          <w:rFonts w:hint="eastAsia" w:eastAsia="宋体"/>
          <w:highlight w:val="none"/>
          <w:lang w:val="en-US" w:eastAsia="zh-CN"/>
        </w:rPr>
      </w:pPr>
      <w:bookmarkStart w:id="19" w:name="_Toc11786"/>
      <w:r>
        <w:rPr>
          <w:highlight w:val="none"/>
        </w:rPr>
        <w:t>1</w:t>
      </w:r>
      <w:r>
        <w:rPr>
          <w:rFonts w:hint="eastAsia"/>
          <w:highlight w:val="none"/>
          <w:lang w:val="en-US" w:eastAsia="zh-CN"/>
        </w:rPr>
        <w:t>.部门年度履职</w:t>
      </w:r>
      <w:r>
        <w:rPr>
          <w:highlight w:val="none"/>
        </w:rPr>
        <w:t>目标</w:t>
      </w:r>
      <w:bookmarkEnd w:id="19"/>
    </w:p>
    <w:p w14:paraId="282E8028">
      <w:pPr>
        <w:bidi w:val="0"/>
        <w:rPr>
          <w:rFonts w:hint="eastAsia"/>
          <w:highlight w:val="none"/>
          <w:lang w:val="en-US" w:eastAsia="zh-CN"/>
        </w:rPr>
      </w:pPr>
      <w:r>
        <w:rPr>
          <w:rFonts w:hint="eastAsia"/>
          <w:highlight w:val="none"/>
        </w:rPr>
        <w:t>坚持以习近平新时代中国特色社会主义思想为指导，深刻领悟"两个确立"的决定性意义，增强"四个意识"，坚定"四个自信"，做到"两个维护"，紧扣学习宣传贯彻党的二十大精神这条主线，围绕用新时代党的创新理论武装全党，教育人民，指导实践根本任务，聚焦举旗帜，聚民心，育新人，兴文化，展形象使命任务，坚持稳中求进，自信自强，守正创新，敢于斗争，持续唱响主旋律，弘扬正能量，提振精气神，不断巩固全区人民团结奋斗的共同思想基础，为建设社会主义现代化陕州提供坚强思想保证和强大精神力量。</w:t>
      </w:r>
    </w:p>
    <w:p w14:paraId="173BFB2B">
      <w:pPr>
        <w:pStyle w:val="4"/>
        <w:bidi w:val="0"/>
        <w:rPr>
          <w:rFonts w:hint="eastAsia"/>
          <w:highlight w:val="none"/>
          <w:lang w:val="en-US" w:eastAsia="zh-CN"/>
        </w:rPr>
      </w:pPr>
      <w:bookmarkStart w:id="20" w:name="_Toc17345"/>
      <w:r>
        <w:rPr>
          <w:rFonts w:hint="eastAsia"/>
          <w:highlight w:val="none"/>
          <w:lang w:val="en-US" w:eastAsia="zh-CN"/>
        </w:rPr>
        <w:t>2.部门年度主要任务</w:t>
      </w:r>
      <w:bookmarkEnd w:id="20"/>
    </w:p>
    <w:p w14:paraId="3C9CB840">
      <w:pPr>
        <w:bidi w:val="0"/>
        <w:rPr>
          <w:rFonts w:hint="eastAsia"/>
          <w:highlight w:val="none"/>
          <w:lang w:val="en-US" w:eastAsia="zh-CN"/>
        </w:rPr>
      </w:pPr>
      <w:r>
        <w:rPr>
          <w:rFonts w:hint="eastAsia"/>
          <w:highlight w:val="none"/>
          <w:lang w:val="en-US" w:eastAsia="zh-CN"/>
        </w:rPr>
        <w:t>（1）做好理论学习、宣教工作等：持续深化理论武装，不断巩固全区人民团结奋斗的共同思想基础。</w:t>
      </w:r>
    </w:p>
    <w:p w14:paraId="5DED7668">
      <w:pPr>
        <w:bidi w:val="0"/>
        <w:rPr>
          <w:rFonts w:hint="eastAsia"/>
          <w:highlight w:val="none"/>
          <w:lang w:val="en-US" w:eastAsia="zh-CN"/>
        </w:rPr>
      </w:pPr>
      <w:r>
        <w:rPr>
          <w:rFonts w:hint="eastAsia"/>
          <w:highlight w:val="none"/>
          <w:lang w:val="en-US" w:eastAsia="zh-CN"/>
        </w:rPr>
        <w:t>（2）做好新闻外宣等工作：加强外宣推介，做强正面宣传，壮大主流舆论。</w:t>
      </w:r>
    </w:p>
    <w:p w14:paraId="676F0D5B">
      <w:pPr>
        <w:bidi w:val="0"/>
        <w:rPr>
          <w:rFonts w:hint="eastAsia"/>
          <w:highlight w:val="none"/>
          <w:lang w:val="en-US" w:eastAsia="zh-CN"/>
        </w:rPr>
      </w:pPr>
      <w:r>
        <w:rPr>
          <w:rFonts w:hint="eastAsia"/>
          <w:highlight w:val="none"/>
          <w:lang w:val="en-US" w:eastAsia="zh-CN"/>
        </w:rPr>
        <w:t>（3）做好精神文明建设、思想道德建设等工作：开展精神文明建设工作，提高社会文明程度。</w:t>
      </w:r>
    </w:p>
    <w:p w14:paraId="583E1A1B">
      <w:pPr>
        <w:bidi w:val="0"/>
        <w:rPr>
          <w:rFonts w:hint="eastAsia"/>
          <w:highlight w:val="none"/>
          <w:lang w:val="en-US" w:eastAsia="zh-CN"/>
        </w:rPr>
      </w:pPr>
      <w:r>
        <w:rPr>
          <w:rFonts w:hint="eastAsia"/>
          <w:highlight w:val="none"/>
          <w:lang w:val="en-US" w:eastAsia="zh-CN"/>
        </w:rPr>
        <w:t>（4）做好文化文艺等方面工作：深入学习贯彻习近平文化思想，文</w:t>
      </w:r>
    </w:p>
    <w:p w14:paraId="073C3C34">
      <w:pPr>
        <w:bidi w:val="0"/>
        <w:ind w:left="0" w:leftChars="0" w:firstLine="0" w:firstLineChars="0"/>
        <w:rPr>
          <w:rFonts w:hint="default"/>
          <w:highlight w:val="none"/>
          <w:lang w:val="en-US" w:eastAsia="zh-CN"/>
        </w:rPr>
      </w:pPr>
      <w:r>
        <w:rPr>
          <w:rFonts w:hint="eastAsia"/>
          <w:highlight w:val="none"/>
          <w:lang w:val="en-US" w:eastAsia="zh-CN"/>
        </w:rPr>
        <w:t>旅文创融合发展。</w:t>
      </w:r>
    </w:p>
    <w:p w14:paraId="5EA1E524">
      <w:pPr>
        <w:pStyle w:val="4"/>
        <w:bidi w:val="0"/>
        <w:rPr>
          <w:highlight w:val="none"/>
        </w:rPr>
      </w:pPr>
      <w:bookmarkStart w:id="21" w:name="_Toc15687"/>
      <w:r>
        <w:rPr>
          <w:rFonts w:hint="eastAsia"/>
          <w:highlight w:val="none"/>
          <w:lang w:val="en-US" w:eastAsia="zh-CN"/>
        </w:rPr>
        <w:t>3.部门具体绩效</w:t>
      </w:r>
      <w:r>
        <w:rPr>
          <w:highlight w:val="none"/>
        </w:rPr>
        <w:t>目标</w:t>
      </w:r>
      <w:bookmarkEnd w:id="21"/>
    </w:p>
    <w:p w14:paraId="5358395B">
      <w:pPr>
        <w:bidi w:val="0"/>
        <w:rPr>
          <w:rFonts w:hint="eastAsia"/>
          <w:highlight w:val="none"/>
          <w:lang w:val="en-US" w:eastAsia="zh-CN"/>
        </w:rPr>
      </w:pPr>
      <w:r>
        <w:rPr>
          <w:rFonts w:hint="eastAsia"/>
          <w:highlight w:val="none"/>
          <w:lang w:val="en-US" w:eastAsia="zh-CN"/>
        </w:rPr>
        <w:t>2024年度陕州区委宣传部具体年度绩效目标设置情况如下</w:t>
      </w:r>
      <w:r>
        <w:rPr>
          <w:highlight w:val="none"/>
        </w:rPr>
        <w:t>表</w:t>
      </w:r>
      <w:r>
        <w:rPr>
          <w:rFonts w:hint="eastAsia"/>
          <w:highlight w:val="none"/>
          <w:lang w:val="en-US" w:eastAsia="zh-CN"/>
        </w:rPr>
        <w:t>所示</w:t>
      </w:r>
      <w:r>
        <w:rPr>
          <w:rFonts w:hint="eastAsia"/>
          <w:highlight w:val="none"/>
          <w:lang w:eastAsia="zh-CN"/>
        </w:rPr>
        <w:t>：</w:t>
      </w:r>
    </w:p>
    <w:tbl>
      <w:tblPr>
        <w:tblStyle w:val="22"/>
        <w:tblW w:w="888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68"/>
        <w:gridCol w:w="2386"/>
        <w:gridCol w:w="3160"/>
        <w:gridCol w:w="1973"/>
      </w:tblGrid>
      <w:tr w14:paraId="0EF08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365B">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692C">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2EBB">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8A0D">
            <w:pPr>
              <w:keepNext w:val="0"/>
              <w:keepLines w:val="0"/>
              <w:widowControl/>
              <w:suppressLineNumbers w:val="0"/>
              <w:ind w:left="0" w:leftChars="0" w:firstLine="241" w:firstLineChars="10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年度指标值</w:t>
            </w:r>
          </w:p>
        </w:tc>
      </w:tr>
      <w:tr w14:paraId="4AD6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8F87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投入管理指标</w:t>
            </w:r>
          </w:p>
        </w:tc>
        <w:tc>
          <w:tcPr>
            <w:tcW w:w="23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E7A1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工作目标管理</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E6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年度履职目标相关性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5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相关</w:t>
            </w:r>
          </w:p>
        </w:tc>
      </w:tr>
      <w:tr w14:paraId="316F6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E969E">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99A4F">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E6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工作任务科学性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45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科学</w:t>
            </w:r>
          </w:p>
        </w:tc>
      </w:tr>
      <w:tr w14:paraId="3BFA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21070">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4E178">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FE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绩效指标合理性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83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合理</w:t>
            </w:r>
          </w:p>
        </w:tc>
      </w:tr>
      <w:tr w14:paraId="670BA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B89C0">
            <w:pPr>
              <w:jc w:val="center"/>
              <w:rPr>
                <w:rFonts w:hint="eastAsia" w:ascii="宋体" w:hAnsi="宋体" w:eastAsia="宋体" w:cs="宋体"/>
                <w:i w:val="0"/>
                <w:iCs w:val="0"/>
                <w:color w:val="000000"/>
                <w:sz w:val="24"/>
                <w:szCs w:val="24"/>
                <w:u w:val="none"/>
              </w:rPr>
            </w:pPr>
          </w:p>
        </w:tc>
        <w:tc>
          <w:tcPr>
            <w:tcW w:w="23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B2AA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预算和财务管理</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42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预算编制完整性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4C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完整</w:t>
            </w:r>
          </w:p>
        </w:tc>
      </w:tr>
      <w:tr w14:paraId="65BF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15BEF">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A8A17">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B1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专项资金细化率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57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0A937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E6893">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5DAE9">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769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预算调整率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A9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4599A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97683">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1B853">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95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结转结余率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C5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77BE3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EAD17">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ACA36">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85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“三公经费”控制率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DE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2024E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E23EA">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0A334">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03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政府采购执行率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3F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14:paraId="6E1F0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7B696">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902A3">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38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决算真实性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24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真实</w:t>
            </w:r>
          </w:p>
        </w:tc>
      </w:tr>
      <w:tr w14:paraId="64B6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55EE7">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4C26F">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23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资金使用合规性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ED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合规</w:t>
            </w:r>
          </w:p>
        </w:tc>
      </w:tr>
      <w:tr w14:paraId="1CBCC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B54E1">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F0F3D">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5A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管理制度健全性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EF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健全</w:t>
            </w:r>
          </w:p>
        </w:tc>
      </w:tr>
      <w:tr w14:paraId="0EFA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FC09E">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FE13E">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91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预决算信息公开性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AF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公开</w:t>
            </w:r>
          </w:p>
        </w:tc>
      </w:tr>
      <w:tr w14:paraId="02722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7CE4A">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31B8B">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9A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资产管理规范性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99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规范</w:t>
            </w:r>
          </w:p>
        </w:tc>
      </w:tr>
      <w:tr w14:paraId="69074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A5E43">
            <w:pPr>
              <w:jc w:val="center"/>
              <w:rPr>
                <w:rFonts w:hint="eastAsia" w:ascii="宋体" w:hAnsi="宋体" w:eastAsia="宋体" w:cs="宋体"/>
                <w:i w:val="0"/>
                <w:iCs w:val="0"/>
                <w:color w:val="000000"/>
                <w:sz w:val="24"/>
                <w:szCs w:val="24"/>
                <w:u w:val="none"/>
              </w:rPr>
            </w:pPr>
          </w:p>
        </w:tc>
        <w:tc>
          <w:tcPr>
            <w:tcW w:w="23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C2B0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73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绩效目标编制完成率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F6D5">
            <w:pPr>
              <w:keepNext w:val="0"/>
              <w:keepLines w:val="0"/>
              <w:widowControl/>
              <w:suppressLineNumbers w:val="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00%</w:t>
            </w:r>
          </w:p>
        </w:tc>
      </w:tr>
      <w:tr w14:paraId="3129B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E360E">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C965">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0F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绩效监控完成率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D2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00%</w:t>
            </w:r>
          </w:p>
        </w:tc>
      </w:tr>
      <w:tr w14:paraId="0026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66F25">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1D3CA">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89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绩效自评完成率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02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00%</w:t>
            </w:r>
          </w:p>
        </w:tc>
      </w:tr>
      <w:tr w14:paraId="625D7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8EC39">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AE00D">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D0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部门绩效评价完成率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5A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00%</w:t>
            </w:r>
          </w:p>
        </w:tc>
      </w:tr>
      <w:tr w14:paraId="77238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25D65">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24AB4">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79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评价结果应用率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0C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00%</w:t>
            </w:r>
          </w:p>
        </w:tc>
      </w:tr>
      <w:tr w14:paraId="1E531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68" w:type="dxa"/>
            <w:vMerge w:val="restart"/>
            <w:tcBorders>
              <w:top w:val="nil"/>
              <w:left w:val="single" w:color="000000" w:sz="8" w:space="0"/>
              <w:bottom w:val="nil"/>
              <w:right w:val="nil"/>
            </w:tcBorders>
            <w:shd w:val="clear" w:color="auto" w:fill="auto"/>
            <w:vAlign w:val="center"/>
          </w:tcPr>
          <w:p w14:paraId="7F00DED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产出指标</w:t>
            </w:r>
          </w:p>
        </w:tc>
        <w:tc>
          <w:tcPr>
            <w:tcW w:w="2386" w:type="dxa"/>
            <w:tcBorders>
              <w:top w:val="nil"/>
              <w:left w:val="single" w:color="000000" w:sz="4" w:space="0"/>
              <w:bottom w:val="single" w:color="000000" w:sz="4" w:space="0"/>
              <w:right w:val="single" w:color="000000" w:sz="4" w:space="0"/>
            </w:tcBorders>
            <w:shd w:val="clear" w:color="auto" w:fill="auto"/>
            <w:vAlign w:val="center"/>
          </w:tcPr>
          <w:p w14:paraId="637CCAB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重点工作任务完成</w:t>
            </w:r>
          </w:p>
        </w:tc>
        <w:tc>
          <w:tcPr>
            <w:tcW w:w="3160" w:type="dxa"/>
            <w:tcBorders>
              <w:top w:val="nil"/>
              <w:left w:val="single" w:color="000000" w:sz="4" w:space="0"/>
              <w:bottom w:val="single" w:color="000000" w:sz="4" w:space="0"/>
              <w:right w:val="single" w:color="000000" w:sz="4" w:space="0"/>
            </w:tcBorders>
            <w:shd w:val="clear" w:color="auto" w:fill="auto"/>
            <w:vAlign w:val="center"/>
          </w:tcPr>
          <w:p w14:paraId="40D19B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重点工作计划完成率</w:t>
            </w:r>
          </w:p>
        </w:tc>
        <w:tc>
          <w:tcPr>
            <w:tcW w:w="1973" w:type="dxa"/>
            <w:tcBorders>
              <w:top w:val="nil"/>
              <w:left w:val="single" w:color="000000" w:sz="4" w:space="0"/>
              <w:bottom w:val="single" w:color="000000" w:sz="4" w:space="0"/>
              <w:right w:val="single" w:color="000000" w:sz="4" w:space="0"/>
            </w:tcBorders>
            <w:shd w:val="clear" w:color="auto" w:fill="auto"/>
            <w:vAlign w:val="center"/>
          </w:tcPr>
          <w:p w14:paraId="405640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5C84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nil"/>
              <w:left w:val="single" w:color="000000" w:sz="8" w:space="0"/>
              <w:bottom w:val="nil"/>
              <w:right w:val="nil"/>
            </w:tcBorders>
            <w:shd w:val="clear" w:color="auto" w:fill="auto"/>
            <w:vAlign w:val="center"/>
          </w:tcPr>
          <w:p w14:paraId="787B7905">
            <w:pPr>
              <w:jc w:val="center"/>
              <w:rPr>
                <w:rFonts w:hint="eastAsia" w:ascii="宋体" w:hAnsi="宋体" w:eastAsia="宋体" w:cs="宋体"/>
                <w:i w:val="0"/>
                <w:iCs w:val="0"/>
                <w:color w:val="000000"/>
                <w:sz w:val="24"/>
                <w:szCs w:val="24"/>
                <w:u w:val="none"/>
              </w:rPr>
            </w:pP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EDC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履职目标实现</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D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年度工作目标实现率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B3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3233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C546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效益指标</w:t>
            </w:r>
          </w:p>
        </w:tc>
        <w:tc>
          <w:tcPr>
            <w:tcW w:w="23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8E6C9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履职效益</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20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学习质量提升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13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提高</w:t>
            </w:r>
          </w:p>
        </w:tc>
      </w:tr>
      <w:tr w14:paraId="30B9D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264E2">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BBB6">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0596">
            <w:pPr>
              <w:keepNext w:val="0"/>
              <w:keepLines w:val="0"/>
              <w:widowControl/>
              <w:suppressLineNumbers w:val="0"/>
              <w:ind w:left="0" w:leftChars="0"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主流意识形态巩固壮大</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5AA8">
            <w:pPr>
              <w:keepNext w:val="0"/>
              <w:keepLines w:val="0"/>
              <w:widowControl/>
              <w:suppressLineNumbers w:val="0"/>
              <w:ind w:left="0" w:leftChars="0"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巩固壮大</w:t>
            </w:r>
          </w:p>
        </w:tc>
      </w:tr>
      <w:tr w14:paraId="41C8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C6550">
            <w:pPr>
              <w:jc w:val="center"/>
              <w:rPr>
                <w:rFonts w:hint="eastAsia" w:ascii="宋体" w:hAnsi="宋体" w:eastAsia="宋体" w:cs="宋体"/>
                <w:i w:val="0"/>
                <w:iCs w:val="0"/>
                <w:color w:val="000000"/>
                <w:sz w:val="24"/>
                <w:szCs w:val="24"/>
                <w:u w:val="none"/>
              </w:rPr>
            </w:pPr>
          </w:p>
        </w:tc>
        <w:tc>
          <w:tcPr>
            <w:tcW w:w="23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39756">
            <w:pPr>
              <w:jc w:val="center"/>
              <w:rPr>
                <w:rFonts w:hint="eastAsia" w:ascii="宋体" w:hAnsi="宋体" w:eastAsia="宋体" w:cs="宋体"/>
                <w:i w:val="0"/>
                <w:iCs w:val="0"/>
                <w:color w:val="000000"/>
                <w:sz w:val="24"/>
                <w:szCs w:val="24"/>
                <w:u w:val="none"/>
              </w:rPr>
            </w:pP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D7AE">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宣传效果提升</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78E3">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提升</w:t>
            </w:r>
          </w:p>
        </w:tc>
      </w:tr>
      <w:tr w14:paraId="0A7A8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E4414">
            <w:pPr>
              <w:jc w:val="center"/>
              <w:rPr>
                <w:rFonts w:hint="eastAsia" w:ascii="宋体" w:hAnsi="宋体" w:eastAsia="宋体" w:cs="宋体"/>
                <w:i w:val="0"/>
                <w:iCs w:val="0"/>
                <w:color w:val="000000"/>
                <w:sz w:val="24"/>
                <w:szCs w:val="24"/>
                <w:u w:val="none"/>
              </w:rPr>
            </w:pPr>
          </w:p>
        </w:tc>
        <w:tc>
          <w:tcPr>
            <w:tcW w:w="2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AA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w:t>
            </w:r>
          </w:p>
        </w:tc>
        <w:tc>
          <w:tcPr>
            <w:tcW w:w="3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8689">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群满意度</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7BDA">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bl>
    <w:p w14:paraId="359F3056">
      <w:pPr>
        <w:pStyle w:val="2"/>
        <w:bidi w:val="0"/>
        <w:rPr>
          <w:highlight w:val="none"/>
        </w:rPr>
      </w:pPr>
    </w:p>
    <w:p w14:paraId="1DAD3724">
      <w:pPr>
        <w:pStyle w:val="2"/>
        <w:bidi w:val="0"/>
        <w:rPr>
          <w:highlight w:val="none"/>
        </w:rPr>
      </w:pPr>
      <w:bookmarkStart w:id="22" w:name="_Toc15972"/>
      <w:r>
        <w:rPr>
          <w:highlight w:val="none"/>
        </w:rPr>
        <w:t>二、绩效评价工作开展情况</w:t>
      </w:r>
      <w:bookmarkEnd w:id="22"/>
    </w:p>
    <w:p w14:paraId="66DFE2AA">
      <w:pPr>
        <w:pStyle w:val="3"/>
        <w:bidi w:val="0"/>
        <w:rPr>
          <w:highlight w:val="none"/>
        </w:rPr>
      </w:pPr>
      <w:bookmarkStart w:id="23" w:name="_Toc22773"/>
      <w:r>
        <w:rPr>
          <w:highlight w:val="none"/>
        </w:rPr>
        <w:t>（一）评价目的</w:t>
      </w:r>
      <w:bookmarkEnd w:id="23"/>
    </w:p>
    <w:p w14:paraId="4A2F3420">
      <w:pPr>
        <w:bidi w:val="0"/>
        <w:rPr>
          <w:rFonts w:hint="eastAsia"/>
          <w:highlight w:val="none"/>
          <w:lang w:val="en-US" w:eastAsia="zh-CN"/>
        </w:rPr>
      </w:pPr>
      <w:r>
        <w:rPr>
          <w:rFonts w:hint="eastAsia"/>
          <w:highlight w:val="none"/>
          <w:lang w:val="en-US" w:eastAsia="zh-CN"/>
        </w:rPr>
        <w:t>部门整体支出绩效评价是围绕部门整体工作目标实现和职责履行 程度的综合评价，对于一个单位或部门的整体绩效评价能够洞悉资源配置的有效情况以及各部分要素之间的有机关系，从而从更加宏观的层面把握单位（部门）的资源配置合理性和资金运用效益，从结构分析和整体效益分析中更加精确地查找问题，进而有的放矢地进行改进。</w:t>
      </w:r>
    </w:p>
    <w:p w14:paraId="14A2376A">
      <w:pPr>
        <w:bidi w:val="0"/>
        <w:rPr>
          <w:rFonts w:hint="eastAsia"/>
          <w:highlight w:val="none"/>
          <w:lang w:val="en-US" w:eastAsia="zh-CN"/>
        </w:rPr>
      </w:pPr>
      <w:r>
        <w:rPr>
          <w:rFonts w:hint="default"/>
          <w:highlight w:val="none"/>
          <w:lang w:val="en-US" w:eastAsia="zh-CN"/>
        </w:rPr>
        <w:t>202</w:t>
      </w:r>
      <w:r>
        <w:rPr>
          <w:rFonts w:hint="eastAsia"/>
          <w:highlight w:val="none"/>
          <w:lang w:val="en-US" w:eastAsia="zh-CN"/>
        </w:rPr>
        <w:t>4</w:t>
      </w:r>
      <w:r>
        <w:rPr>
          <w:rFonts w:hint="default"/>
          <w:highlight w:val="none"/>
          <w:lang w:val="en-US" w:eastAsia="zh-CN"/>
        </w:rPr>
        <w:t xml:space="preserve"> </w:t>
      </w:r>
      <w:r>
        <w:rPr>
          <w:rFonts w:hint="eastAsia"/>
          <w:highlight w:val="none"/>
          <w:lang w:val="en-US" w:eastAsia="zh-CN"/>
        </w:rPr>
        <w:t>年三门峡市陕州区委宣传部部门整体支出绩效评价，通过收集其基本情况、预算制定与明细、部门工作目标及组织架构等信息，分析其资源配置的合理性及工作目标完成与履职情况，总结经验做法，找出资金使用和管理中的薄弱环节，提出改进建议，提高财政资金的使用效率。</w:t>
      </w:r>
    </w:p>
    <w:p w14:paraId="7D3008F3">
      <w:pPr>
        <w:pStyle w:val="3"/>
        <w:bidi w:val="0"/>
        <w:rPr>
          <w:rFonts w:hint="eastAsia"/>
          <w:highlight w:val="none"/>
        </w:rPr>
      </w:pPr>
      <w:bookmarkStart w:id="24" w:name="_Toc15031"/>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评价对象、资金范围及时间段</w:t>
      </w:r>
      <w:bookmarkEnd w:id="24"/>
    </w:p>
    <w:p w14:paraId="6496F35C">
      <w:pPr>
        <w:bidi w:val="0"/>
        <w:rPr>
          <w:highlight w:val="none"/>
        </w:rPr>
      </w:pPr>
      <w:r>
        <w:rPr>
          <w:rFonts w:hint="eastAsia" w:eastAsia="宋体"/>
          <w:highlight w:val="none"/>
          <w:lang w:val="en-US" w:eastAsia="zh-CN"/>
        </w:rPr>
        <w:t>1</w:t>
      </w:r>
      <w:r>
        <w:rPr>
          <w:rFonts w:hint="eastAsia"/>
          <w:highlight w:val="none"/>
          <w:lang w:val="en-US" w:eastAsia="zh-CN"/>
        </w:rPr>
        <w:t>.</w:t>
      </w:r>
      <w:r>
        <w:rPr>
          <w:highlight w:val="none"/>
        </w:rPr>
        <w:t>评价对象：</w:t>
      </w:r>
      <w:r>
        <w:rPr>
          <w:rFonts w:hint="eastAsia"/>
          <w:highlight w:val="none"/>
          <w:lang w:val="en-US" w:eastAsia="zh-CN"/>
        </w:rPr>
        <w:t>中共三门峡市陕州区委宣传部部门整体</w:t>
      </w:r>
      <w:r>
        <w:rPr>
          <w:highlight w:val="none"/>
        </w:rPr>
        <w:t>。</w:t>
      </w:r>
    </w:p>
    <w:p w14:paraId="7AAD0BBE">
      <w:pPr>
        <w:bidi w:val="0"/>
        <w:rPr>
          <w:rFonts w:hint="eastAsia"/>
          <w:highlight w:val="none"/>
          <w:lang w:eastAsia="zh-CN"/>
        </w:rPr>
      </w:pPr>
      <w:r>
        <w:rPr>
          <w:rFonts w:hint="eastAsia" w:eastAsia="宋体"/>
          <w:highlight w:val="none"/>
          <w:lang w:val="en-US" w:eastAsia="zh-CN"/>
        </w:rPr>
        <w:t>2</w:t>
      </w:r>
      <w:r>
        <w:rPr>
          <w:rFonts w:hint="eastAsia"/>
          <w:highlight w:val="none"/>
          <w:lang w:val="en-US" w:eastAsia="zh-CN"/>
        </w:rPr>
        <w:t>.</w:t>
      </w:r>
      <w:r>
        <w:rPr>
          <w:rFonts w:hint="eastAsia"/>
          <w:highlight w:val="none"/>
          <w:lang w:eastAsia="zh-CN"/>
        </w:rPr>
        <w:t>资金范围：</w:t>
      </w:r>
      <w:r>
        <w:rPr>
          <w:rFonts w:hint="eastAsia"/>
          <w:highlight w:val="none"/>
          <w:lang w:val="en-US" w:eastAsia="zh-CN"/>
        </w:rPr>
        <w:t>中共三门峡市陕州区委宣传部部门整体财政资金</w:t>
      </w:r>
      <w:r>
        <w:rPr>
          <w:rFonts w:hint="default"/>
          <w:highlight w:val="none"/>
          <w:lang w:eastAsia="zh-CN"/>
        </w:rPr>
        <w:t>。</w:t>
      </w:r>
    </w:p>
    <w:p w14:paraId="61418286">
      <w:pPr>
        <w:bidi w:val="0"/>
        <w:rPr>
          <w:rFonts w:hint="eastAsia"/>
          <w:highlight w:val="none"/>
          <w:lang w:val="en-US"/>
        </w:rPr>
      </w:pPr>
      <w:r>
        <w:rPr>
          <w:rFonts w:hint="eastAsia"/>
          <w:highlight w:val="none"/>
          <w:lang w:val="en-US" w:eastAsia="zh-CN"/>
        </w:rPr>
        <w:t>3.</w:t>
      </w:r>
      <w:r>
        <w:rPr>
          <w:rFonts w:hint="eastAsia"/>
          <w:highlight w:val="none"/>
        </w:rPr>
        <w:t>评价时间段</w:t>
      </w:r>
      <w:r>
        <w:rPr>
          <w:rFonts w:hint="default"/>
          <w:highlight w:val="none"/>
        </w:rPr>
        <w:t>：</w:t>
      </w:r>
      <w:r>
        <w:rPr>
          <w:rFonts w:hint="eastAsia"/>
          <w:highlight w:val="none"/>
          <w:lang w:val="en-US" w:eastAsia="zh-CN"/>
        </w:rPr>
        <w:t>2024年1月1日至2024年12月31日。</w:t>
      </w:r>
    </w:p>
    <w:p w14:paraId="1F8F8DBC">
      <w:pPr>
        <w:pStyle w:val="3"/>
        <w:bidi w:val="0"/>
        <w:rPr>
          <w:highlight w:val="none"/>
        </w:rPr>
      </w:pPr>
      <w:bookmarkStart w:id="25" w:name="_Toc8065"/>
      <w:r>
        <w:rPr>
          <w:highlight w:val="none"/>
        </w:rPr>
        <w:t>（</w:t>
      </w:r>
      <w:r>
        <w:rPr>
          <w:rFonts w:hint="eastAsia"/>
          <w:highlight w:val="none"/>
          <w:lang w:val="en-US" w:eastAsia="zh-CN"/>
        </w:rPr>
        <w:t>三</w:t>
      </w:r>
      <w:r>
        <w:rPr>
          <w:highlight w:val="none"/>
        </w:rPr>
        <w:t>）评价依据</w:t>
      </w:r>
      <w:bookmarkEnd w:id="25"/>
    </w:p>
    <w:p w14:paraId="75B75F7C">
      <w:pPr>
        <w:bidi w:val="0"/>
        <w:rPr>
          <w:highlight w:val="none"/>
        </w:rPr>
      </w:pPr>
      <w:r>
        <w:rPr>
          <w:highlight w:val="none"/>
        </w:rPr>
        <w:t>（1）《中共中央国务院关于全面实施预算绩效管理的意见》（</w:t>
      </w:r>
      <w:r>
        <w:rPr>
          <w:rFonts w:hint="eastAsia"/>
          <w:highlight w:val="none"/>
        </w:rPr>
        <w:t>中发〔2018〕34号</w:t>
      </w:r>
      <w:r>
        <w:rPr>
          <w:highlight w:val="none"/>
        </w:rPr>
        <w:t>）</w:t>
      </w:r>
    </w:p>
    <w:p w14:paraId="546FAB2F">
      <w:pPr>
        <w:bidi w:val="0"/>
        <w:rPr>
          <w:highlight w:val="none"/>
        </w:rPr>
      </w:pPr>
      <w:r>
        <w:rPr>
          <w:rFonts w:hint="eastAsia" w:eastAsia="宋体"/>
          <w:highlight w:val="none"/>
          <w:lang w:eastAsia="zh-CN"/>
        </w:rPr>
        <w:t>（</w:t>
      </w:r>
      <w:r>
        <w:rPr>
          <w:rFonts w:hint="eastAsia" w:eastAsia="宋体"/>
          <w:highlight w:val="none"/>
          <w:lang w:val="en-US" w:eastAsia="zh-CN"/>
        </w:rPr>
        <w:t>2</w:t>
      </w:r>
      <w:r>
        <w:rPr>
          <w:rFonts w:hint="eastAsia" w:eastAsia="宋体"/>
          <w:highlight w:val="none"/>
          <w:lang w:eastAsia="zh-CN"/>
        </w:rPr>
        <w:t>）</w:t>
      </w:r>
      <w:r>
        <w:rPr>
          <w:rFonts w:hint="default"/>
          <w:highlight w:val="none"/>
        </w:rPr>
        <w:t>2018年关于贯彻落实《中共中央国务院关于全面实施预算绩效管理的意见》的通知（财预</w:t>
      </w:r>
      <w:r>
        <w:rPr>
          <w:rFonts w:hint="eastAsia"/>
          <w:highlight w:val="none"/>
          <w:lang w:eastAsia="zh-CN"/>
        </w:rPr>
        <w:t>〔</w:t>
      </w:r>
      <w:r>
        <w:rPr>
          <w:rFonts w:hint="default"/>
          <w:highlight w:val="none"/>
        </w:rPr>
        <w:t>2018</w:t>
      </w:r>
      <w:r>
        <w:rPr>
          <w:rFonts w:hint="eastAsia"/>
          <w:highlight w:val="none"/>
          <w:lang w:eastAsia="zh-CN"/>
        </w:rPr>
        <w:t>〕</w:t>
      </w:r>
      <w:r>
        <w:rPr>
          <w:rFonts w:hint="default"/>
          <w:highlight w:val="none"/>
        </w:rPr>
        <w:t>167号）</w:t>
      </w:r>
    </w:p>
    <w:p w14:paraId="2F274D45">
      <w:pPr>
        <w:bidi w:val="0"/>
        <w:rPr>
          <w:highlight w:val="none"/>
        </w:rPr>
      </w:pPr>
      <w:r>
        <w:rPr>
          <w:highlight w:val="none"/>
        </w:rPr>
        <w:t>（</w:t>
      </w:r>
      <w:r>
        <w:rPr>
          <w:rFonts w:hint="eastAsia" w:eastAsia="宋体"/>
          <w:highlight w:val="none"/>
          <w:lang w:val="en-US" w:eastAsia="zh-CN"/>
        </w:rPr>
        <w:t>3</w:t>
      </w:r>
      <w:r>
        <w:rPr>
          <w:highlight w:val="none"/>
        </w:rPr>
        <w:t>）《项目支出绩效评价管理办法》（财预</w:t>
      </w:r>
      <w:r>
        <w:rPr>
          <w:rFonts w:hint="eastAsia"/>
          <w:highlight w:val="none"/>
          <w:lang w:eastAsia="zh-CN"/>
        </w:rPr>
        <w:t>〔</w:t>
      </w:r>
      <w:r>
        <w:rPr>
          <w:rFonts w:hint="default"/>
          <w:highlight w:val="none"/>
        </w:rPr>
        <w:t>2</w:t>
      </w:r>
      <w:r>
        <w:rPr>
          <w:rFonts w:hint="eastAsia" w:eastAsia="宋体"/>
          <w:highlight w:val="none"/>
          <w:lang w:val="en-US" w:eastAsia="zh-CN"/>
        </w:rPr>
        <w:t>020</w:t>
      </w:r>
      <w:r>
        <w:rPr>
          <w:rFonts w:hint="eastAsia"/>
          <w:highlight w:val="none"/>
          <w:lang w:eastAsia="zh-CN"/>
        </w:rPr>
        <w:t>〕</w:t>
      </w:r>
      <w:r>
        <w:rPr>
          <w:highlight w:val="none"/>
        </w:rPr>
        <w:t>10号）</w:t>
      </w:r>
    </w:p>
    <w:p w14:paraId="4FE5212F">
      <w:pPr>
        <w:bidi w:val="0"/>
        <w:rPr>
          <w:highlight w:val="none"/>
        </w:rPr>
      </w:pPr>
      <w:r>
        <w:rPr>
          <w:highlight w:val="none"/>
        </w:rPr>
        <w:t>（</w:t>
      </w:r>
      <w:r>
        <w:rPr>
          <w:rFonts w:hint="eastAsia"/>
          <w:highlight w:val="none"/>
          <w:lang w:val="en-US" w:eastAsia="zh-CN"/>
        </w:rPr>
        <w:t>4</w:t>
      </w:r>
      <w:r>
        <w:rPr>
          <w:highlight w:val="none"/>
        </w:rPr>
        <w:t>）《中共河南省委河南省人民政府关于全面实施预算绩效管理的实施意见》（豫发</w:t>
      </w:r>
      <w:r>
        <w:rPr>
          <w:rFonts w:hint="eastAsia"/>
          <w:highlight w:val="none"/>
          <w:lang w:eastAsia="zh-CN"/>
        </w:rPr>
        <w:t>〔</w:t>
      </w:r>
      <w:r>
        <w:rPr>
          <w:rFonts w:hint="default"/>
          <w:highlight w:val="none"/>
        </w:rPr>
        <w:t>201</w:t>
      </w:r>
      <w:r>
        <w:rPr>
          <w:rFonts w:hint="eastAsia" w:eastAsia="宋体"/>
          <w:highlight w:val="none"/>
          <w:lang w:val="en-US" w:eastAsia="zh-CN"/>
        </w:rPr>
        <w:t>9</w:t>
      </w:r>
      <w:r>
        <w:rPr>
          <w:rFonts w:hint="eastAsia"/>
          <w:highlight w:val="none"/>
          <w:lang w:eastAsia="zh-CN"/>
        </w:rPr>
        <w:t>〕</w:t>
      </w:r>
      <w:r>
        <w:rPr>
          <w:highlight w:val="none"/>
        </w:rPr>
        <w:t>10号）</w:t>
      </w:r>
    </w:p>
    <w:p w14:paraId="1BE613E8">
      <w:pPr>
        <w:bidi w:val="0"/>
        <w:rPr>
          <w:highlight w:val="none"/>
        </w:rPr>
      </w:pPr>
      <w:r>
        <w:rPr>
          <w:highlight w:val="none"/>
        </w:rPr>
        <w:t>（</w:t>
      </w:r>
      <w:r>
        <w:rPr>
          <w:rFonts w:hint="eastAsia"/>
          <w:highlight w:val="none"/>
          <w:lang w:val="en-US" w:eastAsia="zh-CN"/>
        </w:rPr>
        <w:t>5</w:t>
      </w:r>
      <w:r>
        <w:rPr>
          <w:highlight w:val="none"/>
        </w:rPr>
        <w:t>）中共三门峡市委三门峡市人民政府《关于全面实施预算绩效管理的实施意见》（三发</w:t>
      </w:r>
      <w:r>
        <w:rPr>
          <w:rFonts w:hint="eastAsia"/>
          <w:highlight w:val="none"/>
          <w:lang w:eastAsia="zh-CN"/>
        </w:rPr>
        <w:t>〔</w:t>
      </w:r>
      <w:r>
        <w:rPr>
          <w:rFonts w:hint="default"/>
          <w:highlight w:val="none"/>
        </w:rPr>
        <w:t>20</w:t>
      </w:r>
      <w:r>
        <w:rPr>
          <w:rFonts w:hint="eastAsia" w:eastAsia="宋体"/>
          <w:highlight w:val="none"/>
          <w:lang w:val="en-US" w:eastAsia="zh-CN"/>
        </w:rPr>
        <w:t>21</w:t>
      </w:r>
      <w:r>
        <w:rPr>
          <w:rFonts w:hint="eastAsia"/>
          <w:highlight w:val="none"/>
          <w:lang w:eastAsia="zh-CN"/>
        </w:rPr>
        <w:t>〕</w:t>
      </w:r>
      <w:r>
        <w:rPr>
          <w:highlight w:val="none"/>
        </w:rPr>
        <w:t>1</w:t>
      </w:r>
      <w:r>
        <w:rPr>
          <w:rFonts w:hint="eastAsia"/>
          <w:highlight w:val="none"/>
          <w:lang w:val="en-US" w:eastAsia="zh-CN"/>
        </w:rPr>
        <w:t>4</w:t>
      </w:r>
      <w:r>
        <w:rPr>
          <w:highlight w:val="none"/>
        </w:rPr>
        <w:t>号）</w:t>
      </w:r>
    </w:p>
    <w:p w14:paraId="26B0DBBD">
      <w:pPr>
        <w:bidi w:val="0"/>
        <w:rPr>
          <w:highlight w:val="none"/>
        </w:rPr>
      </w:pPr>
      <w:r>
        <w:rPr>
          <w:highlight w:val="none"/>
        </w:rPr>
        <w:t>（</w:t>
      </w:r>
      <w:r>
        <w:rPr>
          <w:rFonts w:hint="eastAsia"/>
          <w:highlight w:val="none"/>
          <w:lang w:val="en-US" w:eastAsia="zh-CN"/>
        </w:rPr>
        <w:t>6</w:t>
      </w:r>
      <w:r>
        <w:rPr>
          <w:highlight w:val="none"/>
        </w:rPr>
        <w:t>）三门峡市财政局关于印发《三门峡市市级预算政策和项目事前绩效评估管理办法》等5个办法的通知（三财预</w:t>
      </w:r>
      <w:r>
        <w:rPr>
          <w:rFonts w:hint="eastAsia"/>
          <w:highlight w:val="none"/>
          <w:lang w:eastAsia="zh-CN"/>
        </w:rPr>
        <w:t>〔</w:t>
      </w:r>
      <w:r>
        <w:rPr>
          <w:rFonts w:hint="default"/>
          <w:highlight w:val="none"/>
        </w:rPr>
        <w:t>20</w:t>
      </w:r>
      <w:r>
        <w:rPr>
          <w:rFonts w:hint="eastAsia" w:eastAsia="宋体"/>
          <w:highlight w:val="none"/>
          <w:lang w:val="en-US" w:eastAsia="zh-CN"/>
        </w:rPr>
        <w:t>20</w:t>
      </w:r>
      <w:r>
        <w:rPr>
          <w:rFonts w:hint="eastAsia"/>
          <w:highlight w:val="none"/>
          <w:lang w:eastAsia="zh-CN"/>
        </w:rPr>
        <w:t>〕</w:t>
      </w:r>
      <w:r>
        <w:rPr>
          <w:highlight w:val="none"/>
        </w:rPr>
        <w:t>677号）</w:t>
      </w:r>
    </w:p>
    <w:p w14:paraId="6DA8513F">
      <w:pPr>
        <w:bidi w:val="0"/>
        <w:rPr>
          <w:rFonts w:hint="default"/>
          <w:highlight w:val="none"/>
          <w:lang w:val="en-US" w:eastAsia="zh-CN"/>
        </w:rPr>
      </w:pPr>
      <w:r>
        <w:rPr>
          <w:highlight w:val="none"/>
        </w:rPr>
        <w:t>（</w:t>
      </w:r>
      <w:r>
        <w:rPr>
          <w:rFonts w:hint="eastAsia"/>
          <w:highlight w:val="none"/>
          <w:lang w:val="en-US" w:eastAsia="zh-CN"/>
        </w:rPr>
        <w:t>7</w:t>
      </w:r>
      <w:r>
        <w:rPr>
          <w:highlight w:val="none"/>
        </w:rPr>
        <w:t>）</w:t>
      </w:r>
      <w:r>
        <w:rPr>
          <w:rFonts w:hint="eastAsia"/>
          <w:highlight w:val="none"/>
          <w:lang w:val="en-US" w:eastAsia="zh-CN"/>
        </w:rPr>
        <w:t>2024年度中共三门峡市陕州区委宣传部部门预算公开</w:t>
      </w:r>
    </w:p>
    <w:p w14:paraId="04E719C5">
      <w:pPr>
        <w:bidi w:val="0"/>
        <w:rPr>
          <w:rFonts w:hint="eastAsia" w:eastAsia="宋体"/>
          <w:highlight w:val="none"/>
          <w:lang w:val="en-US" w:eastAsia="zh-CN"/>
        </w:rPr>
      </w:pPr>
      <w:r>
        <w:rPr>
          <w:highlight w:val="none"/>
        </w:rPr>
        <w:t>（</w:t>
      </w:r>
      <w:r>
        <w:rPr>
          <w:rFonts w:hint="eastAsia"/>
          <w:highlight w:val="none"/>
          <w:lang w:val="en-US" w:eastAsia="zh-CN"/>
        </w:rPr>
        <w:t>8</w:t>
      </w:r>
      <w:r>
        <w:rPr>
          <w:highlight w:val="none"/>
        </w:rPr>
        <w:t>）</w:t>
      </w:r>
      <w:r>
        <w:rPr>
          <w:rFonts w:hint="eastAsia"/>
          <w:highlight w:val="none"/>
          <w:lang w:eastAsia="zh-CN"/>
        </w:rPr>
        <w:t>2024</w:t>
      </w:r>
      <w:r>
        <w:rPr>
          <w:rFonts w:hint="eastAsia"/>
          <w:highlight w:val="none"/>
        </w:rPr>
        <w:t>年度</w:t>
      </w:r>
      <w:r>
        <w:rPr>
          <w:rFonts w:hint="eastAsia"/>
          <w:highlight w:val="none"/>
          <w:lang w:eastAsia="zh-CN"/>
        </w:rPr>
        <w:t>中共三门峡市陕州区委宣传部</w:t>
      </w:r>
      <w:r>
        <w:rPr>
          <w:rFonts w:hint="eastAsia"/>
          <w:highlight w:val="none"/>
        </w:rPr>
        <w:t>部门决算</w:t>
      </w:r>
      <w:r>
        <w:rPr>
          <w:rFonts w:hint="eastAsia"/>
          <w:highlight w:val="none"/>
          <w:lang w:val="en-US" w:eastAsia="zh-CN"/>
        </w:rPr>
        <w:t>公开</w:t>
      </w:r>
    </w:p>
    <w:p w14:paraId="25C43991">
      <w:pPr>
        <w:numPr>
          <w:ilvl w:val="0"/>
          <w:numId w:val="0"/>
        </w:numPr>
        <w:bidi w:val="0"/>
        <w:ind w:left="0" w:leftChars="0" w:firstLine="560" w:firstLineChars="200"/>
        <w:rPr>
          <w:rFonts w:hint="eastAsia" w:eastAsia="宋体"/>
          <w:highlight w:val="none"/>
          <w:lang w:eastAsia="zh-CN"/>
        </w:rPr>
      </w:pPr>
      <w:r>
        <w:rPr>
          <w:rFonts w:hint="eastAsia" w:ascii="宋体" w:hAnsi="宋体" w:eastAsia="宋体" w:cs="宋体"/>
          <w:sz w:val="28"/>
          <w:szCs w:val="28"/>
          <w:highlight w:val="none"/>
          <w:lang w:eastAsia="zh-CN"/>
        </w:rPr>
        <w:t>（</w:t>
      </w:r>
      <w:r>
        <w:rPr>
          <w:rFonts w:hint="eastAsia" w:cs="宋体"/>
          <w:sz w:val="28"/>
          <w:szCs w:val="28"/>
          <w:highlight w:val="none"/>
          <w:lang w:val="en-US" w:eastAsia="zh-CN"/>
        </w:rPr>
        <w:t>9</w:t>
      </w:r>
      <w:r>
        <w:rPr>
          <w:rFonts w:hint="eastAsia" w:ascii="宋体" w:hAnsi="宋体" w:eastAsia="宋体" w:cs="宋体"/>
          <w:sz w:val="28"/>
          <w:szCs w:val="28"/>
          <w:highlight w:val="none"/>
          <w:lang w:eastAsia="zh-CN"/>
        </w:rPr>
        <w:t>）</w:t>
      </w:r>
      <w:r>
        <w:rPr>
          <w:rFonts w:hint="eastAsia" w:cs="宋体"/>
          <w:sz w:val="28"/>
          <w:szCs w:val="28"/>
          <w:highlight w:val="none"/>
          <w:lang w:eastAsia="zh-CN"/>
        </w:rPr>
        <w:t>《</w:t>
      </w:r>
      <w:r>
        <w:rPr>
          <w:rFonts w:hint="eastAsia"/>
          <w:highlight w:val="none"/>
          <w:lang w:eastAsia="zh-CN"/>
        </w:rPr>
        <w:t>中共三门峡市陕州区委宣传部</w:t>
      </w:r>
      <w:r>
        <w:rPr>
          <w:rFonts w:hint="eastAsia"/>
          <w:highlight w:val="none"/>
        </w:rPr>
        <w:t>政府部门财务报告</w:t>
      </w:r>
      <w:r>
        <w:rPr>
          <w:rFonts w:hint="eastAsia"/>
          <w:highlight w:val="none"/>
          <w:lang w:eastAsia="zh-CN"/>
        </w:rPr>
        <w:t>》</w:t>
      </w:r>
    </w:p>
    <w:p w14:paraId="14FAA89B">
      <w:pPr>
        <w:numPr>
          <w:ilvl w:val="0"/>
          <w:numId w:val="0"/>
        </w:numPr>
        <w:bidi w:val="0"/>
        <w:ind w:left="0" w:leftChars="0" w:firstLine="560" w:firstLineChars="200"/>
        <w:rPr>
          <w:rFonts w:hint="eastAsia"/>
          <w:highlight w:val="none"/>
          <w:lang w:eastAsia="zh-CN"/>
        </w:rPr>
      </w:pPr>
      <w:r>
        <w:rPr>
          <w:rFonts w:hint="eastAsia" w:ascii="宋体" w:hAnsi="宋体" w:eastAsia="宋体" w:cs="宋体"/>
          <w:sz w:val="28"/>
          <w:szCs w:val="28"/>
          <w:highlight w:val="none"/>
          <w:lang w:eastAsia="zh-CN"/>
        </w:rPr>
        <w:t>（</w:t>
      </w:r>
      <w:r>
        <w:rPr>
          <w:rFonts w:hint="eastAsia" w:cs="宋体"/>
          <w:sz w:val="28"/>
          <w:szCs w:val="28"/>
          <w:highlight w:val="none"/>
          <w:lang w:val="en-US" w:eastAsia="zh-CN"/>
        </w:rPr>
        <w:t>10</w:t>
      </w:r>
      <w:r>
        <w:rPr>
          <w:rFonts w:hint="eastAsia" w:ascii="宋体" w:hAnsi="宋体" w:eastAsia="宋体" w:cs="宋体"/>
          <w:sz w:val="28"/>
          <w:szCs w:val="28"/>
          <w:highlight w:val="none"/>
          <w:lang w:eastAsia="zh-CN"/>
        </w:rPr>
        <w:t>）</w:t>
      </w:r>
      <w:r>
        <w:rPr>
          <w:rFonts w:hint="eastAsia" w:cs="宋体"/>
          <w:sz w:val="28"/>
          <w:szCs w:val="28"/>
          <w:highlight w:val="none"/>
          <w:lang w:eastAsia="zh-CN"/>
        </w:rPr>
        <w:t>《</w:t>
      </w:r>
      <w:r>
        <w:rPr>
          <w:rFonts w:hint="eastAsia"/>
          <w:highlight w:val="none"/>
          <w:lang w:eastAsia="zh-CN"/>
        </w:rPr>
        <w:t>中共三门峡市陕州区委宣传部部门2024-202</w:t>
      </w:r>
      <w:r>
        <w:rPr>
          <w:rFonts w:hint="eastAsia"/>
          <w:highlight w:val="none"/>
          <w:lang w:val="en-US" w:eastAsia="zh-CN"/>
        </w:rPr>
        <w:t>6</w:t>
      </w:r>
      <w:r>
        <w:rPr>
          <w:rFonts w:hint="eastAsia"/>
          <w:highlight w:val="none"/>
          <w:lang w:eastAsia="zh-CN"/>
        </w:rPr>
        <w:t>年部门收支规划编报说明》</w:t>
      </w:r>
    </w:p>
    <w:p w14:paraId="7A3D8CA0">
      <w:pPr>
        <w:bidi w:val="0"/>
        <w:rPr>
          <w:rFonts w:hint="eastAsia"/>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ighlight w:val="none"/>
        </w:rPr>
        <w:t>收集</w:t>
      </w:r>
      <w:r>
        <w:rPr>
          <w:rFonts w:hint="eastAsia"/>
          <w:highlight w:val="none"/>
          <w:lang w:val="en-US" w:eastAsia="zh-CN"/>
        </w:rPr>
        <w:t>到的</w:t>
      </w:r>
      <w:r>
        <w:rPr>
          <w:rFonts w:hint="eastAsia"/>
          <w:highlight w:val="none"/>
        </w:rPr>
        <w:t>其他</w:t>
      </w:r>
      <w:r>
        <w:rPr>
          <w:rFonts w:hint="eastAsia"/>
          <w:highlight w:val="none"/>
          <w:lang w:val="en-US" w:eastAsia="zh-CN"/>
        </w:rPr>
        <w:t>相</w:t>
      </w:r>
      <w:r>
        <w:rPr>
          <w:rFonts w:hint="eastAsia"/>
          <w:highlight w:val="none"/>
        </w:rPr>
        <w:t>关</w:t>
      </w:r>
      <w:r>
        <w:rPr>
          <w:rFonts w:hint="eastAsia"/>
          <w:highlight w:val="none"/>
          <w:lang w:val="en-US" w:eastAsia="zh-CN"/>
        </w:rPr>
        <w:t>总结、</w:t>
      </w:r>
      <w:r>
        <w:rPr>
          <w:rFonts w:hint="eastAsia"/>
          <w:highlight w:val="none"/>
        </w:rPr>
        <w:t>政策、制度、标准及规范等。</w:t>
      </w:r>
    </w:p>
    <w:p w14:paraId="3372A081">
      <w:pPr>
        <w:pStyle w:val="3"/>
        <w:bidi w:val="0"/>
        <w:rPr>
          <w:rFonts w:hint="default"/>
          <w:highlight w:val="none"/>
          <w:lang w:val="en-US" w:eastAsia="zh-CN"/>
        </w:rPr>
      </w:pPr>
      <w:bookmarkStart w:id="26" w:name="_Toc14240"/>
      <w:r>
        <w:rPr>
          <w:highlight w:val="none"/>
        </w:rPr>
        <w:t>（</w:t>
      </w:r>
      <w:r>
        <w:rPr>
          <w:rFonts w:hint="eastAsia"/>
          <w:highlight w:val="none"/>
          <w:lang w:val="en-US" w:eastAsia="zh-CN"/>
        </w:rPr>
        <w:t>四</w:t>
      </w:r>
      <w:r>
        <w:rPr>
          <w:highlight w:val="none"/>
        </w:rPr>
        <w:t>）评价的原则</w:t>
      </w:r>
      <w:r>
        <w:rPr>
          <w:rFonts w:hint="eastAsia"/>
          <w:highlight w:val="none"/>
          <w:lang w:eastAsia="zh-CN"/>
        </w:rPr>
        <w:t>、</w:t>
      </w:r>
      <w:r>
        <w:rPr>
          <w:highlight w:val="none"/>
        </w:rPr>
        <w:t>方法</w:t>
      </w:r>
      <w:r>
        <w:rPr>
          <w:rFonts w:hint="eastAsia"/>
          <w:highlight w:val="none"/>
          <w:lang w:val="en-US" w:eastAsia="zh-CN"/>
        </w:rPr>
        <w:t>和标准</w:t>
      </w:r>
      <w:bookmarkEnd w:id="26"/>
    </w:p>
    <w:p w14:paraId="3EB1ADDE">
      <w:pPr>
        <w:pStyle w:val="4"/>
        <w:bidi w:val="0"/>
        <w:rPr>
          <w:highlight w:val="none"/>
        </w:rPr>
      </w:pPr>
      <w:bookmarkStart w:id="27" w:name="_Toc11712"/>
      <w:r>
        <w:rPr>
          <w:highlight w:val="none"/>
        </w:rPr>
        <w:t>1</w:t>
      </w:r>
      <w:r>
        <w:rPr>
          <w:rFonts w:hint="eastAsia"/>
          <w:highlight w:val="none"/>
          <w:lang w:val="en-US" w:eastAsia="zh-CN"/>
        </w:rPr>
        <w:t>.</w:t>
      </w:r>
      <w:r>
        <w:rPr>
          <w:highlight w:val="none"/>
        </w:rPr>
        <w:t>绩效评价原则</w:t>
      </w:r>
      <w:bookmarkEnd w:id="27"/>
    </w:p>
    <w:p w14:paraId="1B91C26D">
      <w:pPr>
        <w:bidi w:val="0"/>
        <w:rPr>
          <w:rFonts w:hint="eastAsia"/>
          <w:highlight w:val="none"/>
          <w:lang w:val="en-US" w:eastAsia="zh-CN"/>
        </w:rPr>
      </w:pPr>
      <w:r>
        <w:rPr>
          <w:rFonts w:hint="eastAsia"/>
          <w:highlight w:val="none"/>
          <w:lang w:val="en-US" w:eastAsia="zh-CN"/>
        </w:rPr>
        <w:t>本次绩效评价坚持科学规范、公正公开、分级分类、绩效相关的评价原则，根据设定的绩效目标，运用科学、合理的绩效评价指标、评价标准和评价方法，对财政资金支出的经济性、效率性和效益性进行客观、公正评价。</w:t>
      </w:r>
    </w:p>
    <w:p w14:paraId="79AFC9AC">
      <w:pPr>
        <w:pStyle w:val="4"/>
        <w:bidi w:val="0"/>
        <w:rPr>
          <w:highlight w:val="none"/>
        </w:rPr>
      </w:pPr>
      <w:bookmarkStart w:id="28" w:name="_Toc26576"/>
      <w:bookmarkStart w:id="29" w:name="_Toc6682"/>
      <w:r>
        <w:rPr>
          <w:highlight w:val="none"/>
        </w:rPr>
        <w:t>2</w:t>
      </w:r>
      <w:r>
        <w:rPr>
          <w:rFonts w:hint="eastAsia"/>
          <w:highlight w:val="none"/>
          <w:lang w:val="en-US" w:eastAsia="zh-CN"/>
        </w:rPr>
        <w:t>.</w:t>
      </w:r>
      <w:r>
        <w:rPr>
          <w:highlight w:val="none"/>
        </w:rPr>
        <w:t>绩效评价方法</w:t>
      </w:r>
      <w:bookmarkEnd w:id="28"/>
      <w:bookmarkEnd w:id="29"/>
    </w:p>
    <w:p w14:paraId="15AD6D88">
      <w:pPr>
        <w:bidi w:val="0"/>
        <w:rPr>
          <w:rFonts w:hint="eastAsia"/>
          <w:highlight w:val="none"/>
          <w:lang w:val="en-US" w:eastAsia="zh-CN"/>
        </w:rPr>
      </w:pPr>
      <w:r>
        <w:rPr>
          <w:rFonts w:hint="eastAsia"/>
          <w:highlight w:val="none"/>
          <w:lang w:val="en-US" w:eastAsia="zh-CN"/>
        </w:rPr>
        <w:t xml:space="preserve">（1）成本效益分析法：是指将一定时期内的支出与效益进行对比分析以评价绩效目标实现程度。 </w:t>
      </w:r>
    </w:p>
    <w:p w14:paraId="6099C068">
      <w:pPr>
        <w:bidi w:val="0"/>
        <w:rPr>
          <w:rFonts w:hint="eastAsia"/>
          <w:highlight w:val="none"/>
          <w:lang w:val="en-US" w:eastAsia="zh-CN"/>
        </w:rPr>
      </w:pPr>
      <w:r>
        <w:rPr>
          <w:rFonts w:hint="eastAsia"/>
          <w:highlight w:val="none"/>
          <w:lang w:val="en-US" w:eastAsia="zh-CN"/>
        </w:rPr>
        <w:t xml:space="preserve">（2）比较法：是指通过对绩效目标与实施效果、历史与当期情况、不同部门和地区同类支出的比较，综合分析绩效目标实现程度。 </w:t>
      </w:r>
    </w:p>
    <w:p w14:paraId="3DD70CBE">
      <w:pPr>
        <w:bidi w:val="0"/>
        <w:rPr>
          <w:rFonts w:hint="eastAsia"/>
          <w:highlight w:val="none"/>
          <w:lang w:val="en-US" w:eastAsia="zh-CN"/>
        </w:rPr>
      </w:pPr>
      <w:r>
        <w:rPr>
          <w:rFonts w:hint="eastAsia"/>
          <w:highlight w:val="none"/>
          <w:lang w:val="en-US" w:eastAsia="zh-CN"/>
        </w:rPr>
        <w:t xml:space="preserve">（3）因素分析法：是指通过综合分析影响绩效目标实现、 实施效果的内外因素，评价绩效目标实现程度。 </w:t>
      </w:r>
    </w:p>
    <w:p w14:paraId="171DC487">
      <w:pPr>
        <w:bidi w:val="0"/>
        <w:rPr>
          <w:rFonts w:hint="eastAsia"/>
          <w:highlight w:val="none"/>
          <w:lang w:val="en-US" w:eastAsia="zh-CN"/>
        </w:rPr>
      </w:pPr>
      <w:r>
        <w:rPr>
          <w:rFonts w:hint="eastAsia"/>
          <w:highlight w:val="none"/>
          <w:lang w:val="en-US" w:eastAsia="zh-CN"/>
        </w:rPr>
        <w:t xml:space="preserve">（4）公众评判法：是指通过专家评估、公众问卷及抽样、调查等对财政支出效果进行评判，评价绩效目标实现程度。 </w:t>
      </w:r>
    </w:p>
    <w:p w14:paraId="28F044CF">
      <w:pPr>
        <w:bidi w:val="0"/>
        <w:rPr>
          <w:rFonts w:hint="eastAsia"/>
          <w:highlight w:val="none"/>
          <w:lang w:val="en-US" w:eastAsia="zh-CN"/>
        </w:rPr>
      </w:pPr>
      <w:r>
        <w:rPr>
          <w:rFonts w:hint="eastAsia"/>
          <w:highlight w:val="none"/>
          <w:lang w:val="en-US" w:eastAsia="zh-CN"/>
        </w:rPr>
        <w:t xml:space="preserve">（5）其他评价方法。 </w:t>
      </w:r>
    </w:p>
    <w:p w14:paraId="46445877">
      <w:pPr>
        <w:bidi w:val="0"/>
        <w:rPr>
          <w:rFonts w:hint="eastAsia"/>
          <w:highlight w:val="none"/>
          <w:lang w:val="en-US" w:eastAsia="zh-CN"/>
        </w:rPr>
      </w:pPr>
      <w:r>
        <w:rPr>
          <w:rFonts w:hint="eastAsia"/>
          <w:highlight w:val="none"/>
          <w:lang w:val="en-US" w:eastAsia="zh-CN"/>
        </w:rPr>
        <w:t>本次评定采用目标预定与实施效果比较法，兼以因素分析法，采取数据对比，标准和抽样调查相结合，同时辅以访谈、问卷调查等进行评分，以定量考核与定性分析相结合，汇总形成评价综合得分。</w:t>
      </w:r>
    </w:p>
    <w:p w14:paraId="23B66CB3">
      <w:pPr>
        <w:pStyle w:val="4"/>
        <w:bidi w:val="0"/>
        <w:rPr>
          <w:highlight w:val="none"/>
        </w:rPr>
      </w:pPr>
      <w:bookmarkStart w:id="30" w:name="_Toc2638"/>
      <w:bookmarkStart w:id="31" w:name="_Toc7052"/>
      <w:r>
        <w:rPr>
          <w:highlight w:val="none"/>
          <w:lang w:val="en-US" w:eastAsia="zh-CN"/>
        </w:rPr>
        <w:t>3</w:t>
      </w:r>
      <w:r>
        <w:rPr>
          <w:rFonts w:hint="eastAsia"/>
          <w:highlight w:val="none"/>
          <w:lang w:val="en-US" w:eastAsia="zh-CN"/>
        </w:rPr>
        <w:t>.</w:t>
      </w:r>
      <w:r>
        <w:rPr>
          <w:highlight w:val="none"/>
          <w:lang w:val="en-US" w:eastAsia="zh-CN"/>
        </w:rPr>
        <w:t>绩效评价标准</w:t>
      </w:r>
      <w:bookmarkEnd w:id="30"/>
      <w:bookmarkEnd w:id="31"/>
      <w:r>
        <w:rPr>
          <w:highlight w:val="none"/>
          <w:lang w:val="en-US" w:eastAsia="zh-CN"/>
        </w:rPr>
        <w:t xml:space="preserve"> </w:t>
      </w:r>
    </w:p>
    <w:p w14:paraId="561B6CE0">
      <w:pPr>
        <w:bidi w:val="0"/>
        <w:rPr>
          <w:rFonts w:hint="eastAsia"/>
          <w:highlight w:val="none"/>
          <w:lang w:val="en-US" w:eastAsia="zh-CN"/>
        </w:rPr>
      </w:pPr>
      <w:r>
        <w:rPr>
          <w:rFonts w:hint="eastAsia"/>
          <w:highlight w:val="none"/>
          <w:lang w:val="en-US" w:eastAsia="zh-CN"/>
        </w:rPr>
        <w:t xml:space="preserve">（1）计划标准。是指以预先制定的目标、计划、预算、定额等数据作为评价的标准。 </w:t>
      </w:r>
    </w:p>
    <w:p w14:paraId="0EF7EBB3">
      <w:pPr>
        <w:bidi w:val="0"/>
        <w:rPr>
          <w:rFonts w:hint="eastAsia"/>
          <w:highlight w:val="none"/>
          <w:lang w:val="en-US" w:eastAsia="zh-CN"/>
        </w:rPr>
      </w:pPr>
      <w:r>
        <w:rPr>
          <w:rFonts w:hint="eastAsia"/>
          <w:highlight w:val="none"/>
          <w:lang w:val="en-US" w:eastAsia="zh-CN"/>
        </w:rPr>
        <w:t xml:space="preserve">（2）行业标准。是指参照国家公布的行业指标数据制定的评价标准。 </w:t>
      </w:r>
    </w:p>
    <w:p w14:paraId="1E130CC5">
      <w:pPr>
        <w:bidi w:val="0"/>
        <w:rPr>
          <w:rFonts w:hint="eastAsia"/>
          <w:highlight w:val="none"/>
          <w:lang w:val="en-US" w:eastAsia="zh-CN"/>
        </w:rPr>
      </w:pPr>
      <w:r>
        <w:rPr>
          <w:rFonts w:hint="eastAsia"/>
          <w:highlight w:val="none"/>
          <w:lang w:val="en-US" w:eastAsia="zh-CN"/>
        </w:rPr>
        <w:t>（3）历史标准。是指参照同类指标的历史数据制定的评价标准。</w:t>
      </w:r>
    </w:p>
    <w:p w14:paraId="0192B246">
      <w:pPr>
        <w:bidi w:val="0"/>
        <w:rPr>
          <w:rFonts w:hint="eastAsia"/>
          <w:highlight w:val="none"/>
          <w:lang w:val="en-US" w:eastAsia="zh-CN"/>
        </w:rPr>
      </w:pPr>
      <w:r>
        <w:rPr>
          <w:rFonts w:hint="eastAsia"/>
          <w:highlight w:val="none"/>
          <w:lang w:val="en-US" w:eastAsia="zh-CN"/>
        </w:rPr>
        <w:t>（4）其他标准。</w:t>
      </w:r>
    </w:p>
    <w:p w14:paraId="55A222B0">
      <w:pPr>
        <w:bidi w:val="0"/>
        <w:rPr>
          <w:rFonts w:hint="eastAsia"/>
          <w:highlight w:val="none"/>
          <w:lang w:val="en-US" w:eastAsia="zh-CN"/>
        </w:rPr>
      </w:pPr>
      <w:r>
        <w:rPr>
          <w:rFonts w:hint="eastAsia"/>
          <w:highlight w:val="none"/>
          <w:lang w:val="en-US" w:eastAsia="zh-CN"/>
        </w:rPr>
        <w:t>本次绩效评价，工作组采用计划标准和历史标准相结合的方式，对绩效指标完成情况进行比较。</w:t>
      </w:r>
    </w:p>
    <w:p w14:paraId="5F9BE837">
      <w:pPr>
        <w:pStyle w:val="3"/>
        <w:bidi w:val="0"/>
        <w:rPr>
          <w:highlight w:val="none"/>
        </w:rPr>
      </w:pPr>
      <w:bookmarkStart w:id="32" w:name="_Toc30104"/>
      <w:r>
        <w:rPr>
          <w:rFonts w:hint="eastAsia"/>
          <w:highlight w:val="none"/>
          <w:lang w:eastAsia="zh-CN"/>
        </w:rPr>
        <w:t>（</w:t>
      </w:r>
      <w:r>
        <w:rPr>
          <w:rFonts w:hint="eastAsia"/>
          <w:highlight w:val="none"/>
          <w:lang w:val="en-US" w:eastAsia="zh-CN"/>
        </w:rPr>
        <w:t>五</w:t>
      </w:r>
      <w:r>
        <w:rPr>
          <w:rFonts w:hint="eastAsia"/>
          <w:highlight w:val="none"/>
          <w:lang w:eastAsia="zh-CN"/>
        </w:rPr>
        <w:t>）</w:t>
      </w:r>
      <w:r>
        <w:rPr>
          <w:rFonts w:hint="eastAsia"/>
          <w:highlight w:val="none"/>
        </w:rPr>
        <w:t>绩效评价</w:t>
      </w:r>
      <w:r>
        <w:rPr>
          <w:highlight w:val="none"/>
        </w:rPr>
        <w:t>指标体系</w:t>
      </w:r>
      <w:bookmarkEnd w:id="32"/>
    </w:p>
    <w:p w14:paraId="14E19A1D">
      <w:pPr>
        <w:pStyle w:val="4"/>
        <w:bidi w:val="0"/>
        <w:rPr>
          <w:highlight w:val="none"/>
        </w:rPr>
      </w:pPr>
      <w:bookmarkStart w:id="33" w:name="_Toc11513"/>
      <w:r>
        <w:rPr>
          <w:rFonts w:hint="eastAsia"/>
          <w:highlight w:val="none"/>
          <w:lang w:val="en-US" w:eastAsia="zh-CN"/>
        </w:rPr>
        <w:t>1.</w:t>
      </w:r>
      <w:r>
        <w:rPr>
          <w:highlight w:val="none"/>
        </w:rPr>
        <w:t>评价指标设计的总体思路</w:t>
      </w:r>
      <w:bookmarkEnd w:id="33"/>
    </w:p>
    <w:p w14:paraId="4CCE105F">
      <w:pPr>
        <w:bidi w:val="0"/>
        <w:rPr>
          <w:highlight w:val="none"/>
        </w:rPr>
      </w:pPr>
      <w:r>
        <w:rPr>
          <w:rFonts w:hint="eastAsia"/>
          <w:highlight w:val="none"/>
        </w:rPr>
        <w:t>参照绩效评价的基本原理、原则和项目特点，评价组结合</w:t>
      </w:r>
      <w:r>
        <w:rPr>
          <w:rFonts w:hint="eastAsia"/>
          <w:highlight w:val="none"/>
          <w:lang w:val="en-US" w:eastAsia="zh-CN"/>
        </w:rPr>
        <w:t>《</w:t>
      </w:r>
      <w:r>
        <w:rPr>
          <w:highlight w:val="none"/>
        </w:rPr>
        <w:t>中共三门峡市委 三门峡市人民政府关于全面实施预算绩效管理的实施意见》（三发</w:t>
      </w:r>
      <w:r>
        <w:rPr>
          <w:rFonts w:hint="eastAsia"/>
          <w:highlight w:val="none"/>
          <w:lang w:eastAsia="zh-CN"/>
        </w:rPr>
        <w:t>〔</w:t>
      </w:r>
      <w:r>
        <w:rPr>
          <w:rFonts w:hint="default"/>
          <w:highlight w:val="none"/>
        </w:rPr>
        <w:t>20</w:t>
      </w:r>
      <w:r>
        <w:rPr>
          <w:rFonts w:hint="eastAsia"/>
          <w:highlight w:val="none"/>
          <w:lang w:val="en-US" w:eastAsia="zh-CN"/>
        </w:rPr>
        <w:t>21</w:t>
      </w:r>
      <w:r>
        <w:rPr>
          <w:rFonts w:hint="eastAsia"/>
          <w:highlight w:val="none"/>
          <w:lang w:eastAsia="zh-CN"/>
        </w:rPr>
        <w:t>〕</w:t>
      </w:r>
      <w:r>
        <w:rPr>
          <w:highlight w:val="none"/>
        </w:rPr>
        <w:t>1</w:t>
      </w:r>
      <w:r>
        <w:rPr>
          <w:rFonts w:hint="eastAsia"/>
          <w:highlight w:val="none"/>
          <w:lang w:val="en-US" w:eastAsia="zh-CN"/>
        </w:rPr>
        <w:t>4</w:t>
      </w:r>
      <w:r>
        <w:rPr>
          <w:highlight w:val="none"/>
        </w:rPr>
        <w:t>号）</w:t>
      </w:r>
      <w:r>
        <w:rPr>
          <w:rFonts w:hint="eastAsia"/>
          <w:highlight w:val="none"/>
        </w:rPr>
        <w:t>等相关文件的要求，在对</w:t>
      </w:r>
      <w:r>
        <w:rPr>
          <w:rFonts w:hint="eastAsia"/>
          <w:highlight w:val="none"/>
          <w:lang w:val="en-US" w:eastAsia="zh-CN"/>
        </w:rPr>
        <w:t>部门整体的概况</w:t>
      </w:r>
      <w:r>
        <w:rPr>
          <w:rFonts w:hint="eastAsia"/>
          <w:highlight w:val="none"/>
        </w:rPr>
        <w:t>、</w:t>
      </w:r>
      <w:r>
        <w:rPr>
          <w:rFonts w:hint="eastAsia"/>
          <w:highlight w:val="none"/>
          <w:lang w:val="en-US" w:eastAsia="zh-CN"/>
        </w:rPr>
        <w:t>预决算</w:t>
      </w:r>
      <w:r>
        <w:rPr>
          <w:rFonts w:hint="eastAsia"/>
          <w:highlight w:val="none"/>
        </w:rPr>
        <w:t>、绩效目标梳理归纳的基础上，</w:t>
      </w:r>
      <w:r>
        <w:rPr>
          <w:rFonts w:hint="eastAsia"/>
          <w:highlight w:val="none"/>
          <w:lang w:val="en-US" w:eastAsia="zh-CN"/>
        </w:rPr>
        <w:t>以</w:t>
      </w:r>
      <w:r>
        <w:rPr>
          <w:rFonts w:hint="eastAsia"/>
          <w:highlight w:val="none"/>
          <w:lang w:eastAsia="zh-CN"/>
        </w:rPr>
        <w:t>中共三门峡市陕州区委宣传部</w:t>
      </w:r>
      <w:r>
        <w:rPr>
          <w:rFonts w:hint="eastAsia"/>
          <w:highlight w:val="none"/>
          <w:lang w:val="en-US" w:eastAsia="zh-CN"/>
        </w:rPr>
        <w:t>2024年度预算执行</w:t>
      </w:r>
      <w:r>
        <w:rPr>
          <w:rFonts w:hint="eastAsia"/>
          <w:highlight w:val="none"/>
        </w:rPr>
        <w:t>情况为主要绩效评价内容，围绕投入管理、产出、效益</w:t>
      </w:r>
      <w:r>
        <w:rPr>
          <w:rFonts w:hint="eastAsia"/>
          <w:highlight w:val="none"/>
          <w:lang w:val="en-US" w:eastAsia="zh-CN"/>
        </w:rPr>
        <w:t>三</w:t>
      </w:r>
      <w:r>
        <w:rPr>
          <w:rFonts w:hint="eastAsia"/>
          <w:highlight w:val="none"/>
        </w:rPr>
        <w:t>方面设计评价指标体系。客观分析项目的产出和效益，确定指标名称、内容，并结合历史经验、指标的重要性</w:t>
      </w:r>
      <w:r>
        <w:rPr>
          <w:rFonts w:hint="eastAsia" w:eastAsia="宋体"/>
          <w:highlight w:val="none"/>
          <w:lang w:val="en-US" w:eastAsia="zh-CN"/>
        </w:rPr>
        <w:t>等</w:t>
      </w:r>
      <w:r>
        <w:rPr>
          <w:rFonts w:hint="eastAsia"/>
          <w:highlight w:val="none"/>
        </w:rPr>
        <w:t>设置三级指标权重和评分标准，体现从投入管理到产出、效益的绩效逻辑路径，以增强评价的科学性、严谨性和可行性。根据各指标对项目资金管理与绩效目标实现的重要性赋予权重，</w:t>
      </w:r>
      <w:r>
        <w:rPr>
          <w:rFonts w:hint="eastAsia" w:eastAsia="宋体"/>
          <w:highlight w:val="none"/>
          <w:lang w:val="en-US" w:eastAsia="zh-CN"/>
        </w:rPr>
        <w:t>最终</w:t>
      </w:r>
      <w:r>
        <w:rPr>
          <w:rFonts w:hint="eastAsia"/>
          <w:highlight w:val="none"/>
        </w:rPr>
        <w:t>形成</w:t>
      </w:r>
      <w:r>
        <w:rPr>
          <w:rFonts w:hint="eastAsia"/>
          <w:highlight w:val="none"/>
          <w:lang w:eastAsia="zh-CN"/>
        </w:rPr>
        <w:t>中共三门峡市陕州区委宣传部</w:t>
      </w:r>
      <w:r>
        <w:rPr>
          <w:rFonts w:hint="eastAsia"/>
          <w:highlight w:val="none"/>
        </w:rPr>
        <w:t>绩效评价指标体系。</w:t>
      </w:r>
    </w:p>
    <w:p w14:paraId="0F4AACAF">
      <w:pPr>
        <w:pStyle w:val="4"/>
        <w:bidi w:val="0"/>
        <w:rPr>
          <w:highlight w:val="none"/>
        </w:rPr>
      </w:pPr>
      <w:bookmarkStart w:id="34" w:name="_Toc21584"/>
      <w:r>
        <w:rPr>
          <w:rFonts w:hint="eastAsia"/>
          <w:highlight w:val="none"/>
          <w:lang w:val="en-US" w:eastAsia="zh-CN"/>
        </w:rPr>
        <w:t>2.</w:t>
      </w:r>
      <w:r>
        <w:rPr>
          <w:highlight w:val="none"/>
        </w:rPr>
        <w:t>评价指标</w:t>
      </w:r>
      <w:bookmarkEnd w:id="34"/>
    </w:p>
    <w:p w14:paraId="25030584">
      <w:pPr>
        <w:bidi w:val="0"/>
        <w:rPr>
          <w:highlight w:val="none"/>
        </w:rPr>
      </w:pPr>
      <w:r>
        <w:rPr>
          <w:highlight w:val="none"/>
        </w:rPr>
        <w:t>本项目指标体系从</w:t>
      </w:r>
      <w:r>
        <w:rPr>
          <w:rFonts w:hint="eastAsia"/>
          <w:highlight w:val="none"/>
        </w:rPr>
        <w:t>投入管理</w:t>
      </w:r>
      <w:r>
        <w:rPr>
          <w:highlight w:val="none"/>
        </w:rPr>
        <w:t>、产出</w:t>
      </w:r>
      <w:r>
        <w:rPr>
          <w:rFonts w:hint="eastAsia"/>
          <w:highlight w:val="none"/>
        </w:rPr>
        <w:t>、效益</w:t>
      </w:r>
      <w:r>
        <w:rPr>
          <w:rFonts w:hint="eastAsia"/>
          <w:highlight w:val="none"/>
          <w:lang w:val="en-US" w:eastAsia="zh-CN"/>
        </w:rPr>
        <w:t>三</w:t>
      </w:r>
      <w:r>
        <w:rPr>
          <w:highlight w:val="none"/>
        </w:rPr>
        <w:t>个方面进行分析</w:t>
      </w:r>
      <w:r>
        <w:rPr>
          <w:rFonts w:hint="eastAsia"/>
          <w:highlight w:val="none"/>
        </w:rPr>
        <w:t>，由</w:t>
      </w:r>
      <w:r>
        <w:rPr>
          <w:rFonts w:hint="eastAsia"/>
          <w:highlight w:val="none"/>
          <w:lang w:val="en-US" w:eastAsia="zh-CN"/>
        </w:rPr>
        <w:t>3</w:t>
      </w:r>
      <w:r>
        <w:rPr>
          <w:rFonts w:hint="eastAsia"/>
          <w:highlight w:val="none"/>
        </w:rPr>
        <w:t>项一级指标、</w:t>
      </w:r>
      <w:r>
        <w:rPr>
          <w:rFonts w:hint="eastAsia"/>
          <w:highlight w:val="none"/>
          <w:lang w:val="en-US" w:eastAsia="zh-CN"/>
        </w:rPr>
        <w:t>6</w:t>
      </w:r>
      <w:r>
        <w:rPr>
          <w:rFonts w:hint="eastAsia"/>
          <w:highlight w:val="none"/>
        </w:rPr>
        <w:t>项二级指标、</w:t>
      </w:r>
      <w:r>
        <w:rPr>
          <w:rFonts w:hint="eastAsia"/>
          <w:highlight w:val="none"/>
          <w:lang w:val="en-US" w:eastAsia="zh-CN"/>
        </w:rPr>
        <w:t>29</w:t>
      </w:r>
      <w:r>
        <w:rPr>
          <w:rFonts w:hint="eastAsia"/>
          <w:highlight w:val="none"/>
        </w:rPr>
        <w:t>项三级指标构成。</w:t>
      </w:r>
    </w:p>
    <w:p w14:paraId="09AE0EF8">
      <w:pPr>
        <w:bidi w:val="0"/>
        <w:rPr>
          <w:b/>
          <w:bCs/>
          <w:highlight w:val="none"/>
        </w:rPr>
      </w:pPr>
      <w:r>
        <w:rPr>
          <w:rFonts w:hint="eastAsia"/>
          <w:b/>
          <w:bCs/>
          <w:highlight w:val="none"/>
          <w:lang w:val="en-US" w:eastAsia="zh-CN"/>
        </w:rPr>
        <w:t>①</w:t>
      </w:r>
      <w:r>
        <w:rPr>
          <w:rFonts w:hint="eastAsia"/>
          <w:b/>
          <w:bCs/>
          <w:highlight w:val="none"/>
        </w:rPr>
        <w:t>投入管理</w:t>
      </w:r>
    </w:p>
    <w:p w14:paraId="323AEC9D">
      <w:pPr>
        <w:bidi w:val="0"/>
        <w:rPr>
          <w:highlight w:val="none"/>
        </w:rPr>
      </w:pPr>
      <w:r>
        <w:rPr>
          <w:highlight w:val="none"/>
        </w:rPr>
        <w:t>本项目从</w:t>
      </w:r>
      <w:r>
        <w:rPr>
          <w:rFonts w:hint="eastAsia"/>
          <w:highlight w:val="none"/>
        </w:rPr>
        <w:t>工作目标管理</w:t>
      </w:r>
      <w:r>
        <w:rPr>
          <w:highlight w:val="none"/>
        </w:rPr>
        <w:t>、</w:t>
      </w:r>
      <w:r>
        <w:rPr>
          <w:rFonts w:hint="eastAsia"/>
          <w:highlight w:val="none"/>
        </w:rPr>
        <w:t>预算和财务管理</w:t>
      </w:r>
      <w:r>
        <w:rPr>
          <w:rFonts w:hint="eastAsia" w:eastAsia="宋体"/>
          <w:highlight w:val="none"/>
          <w:lang w:val="en-US" w:eastAsia="zh-CN"/>
        </w:rPr>
        <w:t>及</w:t>
      </w:r>
      <w:r>
        <w:rPr>
          <w:rFonts w:hint="eastAsia"/>
          <w:highlight w:val="none"/>
        </w:rPr>
        <w:t>绩效管理</w:t>
      </w:r>
      <w:r>
        <w:rPr>
          <w:highlight w:val="none"/>
        </w:rPr>
        <w:t>三个角度</w:t>
      </w:r>
      <w:r>
        <w:rPr>
          <w:rFonts w:hint="eastAsia"/>
          <w:highlight w:val="none"/>
        </w:rPr>
        <w:t>进行分析</w:t>
      </w:r>
      <w:r>
        <w:rPr>
          <w:highlight w:val="none"/>
        </w:rPr>
        <w:t>，主要考察</w:t>
      </w:r>
      <w:r>
        <w:rPr>
          <w:rFonts w:hint="eastAsia"/>
          <w:highlight w:val="none"/>
        </w:rPr>
        <w:t>年度</w:t>
      </w:r>
      <w:r>
        <w:rPr>
          <w:highlight w:val="none"/>
        </w:rPr>
        <w:t>绩效</w:t>
      </w:r>
      <w:r>
        <w:rPr>
          <w:rFonts w:hint="eastAsia"/>
          <w:highlight w:val="none"/>
          <w:lang w:val="en-US" w:eastAsia="zh-CN"/>
        </w:rPr>
        <w:t>指标</w:t>
      </w:r>
      <w:r>
        <w:rPr>
          <w:highlight w:val="none"/>
        </w:rPr>
        <w:t>合理性、</w:t>
      </w:r>
      <w:r>
        <w:rPr>
          <w:rFonts w:hint="eastAsia"/>
          <w:highlight w:val="none"/>
          <w:lang w:val="en-US" w:eastAsia="zh-CN"/>
        </w:rPr>
        <w:t>资金使用合规性、管理制度健全性、部门绩效评价完成率</w:t>
      </w:r>
      <w:r>
        <w:rPr>
          <w:highlight w:val="none"/>
        </w:rPr>
        <w:t>等</w:t>
      </w:r>
      <w:r>
        <w:rPr>
          <w:rFonts w:hint="eastAsia"/>
          <w:highlight w:val="none"/>
        </w:rPr>
        <w:t>。</w:t>
      </w:r>
    </w:p>
    <w:p w14:paraId="3F780145">
      <w:pPr>
        <w:bidi w:val="0"/>
        <w:rPr>
          <w:b/>
          <w:bCs/>
          <w:highlight w:val="none"/>
        </w:rPr>
      </w:pPr>
      <w:r>
        <w:rPr>
          <w:rFonts w:hint="eastAsia"/>
          <w:b/>
          <w:bCs/>
          <w:highlight w:val="none"/>
          <w:lang w:val="en-US" w:eastAsia="zh-CN"/>
        </w:rPr>
        <w:t>②</w:t>
      </w:r>
      <w:r>
        <w:rPr>
          <w:b/>
          <w:bCs/>
          <w:highlight w:val="none"/>
        </w:rPr>
        <w:t>产出</w:t>
      </w:r>
    </w:p>
    <w:p w14:paraId="2655883B">
      <w:pPr>
        <w:bidi w:val="0"/>
        <w:rPr>
          <w:highlight w:val="none"/>
        </w:rPr>
      </w:pPr>
      <w:r>
        <w:rPr>
          <w:highlight w:val="none"/>
        </w:rPr>
        <w:t>本项目从</w:t>
      </w:r>
      <w:r>
        <w:rPr>
          <w:rFonts w:hint="eastAsia"/>
          <w:highlight w:val="none"/>
          <w:lang w:val="en-US" w:eastAsia="zh-CN"/>
        </w:rPr>
        <w:t>重点工作任务完成</w:t>
      </w:r>
      <w:r>
        <w:rPr>
          <w:highlight w:val="none"/>
        </w:rPr>
        <w:t>角度</w:t>
      </w:r>
      <w:r>
        <w:rPr>
          <w:rFonts w:hint="eastAsia"/>
          <w:highlight w:val="none"/>
        </w:rPr>
        <w:t>进行分析</w:t>
      </w:r>
      <w:r>
        <w:rPr>
          <w:highlight w:val="none"/>
        </w:rPr>
        <w:t>，主要考察</w:t>
      </w:r>
      <w:r>
        <w:rPr>
          <w:rFonts w:hint="eastAsia"/>
          <w:highlight w:val="none"/>
          <w:lang w:val="en-US" w:eastAsia="zh-CN"/>
        </w:rPr>
        <w:t>本年任务具体完成情况</w:t>
      </w:r>
      <w:r>
        <w:rPr>
          <w:highlight w:val="none"/>
        </w:rPr>
        <w:t>。</w:t>
      </w:r>
    </w:p>
    <w:p w14:paraId="26DD6B42">
      <w:pPr>
        <w:bidi w:val="0"/>
        <w:rPr>
          <w:b/>
          <w:bCs/>
          <w:highlight w:val="none"/>
        </w:rPr>
      </w:pPr>
      <w:r>
        <w:rPr>
          <w:rFonts w:hint="eastAsia"/>
          <w:b/>
          <w:bCs/>
          <w:highlight w:val="none"/>
          <w:lang w:val="en-US" w:eastAsia="zh-CN"/>
        </w:rPr>
        <w:t>③</w:t>
      </w:r>
      <w:r>
        <w:rPr>
          <w:b/>
          <w:bCs/>
          <w:highlight w:val="none"/>
        </w:rPr>
        <w:t>效益</w:t>
      </w:r>
    </w:p>
    <w:p w14:paraId="69258A30">
      <w:pPr>
        <w:bidi w:val="0"/>
        <w:rPr>
          <w:highlight w:val="none"/>
        </w:rPr>
      </w:pPr>
      <w:r>
        <w:rPr>
          <w:highlight w:val="none"/>
        </w:rPr>
        <w:t>本项目从</w:t>
      </w:r>
      <w:r>
        <w:rPr>
          <w:rFonts w:hint="eastAsia"/>
          <w:highlight w:val="none"/>
        </w:rPr>
        <w:t>履职效益</w:t>
      </w:r>
      <w:r>
        <w:rPr>
          <w:rFonts w:hint="eastAsia" w:eastAsia="宋体"/>
          <w:highlight w:val="none"/>
          <w:lang w:eastAsia="zh-CN"/>
        </w:rPr>
        <w:t>、</w:t>
      </w:r>
      <w:r>
        <w:rPr>
          <w:rFonts w:hint="eastAsia" w:eastAsia="宋体"/>
          <w:highlight w:val="none"/>
          <w:lang w:val="en-US" w:eastAsia="zh-CN"/>
        </w:rPr>
        <w:t>满意度</w:t>
      </w:r>
      <w:r>
        <w:rPr>
          <w:rFonts w:hint="eastAsia"/>
          <w:highlight w:val="none"/>
          <w:lang w:val="en-US" w:eastAsia="zh-CN"/>
        </w:rPr>
        <w:t>两</w:t>
      </w:r>
      <w:r>
        <w:rPr>
          <w:rFonts w:hint="eastAsia"/>
          <w:highlight w:val="none"/>
        </w:rPr>
        <w:t>个角度进行分析，主要考察</w:t>
      </w:r>
      <w:r>
        <w:rPr>
          <w:rFonts w:hint="eastAsia"/>
          <w:highlight w:val="none"/>
          <w:lang w:val="en-US" w:eastAsia="zh-CN"/>
        </w:rPr>
        <w:t>宣传和精神文明建设成效、网络意识形态维稳效益、重量级媒发稿数量、社会公众满意度以及内部工作人员</w:t>
      </w:r>
      <w:r>
        <w:rPr>
          <w:rFonts w:hint="eastAsia"/>
          <w:highlight w:val="none"/>
        </w:rPr>
        <w:t>满意度</w:t>
      </w:r>
      <w:r>
        <w:rPr>
          <w:rFonts w:hint="eastAsia"/>
          <w:highlight w:val="none"/>
          <w:lang w:val="en-US" w:eastAsia="zh-CN"/>
        </w:rPr>
        <w:t>情况</w:t>
      </w:r>
      <w:r>
        <w:rPr>
          <w:rFonts w:hint="eastAsia"/>
          <w:highlight w:val="none"/>
        </w:rPr>
        <w:t>等</w:t>
      </w:r>
      <w:r>
        <w:rPr>
          <w:highlight w:val="none"/>
        </w:rPr>
        <w:t>。</w:t>
      </w:r>
    </w:p>
    <w:p w14:paraId="5EAD0972">
      <w:pPr>
        <w:pStyle w:val="4"/>
        <w:bidi w:val="0"/>
        <w:rPr>
          <w:rFonts w:hint="eastAsia"/>
          <w:highlight w:val="none"/>
          <w:lang w:val="en-US" w:eastAsia="zh-CN"/>
        </w:rPr>
      </w:pPr>
      <w:bookmarkStart w:id="35" w:name="_Toc2635"/>
      <w:r>
        <w:rPr>
          <w:rFonts w:hint="eastAsia"/>
          <w:highlight w:val="none"/>
          <w:lang w:val="en-US" w:eastAsia="zh-CN"/>
        </w:rPr>
        <w:t>3.评价结果的确定</w:t>
      </w:r>
      <w:bookmarkEnd w:id="35"/>
    </w:p>
    <w:p w14:paraId="578ABBB8">
      <w:pPr>
        <w:bidi w:val="0"/>
        <w:rPr>
          <w:rFonts w:hint="eastAsia"/>
          <w:highlight w:val="none"/>
          <w:lang w:val="en-US" w:eastAsia="zh-CN"/>
        </w:rPr>
      </w:pPr>
      <w:r>
        <w:rPr>
          <w:highlight w:val="none"/>
        </w:rPr>
        <w:t>根据《河南省财政厅关于印发</w:t>
      </w:r>
      <w:r>
        <w:rPr>
          <w:rFonts w:hint="eastAsia"/>
          <w:highlight w:val="none"/>
          <w:lang w:val="en-US" w:eastAsia="zh-CN"/>
        </w:rPr>
        <w:t>&lt;</w:t>
      </w:r>
      <w:r>
        <w:rPr>
          <w:highlight w:val="none"/>
        </w:rPr>
        <w:t>河南省省级预算项目支出绩效评价管理办法</w:t>
      </w:r>
      <w:r>
        <w:rPr>
          <w:rFonts w:hint="eastAsia"/>
          <w:highlight w:val="none"/>
          <w:lang w:val="en-US" w:eastAsia="zh-CN"/>
        </w:rPr>
        <w:t>&gt;</w:t>
      </w:r>
      <w:r>
        <w:rPr>
          <w:highlight w:val="none"/>
        </w:rPr>
        <w:t>的通知》（豫财效</w:t>
      </w:r>
      <w:r>
        <w:rPr>
          <w:rFonts w:hint="eastAsia"/>
          <w:highlight w:val="none"/>
          <w:lang w:eastAsia="zh-CN"/>
        </w:rPr>
        <w:t>〔</w:t>
      </w:r>
      <w:r>
        <w:rPr>
          <w:rFonts w:hint="eastAsia"/>
          <w:highlight w:val="none"/>
          <w:lang w:val="en-US" w:eastAsia="zh-CN"/>
        </w:rPr>
        <w:t>2020</w:t>
      </w:r>
      <w:r>
        <w:rPr>
          <w:rFonts w:hint="eastAsia"/>
          <w:highlight w:val="none"/>
          <w:lang w:eastAsia="zh-CN"/>
        </w:rPr>
        <w:t>〕</w:t>
      </w:r>
      <w:r>
        <w:rPr>
          <w:highlight w:val="none"/>
        </w:rPr>
        <w:t>10号），本次绩效评价结果采取评分和评级相结合的方式，具体分值和等级根据不同评价内容设定。</w:t>
      </w:r>
      <w:r>
        <w:rPr>
          <w:rFonts w:hint="eastAsia"/>
          <w:highlight w:val="none"/>
          <w:lang w:val="en-US" w:eastAsia="zh-CN"/>
        </w:rPr>
        <w:t>分值评级详见下表：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3654"/>
        <w:gridCol w:w="2999"/>
      </w:tblGrid>
      <w:tr w14:paraId="6F9B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5998B470">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序号</w:t>
            </w:r>
          </w:p>
        </w:tc>
        <w:tc>
          <w:tcPr>
            <w:tcW w:w="2030" w:type="pct"/>
            <w:vAlign w:val="center"/>
          </w:tcPr>
          <w:p w14:paraId="360E392B">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分值范围</w:t>
            </w:r>
          </w:p>
        </w:tc>
        <w:tc>
          <w:tcPr>
            <w:tcW w:w="1666" w:type="pct"/>
            <w:vAlign w:val="center"/>
          </w:tcPr>
          <w:p w14:paraId="6B8F42FF">
            <w:pPr>
              <w:bidi w:val="0"/>
              <w:spacing w:line="240" w:lineRule="auto"/>
              <w:ind w:firstLine="0" w:firstLineChars="0"/>
              <w:jc w:val="center"/>
              <w:rPr>
                <w:rFonts w:hint="default"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绩效评价结果</w:t>
            </w:r>
          </w:p>
        </w:tc>
      </w:tr>
      <w:tr w14:paraId="450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28626425">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1</w:t>
            </w:r>
          </w:p>
        </w:tc>
        <w:tc>
          <w:tcPr>
            <w:tcW w:w="2030" w:type="pct"/>
            <w:vAlign w:val="center"/>
          </w:tcPr>
          <w:p w14:paraId="651787FF">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90-100</w:t>
            </w:r>
          </w:p>
        </w:tc>
        <w:tc>
          <w:tcPr>
            <w:tcW w:w="1666" w:type="pct"/>
            <w:vAlign w:val="center"/>
          </w:tcPr>
          <w:p w14:paraId="06E84FF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优</w:t>
            </w:r>
          </w:p>
        </w:tc>
      </w:tr>
      <w:tr w14:paraId="0172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6082D211">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2</w:t>
            </w:r>
          </w:p>
        </w:tc>
        <w:tc>
          <w:tcPr>
            <w:tcW w:w="2030" w:type="pct"/>
            <w:vAlign w:val="center"/>
          </w:tcPr>
          <w:p w14:paraId="60F0A11F">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80-90（不含）</w:t>
            </w:r>
          </w:p>
        </w:tc>
        <w:tc>
          <w:tcPr>
            <w:tcW w:w="1666" w:type="pct"/>
            <w:vAlign w:val="center"/>
          </w:tcPr>
          <w:p w14:paraId="6B11D01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良</w:t>
            </w:r>
          </w:p>
        </w:tc>
      </w:tr>
      <w:tr w14:paraId="4AED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45988A93">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3</w:t>
            </w:r>
          </w:p>
        </w:tc>
        <w:tc>
          <w:tcPr>
            <w:tcW w:w="2030" w:type="pct"/>
            <w:vAlign w:val="center"/>
          </w:tcPr>
          <w:p w14:paraId="608F26F4">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60-80（不含）</w:t>
            </w:r>
          </w:p>
        </w:tc>
        <w:tc>
          <w:tcPr>
            <w:tcW w:w="1666" w:type="pct"/>
            <w:vAlign w:val="center"/>
          </w:tcPr>
          <w:p w14:paraId="65784000">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中</w:t>
            </w:r>
          </w:p>
        </w:tc>
      </w:tr>
      <w:tr w14:paraId="6AD3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193E33D9">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4</w:t>
            </w:r>
          </w:p>
        </w:tc>
        <w:tc>
          <w:tcPr>
            <w:tcW w:w="2030" w:type="pct"/>
            <w:vAlign w:val="center"/>
          </w:tcPr>
          <w:p w14:paraId="38B3F273">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0-60（不含）</w:t>
            </w:r>
          </w:p>
        </w:tc>
        <w:tc>
          <w:tcPr>
            <w:tcW w:w="1666" w:type="pct"/>
            <w:vAlign w:val="center"/>
          </w:tcPr>
          <w:p w14:paraId="01BDA19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差</w:t>
            </w:r>
          </w:p>
        </w:tc>
      </w:tr>
    </w:tbl>
    <w:p w14:paraId="5964E4C6">
      <w:pPr>
        <w:pStyle w:val="3"/>
        <w:bidi w:val="0"/>
        <w:rPr>
          <w:rFonts w:hint="eastAsia"/>
          <w:highlight w:val="none"/>
          <w:lang w:eastAsia="zh-CN"/>
        </w:rPr>
      </w:pPr>
      <w:bookmarkStart w:id="36" w:name="_Toc8000"/>
      <w:bookmarkStart w:id="37" w:name="_Toc26375"/>
      <w:r>
        <w:rPr>
          <w:rFonts w:hint="eastAsia"/>
          <w:highlight w:val="none"/>
          <w:lang w:val="en-US" w:eastAsia="zh-CN"/>
        </w:rPr>
        <w:t>（六）评价工作过程</w:t>
      </w:r>
      <w:bookmarkEnd w:id="36"/>
      <w:bookmarkEnd w:id="37"/>
      <w:r>
        <w:rPr>
          <w:rFonts w:hint="eastAsia"/>
          <w:highlight w:val="none"/>
          <w:lang w:val="en-US" w:eastAsia="zh-CN"/>
        </w:rPr>
        <w:t xml:space="preserve"> </w:t>
      </w:r>
    </w:p>
    <w:p w14:paraId="754EFEB6">
      <w:pPr>
        <w:numPr>
          <w:ilvl w:val="0"/>
          <w:numId w:val="0"/>
        </w:numPr>
        <w:bidi w:val="0"/>
        <w:ind w:left="0" w:leftChars="0" w:firstLine="560" w:firstLineChars="200"/>
        <w:rPr>
          <w:rFonts w:hint="eastAsia"/>
          <w:highlight w:val="yellow"/>
          <w:lang w:val="en-US" w:eastAsia="zh-CN"/>
        </w:rPr>
      </w:pPr>
      <w:bookmarkStart w:id="38" w:name="_Toc8599"/>
      <w:r>
        <w:rPr>
          <w:rFonts w:hint="eastAsia"/>
          <w:highlight w:val="none"/>
        </w:rPr>
        <w:t>绩效评价小组在前期调研的基础上，完成了部门整体绩效评价工作方案，明确了评价的目的、方法、评价的原则、指标体系、评价标准、问卷调查方案及访谈方案等。绩效评价小组严格按照工作方案，经过了数据采集、问卷调查、访谈、数据分析和报告撰写等环节，顺利完成了绩效后评价报告工作。</w:t>
      </w:r>
    </w:p>
    <w:p w14:paraId="4BE0F50C">
      <w:pPr>
        <w:pStyle w:val="2"/>
        <w:bidi w:val="0"/>
        <w:rPr>
          <w:highlight w:val="none"/>
        </w:rPr>
      </w:pPr>
      <w:bookmarkStart w:id="39" w:name="_Toc3258"/>
      <w:r>
        <w:rPr>
          <w:highlight w:val="none"/>
        </w:rPr>
        <w:t>三、综合评价情况及评价结论</w:t>
      </w:r>
      <w:bookmarkEnd w:id="39"/>
    </w:p>
    <w:p w14:paraId="637FDA64">
      <w:pPr>
        <w:pStyle w:val="3"/>
        <w:bidi w:val="0"/>
        <w:rPr>
          <w:highlight w:val="none"/>
        </w:rPr>
      </w:pPr>
      <w:bookmarkStart w:id="40" w:name="_Toc24"/>
      <w:r>
        <w:rPr>
          <w:highlight w:val="none"/>
        </w:rPr>
        <w:t>（一）总体评价得分</w:t>
      </w:r>
      <w:bookmarkEnd w:id="40"/>
    </w:p>
    <w:p w14:paraId="36981F1A">
      <w:pPr>
        <w:bidi w:val="0"/>
        <w:rPr>
          <w:rFonts w:hint="eastAsia" w:eastAsia="宋体"/>
          <w:highlight w:val="none"/>
          <w:lang w:eastAsia="zh-CN"/>
        </w:rPr>
      </w:pPr>
      <w:r>
        <w:rPr>
          <w:rFonts w:hint="eastAsia"/>
          <w:highlight w:val="none"/>
        </w:rPr>
        <w:t>参照绩效评价的基本原理、原则和</w:t>
      </w:r>
      <w:r>
        <w:rPr>
          <w:rFonts w:hint="eastAsia"/>
          <w:highlight w:val="none"/>
          <w:lang w:val="en-US" w:eastAsia="zh-CN"/>
        </w:rPr>
        <w:t>相关文件要求</w:t>
      </w:r>
      <w:r>
        <w:rPr>
          <w:rFonts w:hint="eastAsia"/>
          <w:highlight w:val="none"/>
        </w:rPr>
        <w:t>，评价组对照绩效指标评价体系，从</w:t>
      </w:r>
      <w:r>
        <w:rPr>
          <w:rFonts w:hint="eastAsia"/>
          <w:highlight w:val="none"/>
          <w:lang w:val="en-US" w:eastAsia="zh-CN"/>
        </w:rPr>
        <w:t>投入管理</w:t>
      </w:r>
      <w:r>
        <w:rPr>
          <w:rFonts w:hint="eastAsia"/>
          <w:highlight w:val="none"/>
        </w:rPr>
        <w:t>、产出和效益</w:t>
      </w:r>
      <w:r>
        <w:rPr>
          <w:rFonts w:hint="eastAsia"/>
          <w:highlight w:val="none"/>
          <w:lang w:val="en-US" w:eastAsia="zh-CN"/>
        </w:rPr>
        <w:t>三</w:t>
      </w:r>
      <w:r>
        <w:rPr>
          <w:rFonts w:hint="eastAsia"/>
          <w:highlight w:val="none"/>
        </w:rPr>
        <w:t>个维度，通过数据采集、实地调研和问卷访谈等方式，对本项目进行客观公正的绩效评价，总得分为</w:t>
      </w:r>
      <w:r>
        <w:rPr>
          <w:rFonts w:hint="eastAsia"/>
          <w:highlight w:val="none"/>
          <w:lang w:val="en-US" w:eastAsia="zh-CN"/>
        </w:rPr>
        <w:t>90.6</w:t>
      </w:r>
      <w:r>
        <w:rPr>
          <w:rFonts w:hint="eastAsia"/>
          <w:highlight w:val="none"/>
        </w:rPr>
        <w:t>分，绩效评价等级属于</w:t>
      </w:r>
      <w:r>
        <w:rPr>
          <w:rFonts w:hint="eastAsia" w:eastAsia="宋体"/>
          <w:highlight w:val="none"/>
          <w:lang w:eastAsia="zh-CN"/>
        </w:rPr>
        <w:t>“</w:t>
      </w:r>
      <w:r>
        <w:rPr>
          <w:rFonts w:hint="eastAsia"/>
          <w:highlight w:val="none"/>
          <w:lang w:val="en-US" w:eastAsia="zh-CN"/>
        </w:rPr>
        <w:t>优</w:t>
      </w:r>
      <w:r>
        <w:rPr>
          <w:rFonts w:hint="eastAsia" w:eastAsia="宋体"/>
          <w:highlight w:val="none"/>
          <w:lang w:eastAsia="zh-CN"/>
        </w:rPr>
        <w:t>”</w:t>
      </w:r>
      <w:r>
        <w:rPr>
          <w:rFonts w:hint="eastAsia"/>
          <w:highlight w:val="none"/>
        </w:rPr>
        <w:t>。最终评价结果如下表所示，各指标具体评分情况详见附件1</w:t>
      </w:r>
      <w:r>
        <w:rPr>
          <w:rFonts w:hint="eastAsia"/>
          <w:highlight w:val="none"/>
          <w:lang w:eastAsia="zh-CN"/>
        </w:rPr>
        <w:t>。</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84"/>
        <w:gridCol w:w="2073"/>
        <w:gridCol w:w="2585"/>
        <w:gridCol w:w="2258"/>
      </w:tblGrid>
      <w:tr w14:paraId="220E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5A4D9D82">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2073" w:type="dxa"/>
            <w:vAlign w:val="center"/>
          </w:tcPr>
          <w:p w14:paraId="4066D70D">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2585" w:type="dxa"/>
            <w:vAlign w:val="center"/>
          </w:tcPr>
          <w:p w14:paraId="604F382B">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2258" w:type="dxa"/>
            <w:vAlign w:val="center"/>
          </w:tcPr>
          <w:p w14:paraId="2FBAB505">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r>
      <w:tr w14:paraId="02F3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0257924F">
            <w:pPr>
              <w:spacing w:before="0" w:beforeLines="0" w:line="240" w:lineRule="auto"/>
              <w:ind w:firstLine="0" w:firstLineChars="0"/>
              <w:jc w:val="center"/>
              <w:rPr>
                <w:sz w:val="24"/>
                <w:szCs w:val="24"/>
                <w:highlight w:val="none"/>
              </w:rPr>
            </w:pPr>
            <w:r>
              <w:rPr>
                <w:rFonts w:hint="eastAsia"/>
                <w:color w:val="000000"/>
                <w:sz w:val="24"/>
                <w:szCs w:val="24"/>
                <w:highlight w:val="none"/>
              </w:rPr>
              <w:t>投入管理</w:t>
            </w:r>
          </w:p>
        </w:tc>
        <w:tc>
          <w:tcPr>
            <w:tcW w:w="2073" w:type="dxa"/>
            <w:vAlign w:val="center"/>
          </w:tcPr>
          <w:p w14:paraId="3B598A35">
            <w:pPr>
              <w:keepNext w:val="0"/>
              <w:keepLines w:val="0"/>
              <w:widowControl/>
              <w:suppressLineNumbers w:val="0"/>
              <w:spacing w:line="240" w:lineRule="auto"/>
              <w:ind w:firstLine="0" w:firstLineChars="0"/>
              <w:jc w:val="center"/>
              <w:textAlignment w:val="center"/>
              <w:rPr>
                <w:rFonts w:hint="default"/>
                <w:color w:val="000000"/>
                <w:sz w:val="24"/>
                <w:szCs w:val="24"/>
                <w:highlight w:val="none"/>
                <w:lang w:val="en-US"/>
              </w:rPr>
            </w:pPr>
            <w:r>
              <w:rPr>
                <w:rFonts w:hint="eastAsia" w:ascii="宋体" w:hAnsi="宋体" w:eastAsia="宋体" w:cs="宋体"/>
                <w:i w:val="0"/>
                <w:iCs w:val="0"/>
                <w:color w:val="000000"/>
                <w:kern w:val="0"/>
                <w:sz w:val="24"/>
                <w:szCs w:val="24"/>
                <w:highlight w:val="none"/>
                <w:u w:val="none"/>
                <w:lang w:val="en-US" w:eastAsia="zh-CN" w:bidi="ar"/>
              </w:rPr>
              <w:t>40</w:t>
            </w:r>
          </w:p>
        </w:tc>
        <w:tc>
          <w:tcPr>
            <w:tcW w:w="2585" w:type="dxa"/>
            <w:vAlign w:val="center"/>
          </w:tcPr>
          <w:p w14:paraId="4118154D">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76.5%</w:t>
            </w:r>
          </w:p>
        </w:tc>
        <w:tc>
          <w:tcPr>
            <w:tcW w:w="2258" w:type="dxa"/>
            <w:vAlign w:val="center"/>
          </w:tcPr>
          <w:p w14:paraId="1B914085">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30.6</w:t>
            </w:r>
          </w:p>
        </w:tc>
      </w:tr>
      <w:tr w14:paraId="1B12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71C3E112">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2073" w:type="dxa"/>
            <w:vAlign w:val="center"/>
          </w:tcPr>
          <w:p w14:paraId="1FE4F767">
            <w:pPr>
              <w:keepNext w:val="0"/>
              <w:keepLines w:val="0"/>
              <w:widowControl/>
              <w:suppressLineNumbers w:val="0"/>
              <w:spacing w:line="240" w:lineRule="auto"/>
              <w:ind w:firstLine="0" w:firstLineChars="0"/>
              <w:jc w:val="center"/>
              <w:textAlignment w:val="center"/>
              <w:rPr>
                <w:color w:val="000000"/>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2585" w:type="dxa"/>
            <w:vAlign w:val="center"/>
          </w:tcPr>
          <w:p w14:paraId="740CF5A5">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100%</w:t>
            </w:r>
          </w:p>
        </w:tc>
        <w:tc>
          <w:tcPr>
            <w:tcW w:w="2258" w:type="dxa"/>
            <w:vAlign w:val="center"/>
          </w:tcPr>
          <w:p w14:paraId="2948E917">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30</w:t>
            </w:r>
          </w:p>
        </w:tc>
      </w:tr>
      <w:tr w14:paraId="2A53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19BC2341">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2073" w:type="dxa"/>
            <w:vAlign w:val="center"/>
          </w:tcPr>
          <w:p w14:paraId="66EDC58D">
            <w:pPr>
              <w:keepNext w:val="0"/>
              <w:keepLines w:val="0"/>
              <w:widowControl/>
              <w:suppressLineNumbers w:val="0"/>
              <w:spacing w:line="240" w:lineRule="auto"/>
              <w:ind w:firstLine="0" w:firstLineChars="0"/>
              <w:jc w:val="center"/>
              <w:textAlignment w:val="center"/>
              <w:rPr>
                <w:color w:val="000000"/>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2585" w:type="dxa"/>
            <w:vAlign w:val="center"/>
          </w:tcPr>
          <w:p w14:paraId="45A6F5CF">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100%</w:t>
            </w:r>
          </w:p>
        </w:tc>
        <w:tc>
          <w:tcPr>
            <w:tcW w:w="2258" w:type="dxa"/>
            <w:vAlign w:val="center"/>
          </w:tcPr>
          <w:p w14:paraId="4E947CEB">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sz w:val="24"/>
                <w:szCs w:val="24"/>
                <w:highlight w:val="none"/>
                <w:lang w:val="en-US" w:eastAsia="zh-CN"/>
              </w:rPr>
              <w:t>30</w:t>
            </w:r>
          </w:p>
        </w:tc>
      </w:tr>
      <w:tr w14:paraId="4F06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1F355016">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2073" w:type="dxa"/>
            <w:vAlign w:val="center"/>
          </w:tcPr>
          <w:p w14:paraId="51BF47EA">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highlight w:val="none"/>
                <w:u w:val="none"/>
                <w:lang w:val="en-US" w:eastAsia="zh-CN" w:bidi="ar"/>
              </w:rPr>
              <w:t>100</w:t>
            </w:r>
          </w:p>
        </w:tc>
        <w:tc>
          <w:tcPr>
            <w:tcW w:w="2585" w:type="dxa"/>
            <w:vAlign w:val="center"/>
          </w:tcPr>
          <w:p w14:paraId="4C9F635D">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b/>
                <w:bCs/>
                <w:sz w:val="24"/>
                <w:szCs w:val="24"/>
                <w:highlight w:val="none"/>
                <w:lang w:val="en-US" w:eastAsia="zh-CN"/>
              </w:rPr>
              <w:t>90.6%</w:t>
            </w:r>
          </w:p>
        </w:tc>
        <w:tc>
          <w:tcPr>
            <w:tcW w:w="2258" w:type="dxa"/>
            <w:vAlign w:val="center"/>
          </w:tcPr>
          <w:p w14:paraId="0704C44D">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b/>
                <w:bCs/>
                <w:sz w:val="24"/>
                <w:szCs w:val="24"/>
                <w:highlight w:val="none"/>
                <w:lang w:val="en-US" w:eastAsia="zh-CN"/>
              </w:rPr>
              <w:t>90.6</w:t>
            </w:r>
          </w:p>
        </w:tc>
      </w:tr>
    </w:tbl>
    <w:p w14:paraId="52C64A7D">
      <w:pPr>
        <w:pStyle w:val="3"/>
        <w:bidi w:val="0"/>
        <w:ind w:left="0" w:leftChars="0" w:firstLine="643" w:firstLineChars="200"/>
        <w:rPr>
          <w:highlight w:val="none"/>
        </w:rPr>
      </w:pPr>
      <w:bookmarkStart w:id="41" w:name="_Toc28681"/>
      <w:r>
        <w:rPr>
          <w:highlight w:val="none"/>
        </w:rPr>
        <w:t>（二）综合评价结论</w:t>
      </w:r>
      <w:bookmarkEnd w:id="41"/>
    </w:p>
    <w:p w14:paraId="650B41BA">
      <w:pPr>
        <w:widowControl w:val="0"/>
        <w:numPr>
          <w:ilvl w:val="255"/>
          <w:numId w:val="0"/>
        </w:numPr>
        <w:kinsoku/>
        <w:topLinePunct/>
        <w:autoSpaceDE/>
        <w:autoSpaceDN/>
        <w:spacing w:line="590" w:lineRule="exact"/>
        <w:ind w:firstLine="584" w:firstLineChars="200"/>
        <w:jc w:val="both"/>
        <w:rPr>
          <w:rFonts w:hint="eastAsia" w:ascii="宋体" w:hAnsi="宋体" w:eastAsia="宋体" w:cs="宋体"/>
          <w:spacing w:val="6"/>
          <w:sz w:val="28"/>
          <w:szCs w:val="28"/>
          <w:lang w:eastAsia="zh-CN"/>
        </w:rPr>
      </w:pPr>
      <w:r>
        <w:rPr>
          <w:rFonts w:hint="eastAsia" w:ascii="宋体" w:hAnsi="宋体" w:eastAsia="宋体" w:cs="宋体"/>
          <w:spacing w:val="6"/>
          <w:sz w:val="28"/>
          <w:szCs w:val="28"/>
          <w:lang w:eastAsia="zh-CN"/>
        </w:rPr>
        <w:t>202</w:t>
      </w:r>
      <w:r>
        <w:rPr>
          <w:rFonts w:hint="eastAsia" w:ascii="宋体" w:hAnsi="宋体" w:eastAsia="宋体" w:cs="宋体"/>
          <w:spacing w:val="6"/>
          <w:sz w:val="28"/>
          <w:szCs w:val="28"/>
          <w:lang w:val="en-US" w:eastAsia="zh-CN"/>
        </w:rPr>
        <w:t>4</w:t>
      </w:r>
      <w:r>
        <w:rPr>
          <w:rFonts w:hint="eastAsia" w:ascii="宋体" w:hAnsi="宋体" w:eastAsia="宋体" w:cs="宋体"/>
          <w:spacing w:val="6"/>
          <w:sz w:val="28"/>
          <w:szCs w:val="28"/>
          <w:lang w:eastAsia="zh-CN"/>
        </w:rPr>
        <w:t>年</w:t>
      </w:r>
      <w:r>
        <w:rPr>
          <w:rFonts w:hint="eastAsia" w:cs="宋体"/>
          <w:spacing w:val="6"/>
          <w:sz w:val="28"/>
          <w:szCs w:val="28"/>
          <w:lang w:val="en-US" w:eastAsia="zh-CN"/>
        </w:rPr>
        <w:t>陕州区</w:t>
      </w:r>
      <w:r>
        <w:rPr>
          <w:rFonts w:hint="eastAsia" w:ascii="宋体" w:hAnsi="宋体" w:eastAsia="宋体" w:cs="宋体"/>
          <w:spacing w:val="6"/>
          <w:sz w:val="28"/>
          <w:szCs w:val="28"/>
          <w:lang w:eastAsia="zh-CN"/>
        </w:rPr>
        <w:t>委宣传部主要围绕重点工作任务、年度工作计划开展工作，基本实现预期绩效目标。部门通过层层分解任务计划，分配到各科室部门执行工作，在</w:t>
      </w:r>
      <w:r>
        <w:rPr>
          <w:rFonts w:hint="eastAsia" w:ascii="宋体" w:hAnsi="宋体" w:eastAsia="宋体" w:cs="宋体"/>
          <w:spacing w:val="6"/>
          <w:sz w:val="28"/>
          <w:szCs w:val="28"/>
          <w:lang w:val="en-US" w:eastAsia="zh-CN"/>
        </w:rPr>
        <w:t>理论学习、宣教工作</w:t>
      </w:r>
      <w:r>
        <w:rPr>
          <w:rFonts w:hint="eastAsia" w:cs="宋体"/>
          <w:spacing w:val="6"/>
          <w:sz w:val="28"/>
          <w:szCs w:val="28"/>
          <w:lang w:val="en-US" w:eastAsia="zh-CN"/>
        </w:rPr>
        <w:t>、新闻外宣、精神文明建设、思想道德建设、文化文艺</w:t>
      </w:r>
      <w:r>
        <w:rPr>
          <w:rFonts w:hint="eastAsia" w:ascii="宋体" w:hAnsi="宋体" w:eastAsia="宋体" w:cs="宋体"/>
          <w:spacing w:val="6"/>
          <w:sz w:val="28"/>
          <w:szCs w:val="28"/>
          <w:lang w:eastAsia="zh-CN"/>
        </w:rPr>
        <w:t>等各类事项做出</w:t>
      </w:r>
      <w:r>
        <w:rPr>
          <w:rFonts w:hint="eastAsia" w:cs="宋体"/>
          <w:spacing w:val="6"/>
          <w:sz w:val="28"/>
          <w:szCs w:val="28"/>
          <w:lang w:val="en-US" w:eastAsia="zh-CN"/>
        </w:rPr>
        <w:t>较好</w:t>
      </w:r>
      <w:r>
        <w:rPr>
          <w:rFonts w:hint="eastAsia" w:ascii="宋体" w:hAnsi="宋体" w:eastAsia="宋体" w:cs="宋体"/>
          <w:spacing w:val="6"/>
          <w:sz w:val="28"/>
          <w:szCs w:val="28"/>
          <w:lang w:eastAsia="zh-CN"/>
        </w:rPr>
        <w:t>效果。但也存在不足之处，如：对于</w:t>
      </w:r>
      <w:r>
        <w:rPr>
          <w:rFonts w:hint="eastAsia" w:cs="宋体"/>
          <w:spacing w:val="6"/>
          <w:sz w:val="28"/>
          <w:szCs w:val="28"/>
          <w:lang w:val="en-US" w:eastAsia="zh-CN"/>
        </w:rPr>
        <w:t>预算</w:t>
      </w:r>
      <w:r>
        <w:rPr>
          <w:rFonts w:hint="eastAsia" w:ascii="宋体" w:hAnsi="宋体" w:eastAsia="宋体" w:cs="宋体"/>
          <w:spacing w:val="6"/>
          <w:sz w:val="28"/>
          <w:szCs w:val="28"/>
          <w:lang w:val="en-US" w:eastAsia="zh-CN"/>
        </w:rPr>
        <w:t>绩效</w:t>
      </w:r>
      <w:r>
        <w:rPr>
          <w:rFonts w:hint="eastAsia" w:cs="宋体"/>
          <w:spacing w:val="6"/>
          <w:sz w:val="28"/>
          <w:szCs w:val="28"/>
          <w:lang w:val="en-US" w:eastAsia="zh-CN"/>
        </w:rPr>
        <w:t>产出指标未细化和量化</w:t>
      </w:r>
      <w:r>
        <w:rPr>
          <w:rFonts w:hint="eastAsia" w:ascii="宋体" w:hAnsi="宋体" w:eastAsia="宋体" w:cs="宋体"/>
          <w:spacing w:val="6"/>
          <w:sz w:val="28"/>
          <w:szCs w:val="28"/>
          <w:lang w:eastAsia="zh-CN"/>
        </w:rPr>
        <w:t>、</w:t>
      </w:r>
      <w:r>
        <w:rPr>
          <w:rFonts w:hint="eastAsia" w:cs="宋体"/>
          <w:spacing w:val="6"/>
          <w:sz w:val="28"/>
          <w:szCs w:val="28"/>
          <w:lang w:val="en-US" w:eastAsia="zh-CN"/>
        </w:rPr>
        <w:t>预算编制不完整、固定</w:t>
      </w:r>
      <w:r>
        <w:rPr>
          <w:rFonts w:hint="eastAsia" w:ascii="宋体" w:hAnsi="宋体" w:eastAsia="宋体" w:cs="宋体"/>
          <w:spacing w:val="6"/>
          <w:sz w:val="28"/>
          <w:szCs w:val="28"/>
          <w:lang w:val="en-US" w:eastAsia="zh-CN"/>
        </w:rPr>
        <w:t>资产</w:t>
      </w:r>
      <w:r>
        <w:rPr>
          <w:rFonts w:hint="eastAsia" w:cs="宋体"/>
          <w:spacing w:val="6"/>
          <w:sz w:val="28"/>
          <w:szCs w:val="28"/>
          <w:lang w:val="en-US" w:eastAsia="zh-CN"/>
        </w:rPr>
        <w:t>入账</w:t>
      </w:r>
      <w:r>
        <w:rPr>
          <w:rFonts w:hint="eastAsia" w:ascii="宋体" w:hAnsi="宋体" w:eastAsia="宋体" w:cs="宋体"/>
          <w:spacing w:val="6"/>
          <w:sz w:val="28"/>
          <w:szCs w:val="28"/>
          <w:lang w:val="en-US" w:eastAsia="zh-CN"/>
        </w:rPr>
        <w:t>不及时</w:t>
      </w:r>
      <w:r>
        <w:rPr>
          <w:rFonts w:hint="eastAsia" w:ascii="宋体" w:hAnsi="宋体" w:eastAsia="宋体" w:cs="宋体"/>
          <w:spacing w:val="6"/>
          <w:sz w:val="28"/>
          <w:szCs w:val="28"/>
          <w:lang w:eastAsia="zh-CN"/>
        </w:rPr>
        <w:t>、</w:t>
      </w:r>
      <w:r>
        <w:rPr>
          <w:rFonts w:hint="eastAsia" w:cs="宋体"/>
          <w:spacing w:val="6"/>
          <w:sz w:val="28"/>
          <w:szCs w:val="28"/>
          <w:lang w:val="en-US" w:eastAsia="zh-CN"/>
        </w:rPr>
        <w:t>重大项目支出评估论证和审批流程执行</w:t>
      </w:r>
      <w:r>
        <w:rPr>
          <w:rFonts w:hint="eastAsia" w:ascii="宋体" w:hAnsi="宋体" w:eastAsia="宋体" w:cs="宋体"/>
          <w:spacing w:val="6"/>
          <w:sz w:val="28"/>
          <w:szCs w:val="28"/>
          <w:lang w:val="en-US" w:eastAsia="zh-CN"/>
        </w:rPr>
        <w:t>不到位</w:t>
      </w:r>
      <w:r>
        <w:rPr>
          <w:rFonts w:hint="eastAsia" w:ascii="宋体" w:hAnsi="宋体" w:eastAsia="宋体" w:cs="宋体"/>
          <w:spacing w:val="6"/>
          <w:sz w:val="28"/>
          <w:szCs w:val="28"/>
          <w:lang w:eastAsia="zh-CN"/>
        </w:rPr>
        <w:t>等问题。</w:t>
      </w:r>
    </w:p>
    <w:p w14:paraId="02C6C0EE">
      <w:pPr>
        <w:pStyle w:val="2"/>
        <w:bidi w:val="0"/>
        <w:rPr>
          <w:rFonts w:hint="eastAsia" w:eastAsia="宋体"/>
          <w:highlight w:val="none"/>
          <w:lang w:val="en-US" w:eastAsia="zh-CN"/>
        </w:rPr>
      </w:pPr>
      <w:bookmarkStart w:id="42" w:name="_Toc7110"/>
      <w:r>
        <w:rPr>
          <w:rFonts w:hint="eastAsia"/>
          <w:highlight w:val="none"/>
          <w:lang w:val="en-US" w:eastAsia="zh-CN"/>
        </w:rPr>
        <w:t>四</w:t>
      </w:r>
      <w:r>
        <w:rPr>
          <w:highlight w:val="none"/>
        </w:rPr>
        <w:t>、取得成效</w:t>
      </w:r>
      <w:bookmarkEnd w:id="42"/>
    </w:p>
    <w:p w14:paraId="688A6C8C">
      <w:pPr>
        <w:pStyle w:val="4"/>
        <w:bidi w:val="0"/>
        <w:spacing w:line="240" w:lineRule="auto"/>
        <w:ind w:firstLine="321" w:firstLineChars="100"/>
        <w:jc w:val="left"/>
        <w:rPr>
          <w:rFonts w:hint="eastAsia" w:ascii="宋体" w:hAnsi="宋体" w:eastAsia="宋体" w:cs="宋体"/>
          <w:b w:val="0"/>
          <w:bCs/>
          <w:spacing w:val="6"/>
          <w:sz w:val="28"/>
          <w:szCs w:val="28"/>
          <w:highlight w:val="none"/>
          <w:lang w:val="en-US" w:eastAsia="zh-CN"/>
        </w:rPr>
      </w:pPr>
      <w:bookmarkStart w:id="43" w:name="_Toc22737"/>
      <w:r>
        <w:rPr>
          <w:rStyle w:val="42"/>
          <w:rFonts w:hint="eastAsia"/>
          <w:b/>
          <w:lang w:val="en-US" w:eastAsia="zh-CN"/>
        </w:rPr>
        <w:t>1、理</w:t>
      </w:r>
      <w:r>
        <w:rPr>
          <w:rFonts w:hint="eastAsia"/>
          <w:highlight w:val="none"/>
          <w:lang w:val="en-US" w:eastAsia="zh-CN"/>
        </w:rPr>
        <w:t>论学习、宣教工作等</w:t>
      </w:r>
      <w:bookmarkEnd w:id="43"/>
    </w:p>
    <w:p w14:paraId="456BB160">
      <w:pPr>
        <w:bidi w:val="0"/>
        <w:rPr>
          <w:rFonts w:hint="eastAsia"/>
          <w:lang w:val="en-US" w:eastAsia="zh-CN"/>
        </w:rPr>
      </w:pPr>
      <w:r>
        <w:rPr>
          <w:rFonts w:hint="eastAsia"/>
          <w:lang w:val="en-US" w:eastAsia="zh-CN"/>
        </w:rPr>
        <w:t>2024年陕州区委宣传部理论学习中心组开展集体学习14次，集体研讨7次，"以考促学"5次，对14家单位开展"第一议题"巡听旁听，推动理论学习走深走实。对全区各级党组织学习活跃度抽查，督促33次。深入开展党的二十届三中全会精神宣讲，邀请省委、市委宣讲团到我区示范宣讲，区四大班子领导带头宣讲，全区宣讲850余场，各级领导干部开展思政教育进校园20余场。</w:t>
      </w:r>
    </w:p>
    <w:p w14:paraId="5F03613D">
      <w:pPr>
        <w:bidi w:val="0"/>
        <w:ind w:left="0" w:leftChars="0" w:firstLine="0" w:firstLineChars="0"/>
        <w:rPr>
          <w:rFonts w:hint="eastAsia"/>
          <w:lang w:val="en-US" w:eastAsia="zh-CN"/>
        </w:rPr>
      </w:pPr>
      <w:r>
        <w:rPr>
          <w:rFonts w:hint="eastAsia"/>
          <w:lang w:val="en-US" w:eastAsia="zh-CN"/>
        </w:rPr>
        <w:drawing>
          <wp:anchor distT="0" distB="0" distL="114300" distR="114300" simplePos="0" relativeHeight="251660288" behindDoc="1" locked="0" layoutInCell="1" allowOverlap="1">
            <wp:simplePos x="0" y="0"/>
            <wp:positionH relativeFrom="column">
              <wp:posOffset>296545</wp:posOffset>
            </wp:positionH>
            <wp:positionV relativeFrom="paragraph">
              <wp:posOffset>445135</wp:posOffset>
            </wp:positionV>
            <wp:extent cx="4888230" cy="5503545"/>
            <wp:effectExtent l="0" t="0" r="3810" b="13335"/>
            <wp:wrapTight wrapText="bothSides">
              <wp:wrapPolygon>
                <wp:start x="0" y="0"/>
                <wp:lineTo x="0" y="21533"/>
                <wp:lineTo x="21549" y="21533"/>
                <wp:lineTo x="21549" y="0"/>
                <wp:lineTo x="0" y="0"/>
              </wp:wrapPolygon>
            </wp:wrapTight>
            <wp:docPr id="6" name="图片 6" descr="187ee34c5cf7e1e8baed8e476a268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7ee34c5cf7e1e8baed8e476a268b6c"/>
                    <pic:cNvPicPr>
                      <a:picLocks noChangeAspect="1"/>
                    </pic:cNvPicPr>
                  </pic:nvPicPr>
                  <pic:blipFill>
                    <a:blip r:embed="rId20"/>
                    <a:stretch>
                      <a:fillRect/>
                    </a:stretch>
                  </pic:blipFill>
                  <pic:spPr>
                    <a:xfrm>
                      <a:off x="0" y="0"/>
                      <a:ext cx="4888230" cy="5503545"/>
                    </a:xfrm>
                    <a:prstGeom prst="rect">
                      <a:avLst/>
                    </a:prstGeom>
                  </pic:spPr>
                </pic:pic>
              </a:graphicData>
            </a:graphic>
          </wp:anchor>
        </w:drawing>
      </w:r>
      <w:r>
        <w:rPr>
          <w:rFonts w:hint="eastAsia"/>
          <w:lang w:val="en-US" w:eastAsia="zh-CN"/>
        </w:rPr>
        <w:br w:type="textWrapping"/>
      </w:r>
      <w:r>
        <w:rPr>
          <w:rFonts w:hint="eastAsia"/>
          <w:lang w:val="en-US" w:eastAsia="zh-CN"/>
        </w:rPr>
        <w:br w:type="textWrapping"/>
      </w:r>
    </w:p>
    <w:p w14:paraId="5C04E28D">
      <w:pPr>
        <w:bidi w:val="0"/>
        <w:rPr>
          <w:rFonts w:hint="eastAsia" w:ascii="宋体" w:hAnsi="宋体" w:eastAsia="宋体" w:cs="宋体"/>
          <w:sz w:val="28"/>
          <w:szCs w:val="28"/>
          <w:lang w:val="en-US" w:eastAsia="zh-CN"/>
        </w:rPr>
      </w:pPr>
    </w:p>
    <w:p w14:paraId="7BCA5524">
      <w:pPr>
        <w:bidi w:val="0"/>
        <w:rPr>
          <w:rFonts w:hint="eastAsia"/>
          <w:lang w:val="en-US" w:eastAsia="zh-CN"/>
        </w:rPr>
      </w:pPr>
    </w:p>
    <w:p w14:paraId="588B430E">
      <w:pPr>
        <w:bidi w:val="0"/>
        <w:rPr>
          <w:rFonts w:hint="eastAsia"/>
          <w:lang w:val="en-US" w:eastAsia="zh-CN"/>
        </w:rPr>
      </w:pPr>
    </w:p>
    <w:p w14:paraId="02937C8C">
      <w:pPr>
        <w:bidi w:val="0"/>
        <w:rPr>
          <w:rFonts w:hint="eastAsia"/>
          <w:lang w:val="en-US" w:eastAsia="zh-CN"/>
        </w:rPr>
      </w:pPr>
    </w:p>
    <w:p w14:paraId="3660AC31">
      <w:pPr>
        <w:bidi w:val="0"/>
        <w:rPr>
          <w:rFonts w:hint="eastAsia"/>
          <w:lang w:val="en-US" w:eastAsia="zh-CN"/>
        </w:rPr>
      </w:pPr>
      <w:r>
        <w:rPr>
          <w:rFonts w:hint="eastAsia"/>
          <w:lang w:val="en-US" w:eastAsia="zh-CN"/>
        </w:rPr>
        <w:br w:type="textWrapping"/>
      </w:r>
      <w:r>
        <w:rPr>
          <w:rFonts w:hint="eastAsia"/>
          <w:lang w:val="en-US" w:eastAsia="zh-CN"/>
        </w:rPr>
        <w:br w:type="textWrapping"/>
      </w:r>
    </w:p>
    <w:p w14:paraId="6363315D">
      <w:pPr>
        <w:bidi w:val="0"/>
        <w:jc w:val="left"/>
        <w:rPr>
          <w:rFonts w:hint="eastAsia"/>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347345</wp:posOffset>
            </wp:positionH>
            <wp:positionV relativeFrom="paragraph">
              <wp:posOffset>2277745</wp:posOffset>
            </wp:positionV>
            <wp:extent cx="4735830" cy="3144520"/>
            <wp:effectExtent l="0" t="0" r="3810" b="10160"/>
            <wp:wrapTight wrapText="bothSides">
              <wp:wrapPolygon>
                <wp:start x="0" y="0"/>
                <wp:lineTo x="0" y="21460"/>
                <wp:lineTo x="21548" y="21460"/>
                <wp:lineTo x="21548" y="0"/>
                <wp:lineTo x="0" y="0"/>
              </wp:wrapPolygon>
            </wp:wrapTight>
            <wp:docPr id="7" name="图片 7" descr="fe946b58bbba93bdabbb4b0d1d61b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e946b58bbba93bdabbb4b0d1d61b71b"/>
                    <pic:cNvPicPr>
                      <a:picLocks noChangeAspect="1"/>
                    </pic:cNvPicPr>
                  </pic:nvPicPr>
                  <pic:blipFill>
                    <a:blip r:embed="rId21"/>
                    <a:stretch>
                      <a:fillRect/>
                    </a:stretch>
                  </pic:blipFill>
                  <pic:spPr>
                    <a:xfrm>
                      <a:off x="0" y="0"/>
                      <a:ext cx="4735830" cy="3144520"/>
                    </a:xfrm>
                    <a:prstGeom prst="rect">
                      <a:avLst/>
                    </a:prstGeom>
                  </pic:spPr>
                </pic:pic>
              </a:graphicData>
            </a:graphic>
          </wp:anchor>
        </w:drawing>
      </w:r>
    </w:p>
    <w:p w14:paraId="4D013B35">
      <w:pPr>
        <w:pStyle w:val="4"/>
        <w:bidi w:val="0"/>
        <w:ind w:left="0" w:leftChars="0" w:firstLine="0" w:firstLineChars="0"/>
        <w:rPr>
          <w:rFonts w:hint="eastAsia"/>
          <w:highlight w:val="none"/>
          <w:lang w:val="en-US" w:eastAsia="zh-CN"/>
        </w:rPr>
      </w:pPr>
      <w:bookmarkStart w:id="44" w:name="_Toc2078"/>
      <w:r>
        <w:rPr>
          <w:rStyle w:val="42"/>
          <w:rFonts w:hint="eastAsia"/>
          <w:b/>
          <w:lang w:val="en-US" w:eastAsia="zh-CN"/>
        </w:rPr>
        <w:br w:type="textWrapping"/>
      </w:r>
      <w:r>
        <w:rPr>
          <w:rStyle w:val="42"/>
          <w:rFonts w:hint="eastAsia"/>
          <w:b/>
          <w:lang w:val="en-US" w:eastAsia="zh-CN"/>
        </w:rPr>
        <w:t>2、新闻</w:t>
      </w:r>
      <w:r>
        <w:rPr>
          <w:rFonts w:hint="eastAsia"/>
          <w:highlight w:val="none"/>
          <w:lang w:val="en-US" w:eastAsia="zh-CN"/>
        </w:rPr>
        <w:t>外宣等工作</w:t>
      </w:r>
      <w:bookmarkEnd w:id="44"/>
    </w:p>
    <w:p w14:paraId="1E149225">
      <w:pPr>
        <w:bidi w:val="0"/>
        <w:rPr>
          <w:rFonts w:hint="eastAsia" w:ascii="宋体" w:hAnsi="宋体" w:eastAsia="宋体" w:cs="宋体"/>
          <w:b w:val="0"/>
          <w:bCs/>
          <w:spacing w:val="6"/>
          <w:szCs w:val="28"/>
          <w:highlight w:val="none"/>
          <w:lang w:val="en-US" w:eastAsia="zh-CN"/>
        </w:rPr>
      </w:pPr>
      <w:r>
        <w:rPr>
          <w:rFonts w:hint="eastAsia"/>
          <w:lang w:val="en-US" w:eastAsia="zh-CN"/>
        </w:rPr>
        <w:t>2024年陕州区委宣传部累计在各大媒体发稿2200余篇。策划了"抓项目谋发展""中央媒体采访团陕州行"等选题45个，"学习强国"平台向市级供稿501篇，省级平台供稿153篇，国家平台供稿15篇。央视报道55次，时长300余分钟，位居全市首位；地坑院灯会期间腾讯新闻首页曝光量达上亿次，陕州区影响力美誉度持续提升。利用部门优势，对接河南广播电视台，举办苹果线上采销会，帮助果农销售苹果 150万斤。</w:t>
      </w:r>
    </w:p>
    <w:p w14:paraId="4100BB50">
      <w:pPr>
        <w:spacing w:line="240" w:lineRule="auto"/>
        <w:rPr>
          <w:rFonts w:hint="eastAsia"/>
          <w:lang w:val="en-US" w:eastAsia="zh-CN"/>
        </w:rPr>
      </w:pPr>
      <w:r>
        <w:rPr>
          <w:rFonts w:hint="eastAsia"/>
          <w:lang w:val="en-US" w:eastAsia="zh-CN"/>
        </w:rPr>
        <w:drawing>
          <wp:inline distT="0" distB="0" distL="114300" distR="114300">
            <wp:extent cx="5351780" cy="3493770"/>
            <wp:effectExtent l="0" t="0" r="12700" b="11430"/>
            <wp:docPr id="3"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pic:cNvPicPr>
                      <a:picLocks noChangeAspect="1"/>
                    </pic:cNvPicPr>
                  </pic:nvPicPr>
                  <pic:blipFill>
                    <a:blip r:embed="rId22"/>
                    <a:stretch>
                      <a:fillRect/>
                    </a:stretch>
                  </pic:blipFill>
                  <pic:spPr>
                    <a:xfrm>
                      <a:off x="0" y="0"/>
                      <a:ext cx="5351780" cy="3493770"/>
                    </a:xfrm>
                    <a:prstGeom prst="rect">
                      <a:avLst/>
                    </a:prstGeom>
                  </pic:spPr>
                </pic:pic>
              </a:graphicData>
            </a:graphic>
          </wp:inline>
        </w:drawing>
      </w:r>
    </w:p>
    <w:p w14:paraId="4BBAFB85">
      <w:pPr>
        <w:spacing w:line="240" w:lineRule="auto"/>
        <w:rPr>
          <w:rFonts w:hint="eastAsia"/>
          <w:lang w:val="en-US" w:eastAsia="zh-CN"/>
        </w:rPr>
      </w:pPr>
      <w:r>
        <w:rPr>
          <w:rFonts w:hint="eastAsia"/>
          <w:lang w:val="en-US" w:eastAsia="zh-CN"/>
        </w:rPr>
        <w:drawing>
          <wp:inline distT="0" distB="0" distL="114300" distR="114300">
            <wp:extent cx="5549900" cy="4464685"/>
            <wp:effectExtent l="0" t="0" r="12700" b="635"/>
            <wp:docPr id="1" name="图片 1" descr="fbcb14557645df6eb410e2c21d505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cb14557645df6eb410e2c21d505cec"/>
                    <pic:cNvPicPr>
                      <a:picLocks noChangeAspect="1"/>
                    </pic:cNvPicPr>
                  </pic:nvPicPr>
                  <pic:blipFill>
                    <a:blip r:embed="rId23"/>
                    <a:stretch>
                      <a:fillRect/>
                    </a:stretch>
                  </pic:blipFill>
                  <pic:spPr>
                    <a:xfrm>
                      <a:off x="0" y="0"/>
                      <a:ext cx="5549900" cy="4464685"/>
                    </a:xfrm>
                    <a:prstGeom prst="rect">
                      <a:avLst/>
                    </a:prstGeom>
                  </pic:spPr>
                </pic:pic>
              </a:graphicData>
            </a:graphic>
          </wp:inline>
        </w:drawing>
      </w:r>
    </w:p>
    <w:p w14:paraId="7990367A">
      <w:pPr>
        <w:spacing w:line="240" w:lineRule="auto"/>
        <w:rPr>
          <w:rFonts w:hint="eastAsia"/>
          <w:lang w:val="en-US" w:eastAsia="zh-CN"/>
        </w:rPr>
      </w:pPr>
      <w:r>
        <w:rPr>
          <w:rFonts w:hint="eastAsia"/>
          <w:lang w:val="en-US" w:eastAsia="zh-CN"/>
        </w:rPr>
        <w:drawing>
          <wp:inline distT="0" distB="0" distL="114300" distR="114300">
            <wp:extent cx="5226685" cy="3893820"/>
            <wp:effectExtent l="0" t="0" r="635" b="7620"/>
            <wp:docPr id="11" name="图片 11" descr="de662d2b03ce0ee0cb47d1acf1911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662d2b03ce0ee0cb47d1acf1911c87"/>
                    <pic:cNvPicPr>
                      <a:picLocks noChangeAspect="1"/>
                    </pic:cNvPicPr>
                  </pic:nvPicPr>
                  <pic:blipFill>
                    <a:blip r:embed="rId24"/>
                    <a:stretch>
                      <a:fillRect/>
                    </a:stretch>
                  </pic:blipFill>
                  <pic:spPr>
                    <a:xfrm>
                      <a:off x="0" y="0"/>
                      <a:ext cx="5226685" cy="3893820"/>
                    </a:xfrm>
                    <a:prstGeom prst="rect">
                      <a:avLst/>
                    </a:prstGeom>
                  </pic:spPr>
                </pic:pic>
              </a:graphicData>
            </a:graphic>
          </wp:inline>
        </w:drawing>
      </w:r>
    </w:p>
    <w:p w14:paraId="14BE6A18">
      <w:pPr>
        <w:pStyle w:val="4"/>
        <w:bidi w:val="0"/>
        <w:rPr>
          <w:rFonts w:hint="eastAsia"/>
          <w:highlight w:val="none"/>
          <w:lang w:val="en-US" w:eastAsia="zh-CN"/>
        </w:rPr>
      </w:pPr>
      <w:bookmarkStart w:id="45" w:name="_Toc4441"/>
      <w:r>
        <w:rPr>
          <w:rFonts w:hint="eastAsia"/>
          <w:highlight w:val="none"/>
          <w:lang w:val="en-US" w:eastAsia="zh-CN"/>
        </w:rPr>
        <w:t>3、精神文明建设、思想道德建设等工作</w:t>
      </w:r>
      <w:bookmarkEnd w:id="45"/>
    </w:p>
    <w:p w14:paraId="571A50D5">
      <w:pPr>
        <w:bidi w:val="0"/>
        <w:rPr>
          <w:rFonts w:hint="eastAsia"/>
          <w:lang w:val="en-US" w:eastAsia="zh-CN"/>
        </w:rPr>
      </w:pPr>
      <w:r>
        <w:rPr>
          <w:rFonts w:hint="eastAsia"/>
          <w:lang w:val="en-US" w:eastAsia="zh-CN"/>
        </w:rPr>
        <w:t>2024年陕州区委宣传部一加强典型选树。2人荣获三门峡市"情暖崤函"身边好人，7人荣获"三门峡好人"，评选表彰区级"新时代好少年"21名，开展各类先进典型事迹巡展和先进事迹宣讲。二深化群众性创建活动。表彰区级文明单位9个，村44个，校园8个。开展"我们的节日"主题活动8次。推荐三门峡市文明服务示范窗口6个，文明优质服务标兵6名。"赶考路上有我"主题活动10副作品在全市获奖，1副作品荣获省级绘画类二等奖。三推进乡风文明建设。完善"一约五会"制度，深化农村移风易俗。评选"乡村光荣榜"先进人物1858人。星级文明户累计挂牌4.8万余户，覆盖率100%.根据评分标准及评价小组考量，该指标得8分。</w:t>
      </w:r>
    </w:p>
    <w:p w14:paraId="6119DB4D">
      <w:pPr>
        <w:spacing w:line="240" w:lineRule="auto"/>
        <w:rPr>
          <w:rFonts w:hint="eastAsia"/>
          <w:lang w:val="en-US" w:eastAsia="zh-CN"/>
        </w:rPr>
      </w:pPr>
      <w:r>
        <w:rPr>
          <w:rFonts w:hint="eastAsia"/>
          <w:lang w:val="en-US" w:eastAsia="zh-CN"/>
        </w:rPr>
        <w:drawing>
          <wp:inline distT="0" distB="0" distL="114300" distR="114300">
            <wp:extent cx="5721985" cy="3718560"/>
            <wp:effectExtent l="0" t="0" r="8255" b="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5"/>
                    <a:stretch>
                      <a:fillRect/>
                    </a:stretch>
                  </pic:blipFill>
                  <pic:spPr>
                    <a:xfrm>
                      <a:off x="0" y="0"/>
                      <a:ext cx="5721985" cy="3718560"/>
                    </a:xfrm>
                    <a:prstGeom prst="rect">
                      <a:avLst/>
                    </a:prstGeom>
                  </pic:spPr>
                </pic:pic>
              </a:graphicData>
            </a:graphic>
          </wp:inline>
        </w:drawing>
      </w:r>
    </w:p>
    <w:p w14:paraId="22E627E5">
      <w:pPr>
        <w:pStyle w:val="4"/>
        <w:bidi w:val="0"/>
        <w:rPr>
          <w:rFonts w:hint="eastAsia"/>
          <w:highlight w:val="none"/>
          <w:lang w:val="en-US" w:eastAsia="zh-CN"/>
        </w:rPr>
      </w:pPr>
      <w:bookmarkStart w:id="46" w:name="_Toc4343"/>
      <w:r>
        <w:rPr>
          <w:rFonts w:hint="eastAsia"/>
          <w:highlight w:val="none"/>
          <w:lang w:val="en-US" w:eastAsia="zh-CN"/>
        </w:rPr>
        <w:t>4.文化文艺等方面工作</w:t>
      </w:r>
      <w:bookmarkEnd w:id="46"/>
    </w:p>
    <w:p w14:paraId="6FBB55DC">
      <w:pPr>
        <w:bidi w:val="0"/>
        <w:rPr>
          <w:rFonts w:hint="eastAsia"/>
          <w:lang w:val="en-US" w:eastAsia="zh-CN"/>
        </w:rPr>
      </w:pPr>
      <w:r>
        <w:rPr>
          <w:rFonts w:hint="eastAsia"/>
          <w:lang w:val="en-US" w:eastAsia="zh-CN"/>
        </w:rPr>
        <w:t>2024年陕州区委宣传部举办"新时代新征程新风貌"十大群众文化活动。其中，公益电影放映3096场，元宵节社火表演1场。创编舞蹈《有一个地方叫三门峡》参加中央广播电视台""在中国大地上边走边跳'三门峡站"大型融媒体互动活动。网络电影《黄河女儿》已完成前期拍摄工作。出版文学季刊《三道塬》。举办2024中国桨板公开赛暨第一届"中国陕州。黄河杯"桨板挑战赛，山地自行车赛，黄河旅游节"魅力陕州"非遗展演活动，深入实施文旅文创融合战略和文创产业"三年倍增计划"。</w:t>
      </w:r>
    </w:p>
    <w:p w14:paraId="298A443A">
      <w:pPr>
        <w:spacing w:line="240" w:lineRule="auto"/>
        <w:rPr>
          <w:rFonts w:hint="eastAsia"/>
          <w:lang w:val="en-US" w:eastAsia="zh-CN"/>
        </w:rPr>
      </w:pPr>
      <w:r>
        <w:rPr>
          <w:rFonts w:hint="eastAsia"/>
          <w:lang w:val="en-US" w:eastAsia="zh-CN"/>
        </w:rPr>
        <w:drawing>
          <wp:inline distT="0" distB="0" distL="114300" distR="114300">
            <wp:extent cx="5575300" cy="4241165"/>
            <wp:effectExtent l="0" t="0" r="2540" b="10795"/>
            <wp:docPr id="12" name="图片 12" descr="ScreenShot_2025-12-22_110315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5-12-22_110315_039"/>
                    <pic:cNvPicPr>
                      <a:picLocks noChangeAspect="1"/>
                    </pic:cNvPicPr>
                  </pic:nvPicPr>
                  <pic:blipFill>
                    <a:blip r:embed="rId26"/>
                    <a:stretch>
                      <a:fillRect/>
                    </a:stretch>
                  </pic:blipFill>
                  <pic:spPr>
                    <a:xfrm>
                      <a:off x="0" y="0"/>
                      <a:ext cx="5575300" cy="4241165"/>
                    </a:xfrm>
                    <a:prstGeom prst="rect">
                      <a:avLst/>
                    </a:prstGeom>
                  </pic:spPr>
                </pic:pic>
              </a:graphicData>
            </a:graphic>
          </wp:inline>
        </w:drawing>
      </w:r>
    </w:p>
    <w:p w14:paraId="1DC61C73">
      <w:pPr>
        <w:pStyle w:val="2"/>
        <w:bidi w:val="0"/>
        <w:rPr>
          <w:rFonts w:hint="eastAsia"/>
          <w:highlight w:val="none"/>
          <w:lang w:val="en-US" w:eastAsia="zh-CN"/>
        </w:rPr>
      </w:pPr>
      <w:bookmarkStart w:id="47" w:name="_Toc24095"/>
      <w:r>
        <w:rPr>
          <w:rFonts w:hint="eastAsia"/>
          <w:highlight w:val="none"/>
          <w:lang w:val="en-US" w:eastAsia="zh-CN"/>
        </w:rPr>
        <w:t>五、存在问题及下一步改进建议</w:t>
      </w:r>
      <w:bookmarkEnd w:id="47"/>
    </w:p>
    <w:p w14:paraId="2587EB7B">
      <w:pPr>
        <w:pStyle w:val="3"/>
        <w:bidi w:val="0"/>
        <w:rPr>
          <w:highlight w:val="none"/>
        </w:rPr>
      </w:pPr>
      <w:bookmarkStart w:id="48" w:name="_Toc30925"/>
      <w:r>
        <w:rPr>
          <w:highlight w:val="none"/>
        </w:rPr>
        <w:t>（一）存在问题</w:t>
      </w:r>
      <w:bookmarkEnd w:id="48"/>
    </w:p>
    <w:p w14:paraId="3CBF3622">
      <w:pPr>
        <w:pStyle w:val="4"/>
        <w:bidi w:val="0"/>
        <w:rPr>
          <w:rFonts w:hint="default"/>
          <w:highlight w:val="none"/>
          <w:lang w:val="en-US" w:eastAsia="zh-CN"/>
        </w:rPr>
      </w:pPr>
      <w:bookmarkStart w:id="49" w:name="_Toc12230"/>
      <w:r>
        <w:rPr>
          <w:rFonts w:hint="eastAsia"/>
          <w:highlight w:val="none"/>
          <w:lang w:val="en-US" w:eastAsia="zh-CN"/>
        </w:rPr>
        <w:t>1.预算绩效产出指标未细化和量化</w:t>
      </w:r>
      <w:bookmarkEnd w:id="49"/>
    </w:p>
    <w:p w14:paraId="44E557EF">
      <w:pPr>
        <w:bidi w:val="0"/>
        <w:rPr>
          <w:rFonts w:hint="eastAsia"/>
          <w:lang w:val="en-US" w:eastAsia="zh-CN"/>
        </w:rPr>
      </w:pPr>
      <w:r>
        <w:rPr>
          <w:rFonts w:hint="eastAsia"/>
          <w:lang w:eastAsia="zh-CN"/>
        </w:rPr>
        <w:t>委</w:t>
      </w:r>
      <w:r>
        <w:rPr>
          <w:rFonts w:hint="eastAsia"/>
          <w:lang w:val="en-US" w:eastAsia="zh-CN"/>
        </w:rPr>
        <w:t>陕州区委</w:t>
      </w:r>
      <w:r>
        <w:rPr>
          <w:rFonts w:hint="eastAsia"/>
          <w:lang w:eastAsia="zh-CN"/>
        </w:rPr>
        <w:t>宣传部</w:t>
      </w:r>
      <w:r>
        <w:rPr>
          <w:rFonts w:hint="eastAsia"/>
          <w:lang w:val="en-US" w:eastAsia="zh-CN"/>
        </w:rPr>
        <w:t>年初编制的《2024年度部门整体支出绩效目标表》与部门年度工作任务基本相符，但制定的部门年度的任务数或计划数未量化、产出指标未细化量化，绩效指标与部门年度的任务数或计划数未一一对应，不能充分反映部门职能职责履行情况及工作任务完成情况，可考核性较弱。</w:t>
      </w:r>
    </w:p>
    <w:p w14:paraId="5D3C059F">
      <w:pPr>
        <w:pStyle w:val="4"/>
        <w:bidi w:val="0"/>
        <w:rPr>
          <w:rFonts w:hint="default"/>
          <w:highlight w:val="none"/>
          <w:lang w:val="en-US" w:eastAsia="zh-CN"/>
        </w:rPr>
      </w:pPr>
      <w:bookmarkStart w:id="50" w:name="_Toc3459"/>
      <w:r>
        <w:rPr>
          <w:rFonts w:hint="eastAsia"/>
          <w:highlight w:val="none"/>
          <w:lang w:val="en-US" w:eastAsia="zh-CN"/>
        </w:rPr>
        <w:t>2.预算编制不完整</w:t>
      </w:r>
      <w:bookmarkEnd w:id="50"/>
    </w:p>
    <w:p w14:paraId="2BB83F08">
      <w:pPr>
        <w:widowControl w:val="0"/>
        <w:kinsoku/>
        <w:topLinePunct/>
        <w:autoSpaceDE/>
        <w:autoSpaceDN/>
        <w:spacing w:line="590" w:lineRule="exact"/>
        <w:ind w:firstLine="584" w:firstLineChars="200"/>
        <w:jc w:val="both"/>
        <w:rPr>
          <w:rFonts w:hint="eastAsia" w:ascii="宋体" w:hAnsi="宋体" w:eastAsia="宋体" w:cs="宋体"/>
          <w:spacing w:val="6"/>
          <w:sz w:val="28"/>
          <w:szCs w:val="28"/>
          <w:highlight w:val="none"/>
          <w:lang w:val="en-US" w:eastAsia="zh-CN"/>
        </w:rPr>
      </w:pPr>
      <w:r>
        <w:rPr>
          <w:rFonts w:hint="eastAsia" w:cs="宋体"/>
          <w:spacing w:val="6"/>
          <w:sz w:val="28"/>
          <w:szCs w:val="28"/>
          <w:highlight w:val="none"/>
          <w:lang w:val="en-US" w:eastAsia="zh-CN"/>
        </w:rPr>
        <w:t>陕州区委宣传部2024年支付舆情监控系统费用80,000.00元、购买电脑多功能一体机共33,670.00元、支付联通系统集成服务费40,000.00元未列入2024年部门收入和支出预算</w:t>
      </w:r>
      <w:r>
        <w:rPr>
          <w:rFonts w:hint="eastAsia" w:ascii="宋体" w:hAnsi="宋体" w:eastAsia="宋体" w:cs="宋体"/>
          <w:spacing w:val="6"/>
          <w:sz w:val="28"/>
          <w:szCs w:val="28"/>
          <w:highlight w:val="none"/>
          <w:lang w:val="en-US" w:eastAsia="zh-CN"/>
        </w:rPr>
        <w:t>。</w:t>
      </w:r>
    </w:p>
    <w:p w14:paraId="3322150D">
      <w:pPr>
        <w:pStyle w:val="4"/>
        <w:bidi w:val="0"/>
        <w:rPr>
          <w:rFonts w:hint="default"/>
          <w:highlight w:val="none"/>
          <w:lang w:val="en-US" w:eastAsia="zh-CN"/>
        </w:rPr>
      </w:pPr>
      <w:bookmarkStart w:id="51" w:name="_Toc25918"/>
      <w:r>
        <w:rPr>
          <w:rFonts w:hint="eastAsia"/>
          <w:highlight w:val="none"/>
          <w:lang w:val="en-US" w:eastAsia="zh-CN"/>
        </w:rPr>
        <w:t>3.固定资产入账不及时</w:t>
      </w:r>
      <w:bookmarkEnd w:id="51"/>
    </w:p>
    <w:p w14:paraId="5DA80C92">
      <w:pPr>
        <w:bidi w:val="0"/>
        <w:rPr>
          <w:rFonts w:hint="eastAsia"/>
          <w:lang w:val="en-US" w:eastAsia="zh-CN"/>
        </w:rPr>
      </w:pPr>
      <w:r>
        <w:rPr>
          <w:rFonts w:hint="eastAsia"/>
          <w:lang w:val="en-US" w:eastAsia="zh-CN"/>
        </w:rPr>
        <w:t>陕州区</w:t>
      </w:r>
      <w:r>
        <w:rPr>
          <w:rFonts w:hint="eastAsia"/>
          <w:lang w:eastAsia="zh-CN"/>
        </w:rPr>
        <w:t>委宣传部</w:t>
      </w:r>
      <w:r>
        <w:rPr>
          <w:rFonts w:hint="eastAsia"/>
          <w:lang w:val="en-US" w:eastAsia="zh-CN"/>
        </w:rPr>
        <w:t>2022年10月购入台式电脑3台和多功能一体机2台共33,670.00元，未在2022年记入固定资产，在2024年12月记入固定资产。</w:t>
      </w:r>
    </w:p>
    <w:p w14:paraId="1568A9BF">
      <w:pPr>
        <w:pStyle w:val="4"/>
        <w:bidi w:val="0"/>
        <w:rPr>
          <w:rFonts w:hint="default"/>
          <w:highlight w:val="none"/>
          <w:lang w:val="en-US" w:eastAsia="zh-CN"/>
        </w:rPr>
      </w:pPr>
      <w:bookmarkStart w:id="52" w:name="_Toc24676"/>
      <w:r>
        <w:rPr>
          <w:rFonts w:hint="eastAsia"/>
          <w:highlight w:val="none"/>
          <w:lang w:val="en-US" w:eastAsia="zh-CN"/>
        </w:rPr>
        <w:t>4.管理制度不健全、重大项目支出评估论证和审批流程执行不到位</w:t>
      </w:r>
      <w:bookmarkEnd w:id="52"/>
    </w:p>
    <w:p w14:paraId="00E87C9F">
      <w:pPr>
        <w:bidi w:val="0"/>
        <w:rPr>
          <w:rFonts w:hint="eastAsia"/>
          <w:lang w:val="en-US" w:eastAsia="zh-CN"/>
        </w:rPr>
      </w:pPr>
      <w:r>
        <w:rPr>
          <w:rFonts w:hint="eastAsia"/>
          <w:lang w:val="en-US" w:eastAsia="zh-CN"/>
        </w:rPr>
        <w:t>陕州区委宣传部没有制定相关的预算资金管理办法、会计核算制度、会计岗位制度，管理制度不健全。</w:t>
      </w:r>
    </w:p>
    <w:p w14:paraId="4A599C19">
      <w:pPr>
        <w:bidi w:val="0"/>
        <w:rPr>
          <w:rFonts w:hint="default" w:ascii="宋体" w:hAnsi="宋体" w:eastAsia="宋体" w:cs="宋体"/>
          <w:spacing w:val="6"/>
          <w:sz w:val="28"/>
          <w:szCs w:val="28"/>
          <w:lang w:val="en-US" w:eastAsia="zh-CN"/>
        </w:rPr>
      </w:pPr>
      <w:r>
        <w:rPr>
          <w:rFonts w:hint="eastAsia"/>
          <w:lang w:val="en-US" w:eastAsia="zh-CN"/>
        </w:rPr>
        <w:t>陕州区委宣传部财务管理制度第三条规定：财务管理实行先审批后支出的原则，除工资和经常性经费支出、日常办公费用支出外，其他开支一律经部领导同意后方可实施。财务记账凭证2024年12月2支付党报党刊支出140.00万元，重大支出未经过评估论证，其中60.00万元审批手续不完整。</w:t>
      </w:r>
    </w:p>
    <w:p w14:paraId="2639DFC0">
      <w:pPr>
        <w:pStyle w:val="3"/>
        <w:bidi w:val="0"/>
        <w:ind w:left="0" w:leftChars="0" w:firstLine="321" w:firstLineChars="100"/>
        <w:rPr>
          <w:highlight w:val="none"/>
        </w:rPr>
      </w:pPr>
      <w:bookmarkStart w:id="53" w:name="_Toc10338"/>
      <w:r>
        <w:rPr>
          <w:highlight w:val="none"/>
        </w:rPr>
        <w:t>（二）下一步改进建议</w:t>
      </w:r>
      <w:bookmarkEnd w:id="53"/>
    </w:p>
    <w:p w14:paraId="0BE7B58D">
      <w:pPr>
        <w:pStyle w:val="4"/>
        <w:bidi w:val="0"/>
        <w:rPr>
          <w:rFonts w:hint="default"/>
          <w:highlight w:val="none"/>
          <w:lang w:val="en-US" w:eastAsia="zh-CN"/>
        </w:rPr>
      </w:pPr>
      <w:bookmarkStart w:id="54" w:name="_Toc8904"/>
      <w:r>
        <w:rPr>
          <w:rFonts w:hint="eastAsia"/>
          <w:highlight w:val="none"/>
          <w:lang w:val="en-US" w:eastAsia="zh-CN"/>
        </w:rPr>
        <w:t>1.</w:t>
      </w:r>
      <w:r>
        <w:rPr>
          <w:rFonts w:hint="eastAsia" w:cs="宋体"/>
          <w:b/>
          <w:bCs w:val="0"/>
          <w:spacing w:val="6"/>
          <w:sz w:val="28"/>
          <w:szCs w:val="28"/>
          <w:highlight w:val="none"/>
          <w:lang w:val="en-US" w:eastAsia="zh-CN"/>
        </w:rPr>
        <w:t>制定合理明确的绩效指标，加强绩效管理工作</w:t>
      </w:r>
      <w:bookmarkEnd w:id="54"/>
    </w:p>
    <w:p w14:paraId="6D18A489">
      <w:pPr>
        <w:bidi w:val="0"/>
        <w:rPr>
          <w:rFonts w:hint="default" w:eastAsia="仿宋"/>
          <w:highlight w:val="none"/>
          <w:lang w:val="en-US" w:eastAsia="zh-CN"/>
        </w:rPr>
      </w:pPr>
      <w:bookmarkStart w:id="55" w:name="_Toc4616"/>
      <w:r>
        <w:rPr>
          <w:rFonts w:hint="eastAsia"/>
          <w:lang w:val="en-US" w:eastAsia="zh-CN"/>
        </w:rPr>
        <w:t>在预算编制环节，合理设置绩效指标，为绩效评价奠定基础。绩效指标既要符合单位实际情况，又要切实可行，且尽可能细化、量化、以数量指标为主。</w:t>
      </w:r>
    </w:p>
    <w:p w14:paraId="708B3A36">
      <w:pPr>
        <w:pStyle w:val="4"/>
        <w:bidi w:val="0"/>
        <w:rPr>
          <w:rFonts w:hint="default"/>
          <w:highlight w:val="none"/>
          <w:lang w:val="en-US" w:eastAsia="zh-CN"/>
        </w:rPr>
      </w:pPr>
      <w:bookmarkStart w:id="56" w:name="_Toc103"/>
      <w:r>
        <w:rPr>
          <w:rFonts w:hint="eastAsia"/>
          <w:highlight w:val="none"/>
          <w:lang w:val="en-US" w:eastAsia="zh-CN"/>
        </w:rPr>
        <w:t>2.</w:t>
      </w:r>
      <w:bookmarkEnd w:id="55"/>
      <w:r>
        <w:rPr>
          <w:rFonts w:hint="eastAsia"/>
          <w:highlight w:val="none"/>
          <w:lang w:val="en-US" w:eastAsia="zh-CN"/>
        </w:rPr>
        <w:t>加</w:t>
      </w:r>
      <w:r>
        <w:rPr>
          <w:rFonts w:hint="eastAsia" w:cs="宋体"/>
          <w:b/>
          <w:bCs w:val="0"/>
          <w:spacing w:val="6"/>
          <w:sz w:val="28"/>
          <w:szCs w:val="28"/>
          <w:highlight w:val="none"/>
          <w:lang w:val="en-US" w:eastAsia="zh-CN"/>
        </w:rPr>
        <w:t>强预算管理，增进预算编制准确性和完整性</w:t>
      </w:r>
      <w:bookmarkEnd w:id="56"/>
    </w:p>
    <w:p w14:paraId="4C596AD1">
      <w:pPr>
        <w:bidi w:val="0"/>
        <w:rPr>
          <w:rFonts w:hint="eastAsia"/>
          <w:lang w:val="en-US" w:eastAsia="zh-CN"/>
        </w:rPr>
      </w:pPr>
      <w:r>
        <w:rPr>
          <w:rFonts w:hint="eastAsia"/>
          <w:lang w:val="en-US" w:eastAsia="zh-CN"/>
        </w:rPr>
        <w:t>建议陕州区委宣传部加强预算编制管理，在实事求是的基础上分析预算项目的必要性、可行性和所需投入资金，明确各项预算额度的测算依据和编制标准，提高预算编制的科学性与完整性。并将预算支出细化到各个执行节点，明确支出进度，以保证项目支出预算的准确性和完整性。</w:t>
      </w:r>
    </w:p>
    <w:p w14:paraId="07E1B37E">
      <w:pPr>
        <w:pStyle w:val="4"/>
        <w:bidi w:val="0"/>
        <w:rPr>
          <w:rFonts w:hint="default"/>
          <w:highlight w:val="none"/>
          <w:lang w:val="en-US" w:eastAsia="zh-CN"/>
        </w:rPr>
      </w:pPr>
      <w:bookmarkStart w:id="57" w:name="_Toc30028"/>
      <w:r>
        <w:rPr>
          <w:rFonts w:hint="eastAsia"/>
          <w:highlight w:val="none"/>
          <w:lang w:val="en-US" w:eastAsia="zh-CN"/>
        </w:rPr>
        <w:t>3.加强固定资产管理</w:t>
      </w:r>
      <w:bookmarkEnd w:id="57"/>
    </w:p>
    <w:p w14:paraId="07524318">
      <w:pPr>
        <w:bidi w:val="0"/>
        <w:rPr>
          <w:rFonts w:hint="eastAsia" w:cs="宋体"/>
          <w:b w:val="0"/>
          <w:bCs/>
          <w:spacing w:val="6"/>
          <w:szCs w:val="28"/>
          <w:highlight w:val="none"/>
          <w:lang w:val="en-US" w:eastAsia="zh-CN"/>
        </w:rPr>
      </w:pPr>
      <w:r>
        <w:rPr>
          <w:rFonts w:hint="eastAsia"/>
          <w:lang w:val="en-US" w:eastAsia="zh-CN"/>
        </w:rPr>
        <w:t>分析部门工作与资产需求的契合程度，制定合理的资产配置计划，对购入的固定资产及时入账，保证财务系统卡片账上的存放地、使用部门、使用状态等信息与真实情况保持一致，提高固定资产使用效率。</w:t>
      </w:r>
    </w:p>
    <w:p w14:paraId="49FAFA92">
      <w:pPr>
        <w:pStyle w:val="4"/>
        <w:numPr>
          <w:ilvl w:val="0"/>
          <w:numId w:val="0"/>
        </w:numPr>
        <w:bidi w:val="0"/>
        <w:ind w:firstLine="602" w:firstLineChars="200"/>
        <w:rPr>
          <w:rFonts w:hint="eastAsia"/>
          <w:highlight w:val="none"/>
          <w:lang w:val="en-US" w:eastAsia="zh-CN"/>
        </w:rPr>
      </w:pPr>
      <w:bookmarkStart w:id="58" w:name="_Toc20678"/>
      <w:r>
        <w:rPr>
          <w:rFonts w:hint="eastAsia"/>
          <w:highlight w:val="none"/>
          <w:lang w:val="en-US" w:eastAsia="zh-CN"/>
        </w:rPr>
        <w:t>4.完善管理制度、加强重大支出的评估论证和审批流程</w:t>
      </w:r>
      <w:bookmarkEnd w:id="58"/>
    </w:p>
    <w:p w14:paraId="1073DFEA">
      <w:pPr>
        <w:rPr>
          <w:rFonts w:hint="default"/>
          <w:lang w:val="en-US" w:eastAsia="zh-CN"/>
        </w:rPr>
      </w:pPr>
      <w:r>
        <w:rPr>
          <w:rFonts w:hint="eastAsia"/>
          <w:lang w:val="en-US" w:eastAsia="zh-CN"/>
        </w:rPr>
        <w:t xml:space="preserve">建议陕州区委宣传部完善预算资金管理办法、会计核算制度、会计岗位制度，再造“三重一大”、资金支付等关键流程，落实分级授权、不相容职务分离，全程留痕。整合内外部监督力量，将制度执行、纳入考核。  </w:t>
      </w:r>
    </w:p>
    <w:p w14:paraId="22C4A16D">
      <w:pPr>
        <w:pStyle w:val="2"/>
        <w:bidi w:val="0"/>
        <w:rPr>
          <w:rFonts w:hint="eastAsia"/>
          <w:highlight w:val="none"/>
          <w:lang w:val="en-US" w:eastAsia="zh-CN"/>
        </w:rPr>
      </w:pPr>
      <w:bookmarkStart w:id="59" w:name="_Toc9611"/>
      <w:r>
        <w:rPr>
          <w:rFonts w:hint="eastAsia"/>
          <w:highlight w:val="none"/>
          <w:lang w:val="en-US" w:eastAsia="zh-CN"/>
        </w:rPr>
        <w:t>六、其他需要说明的问题</w:t>
      </w:r>
      <w:bookmarkEnd w:id="59"/>
      <w:r>
        <w:rPr>
          <w:rFonts w:hint="eastAsia"/>
          <w:highlight w:val="none"/>
          <w:lang w:val="en-US" w:eastAsia="zh-CN"/>
        </w:rPr>
        <w:t xml:space="preserve"> </w:t>
      </w:r>
    </w:p>
    <w:p w14:paraId="2A09E18A">
      <w:pPr>
        <w:bidi w:val="0"/>
        <w:rPr>
          <w:highlight w:val="none"/>
        </w:rPr>
      </w:pPr>
      <w:r>
        <w:rPr>
          <w:rFonts w:hint="eastAsia"/>
          <w:highlight w:val="none"/>
          <w:lang w:val="en-US" w:eastAsia="zh-CN"/>
        </w:rPr>
        <w:t>部门整体</w:t>
      </w:r>
      <w:r>
        <w:rPr>
          <w:highlight w:val="none"/>
        </w:rPr>
        <w:t>绩效评价的可靠性基于被评价单位提供资料真实性、完整性，评价工作组尽可能地核实相关数据的准确性，但由于受客观因素的限制，其资料真实性和完整性最终由被评价单位负责。</w:t>
      </w:r>
    </w:p>
    <w:p w14:paraId="45942A45">
      <w:pPr>
        <w:bidi w:val="0"/>
        <w:ind w:left="0" w:leftChars="0" w:firstLine="0" w:firstLineChars="0"/>
      </w:pPr>
    </w:p>
    <w:p w14:paraId="5588FA48">
      <w:pPr>
        <w:bidi w:val="0"/>
      </w:pPr>
      <w:r>
        <w:t>附件：</w:t>
      </w:r>
    </w:p>
    <w:p w14:paraId="22814A2D">
      <w:pPr>
        <w:bidi w:val="0"/>
      </w:pPr>
      <w:r>
        <w:t>1．指标体系综合评分表</w:t>
      </w:r>
    </w:p>
    <w:p w14:paraId="2DA3C27D">
      <w:pPr>
        <w:bidi w:val="0"/>
      </w:pPr>
      <w:r>
        <w:t>2．</w:t>
      </w:r>
      <w:r>
        <w:rPr>
          <w:rFonts w:hint="eastAsia"/>
          <w:lang w:val="en-US" w:eastAsia="zh-CN"/>
        </w:rPr>
        <w:t>内部工作人员</w:t>
      </w:r>
      <w:r>
        <w:t>满意度分析报告</w:t>
      </w:r>
    </w:p>
    <w:p w14:paraId="0010CDB0">
      <w:pPr>
        <w:bidi w:val="0"/>
      </w:pPr>
      <w:r>
        <w:t>3．</w:t>
      </w:r>
      <w:r>
        <w:rPr>
          <w:rFonts w:hint="eastAsia"/>
          <w:lang w:val="en-US" w:eastAsia="zh-CN"/>
        </w:rPr>
        <w:t>社会公众</w:t>
      </w:r>
      <w:r>
        <w:t>满意度分析报告</w:t>
      </w:r>
    </w:p>
    <w:p w14:paraId="293E3398">
      <w:pPr>
        <w:bidi w:val="0"/>
      </w:pPr>
      <w:r>
        <w:rPr>
          <w:rFonts w:hint="eastAsia"/>
          <w:highlight w:val="none"/>
          <w:lang w:val="en-US" w:eastAsia="zh-CN"/>
        </w:rPr>
        <w:t>4. 评价小组成员资质证书</w:t>
      </w:r>
    </w:p>
    <w:p w14:paraId="4DA7ED9D">
      <w:pPr>
        <w:bidi w:val="0"/>
      </w:pPr>
    </w:p>
    <w:p w14:paraId="52EFB020">
      <w:pPr>
        <w:bidi w:val="0"/>
      </w:pPr>
    </w:p>
    <w:p w14:paraId="5E550414">
      <w:pPr>
        <w:bidi w:val="0"/>
        <w:ind w:firstLine="3360" w:firstLineChars="1200"/>
        <w:rPr>
          <w:rFonts w:hint="eastAsia"/>
        </w:rPr>
      </w:pPr>
      <w:r>
        <w:rPr>
          <w:rFonts w:hint="eastAsia"/>
          <w:lang w:eastAsia="zh-CN"/>
        </w:rPr>
        <w:t>河南德友</w:t>
      </w:r>
      <w:r>
        <w:t>会计师事务所</w:t>
      </w:r>
      <w:r>
        <w:rPr>
          <w:rFonts w:hint="eastAsia"/>
        </w:rPr>
        <w:t>（普通合伙）</w:t>
      </w:r>
      <w:r>
        <w:t xml:space="preserve"> </w:t>
      </w:r>
      <w:r>
        <w:rPr>
          <w:rFonts w:hint="eastAsia"/>
        </w:rPr>
        <w:t xml:space="preserve">             </w:t>
      </w:r>
    </w:p>
    <w:p w14:paraId="0FFACE9A">
      <w:pPr>
        <w:rPr>
          <w:rFonts w:hint="eastAsia"/>
          <w:highlight w:val="none"/>
          <w:lang w:val="en-US" w:eastAsia="zh-CN"/>
        </w:rPr>
        <w:sectPr>
          <w:headerReference r:id="rId11" w:type="default"/>
          <w:footerReference r:id="rId12" w:type="default"/>
          <w:pgSz w:w="12130" w:h="17000"/>
          <w:pgMar w:top="1445" w:right="1695" w:bottom="1562" w:left="1650" w:header="0" w:footer="1304" w:gutter="0"/>
          <w:pgNumType w:fmt="decimal"/>
          <w:cols w:space="720" w:num="1"/>
        </w:sectPr>
      </w:pPr>
    </w:p>
    <w:bookmarkEnd w:id="0"/>
    <w:bookmarkEnd w:id="38"/>
    <w:p w14:paraId="4A787DF1">
      <w:pPr>
        <w:pStyle w:val="2"/>
        <w:bidi w:val="0"/>
        <w:jc w:val="left"/>
      </w:pPr>
      <w:bookmarkStart w:id="60" w:name="_Toc27132"/>
      <w:bookmarkStart w:id="61" w:name="_Toc28818"/>
      <w:r>
        <w:rPr>
          <w:color w:val="000000"/>
          <w:sz w:val="32"/>
        </w:rPr>
        <w:t>附件一</w:t>
      </w:r>
      <w:r>
        <w:rPr>
          <w:rFonts w:hint="eastAsia"/>
          <w:color w:val="000000"/>
          <w:sz w:val="32"/>
          <w:lang w:val="en-US" w:eastAsia="zh-CN"/>
        </w:rPr>
        <w:t xml:space="preserve"> </w:t>
      </w:r>
      <w:r>
        <w:rPr>
          <w:color w:val="000000"/>
          <w:sz w:val="32"/>
        </w:rPr>
        <w:t>指标体系综合评分表</w:t>
      </w:r>
      <w:bookmarkEnd w:id="60"/>
      <w:bookmarkEnd w:id="61"/>
    </w:p>
    <w:p w14:paraId="01F5E608">
      <w:pPr>
        <w:spacing w:after="560" w:line="360" w:lineRule="exact"/>
        <w:ind w:left="0" w:leftChars="0" w:firstLine="0" w:firstLineChars="0"/>
        <w:jc w:val="both"/>
      </w:pPr>
    </w:p>
    <w:tbl>
      <w:tblPr>
        <w:tblStyle w:val="22"/>
        <w:tblW w:w="1466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7"/>
        <w:gridCol w:w="957"/>
        <w:gridCol w:w="1090"/>
        <w:gridCol w:w="1005"/>
        <w:gridCol w:w="1090"/>
        <w:gridCol w:w="4505"/>
        <w:gridCol w:w="4825"/>
        <w:gridCol w:w="1091"/>
      </w:tblGrid>
      <w:tr w14:paraId="6240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F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A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A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7E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权重</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F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目标值</w:t>
            </w:r>
          </w:p>
        </w:tc>
        <w:tc>
          <w:tcPr>
            <w:tcW w:w="4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9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评价标准</w:t>
            </w:r>
          </w:p>
        </w:tc>
        <w:tc>
          <w:tcPr>
            <w:tcW w:w="5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E9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评分过程</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A5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得分</w:t>
            </w:r>
          </w:p>
        </w:tc>
      </w:tr>
      <w:tr w14:paraId="4D97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6"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A2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投入管理指标</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F1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工作目标管理（9分）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2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年度履职目标相关性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3A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7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相关</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35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①年度履职目标符合国家、省、市、区部署和发展规划，与国家、省、市宏观政策、行业政策一致；②年度履职目标与部门职责、工作规划和重点工作相关；③确定的预算项目合理，与工作目标密切相关；④工作任务和项目预算安排合理。 以上要素各占 1/4权重分，符合得分，否则不得分。                                     </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FF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绩效目标申报表显示，年度履职目标符合国家、河南省、三门峡市、陕州区部署和发展规划，与国家、省、市宏观政策、行业政策一致；年度履职目标与部门职责、工作规划和重点工作相关；确定的预算项目合理，与工作目标密切相关；工作任务和项目预算安排合理。根据评分标准，得3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B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0893E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9404">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279C">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3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工作任务科学性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2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D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EC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工作任务有明确的绩效目标，绩效目标与部门年度履职目标一致，能体现工作任务的产出和效果；②工作任务对应的预算项目有明确的绩效目标，绩效目标与部门职责目标、工作任务目标一致，能体现预算项目的产出和效果。以上要素各占 1/2权重分，符合得分，否则不得分。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5D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相关资料显示，工作任务有绩效目标，绩效目标与部门年度履职目标一致，但部分预算项目绩效目标明确性有待提高，在体现工作任务的产出方面存在不足。根据评分标准，扣1.5分，该指标得1.5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C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1DB8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7DBB5">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0C8B5">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FF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绩效指标合理性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F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E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合理</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19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工作任务、预算项目绩效指标设置准确反映部门绩效完成情况；②工作任务、预算项目绩效指标清晰、细化、可评价、可衡量；③工作任务、预算项目绩效指标的评价标准清晰、可衡量，能提供相关测算依据或符合客观实际情况；④与部门年度的任务数或计划数相对应。以上要素各占 1/4权重分，符合得分，不符合按1/4权重分扣除。</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EC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根据陕州区委宣传部提供的绩效目标申报表显示，工作任务、预算项目绩效指标设置未准确反映部门绩效完成情况；工作任务、预算项目绩效指标不可衡量。根据评分标准，扣1.5分，该指标得1.5分。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A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31A7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2F43A">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BE2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预算和财务管理（25分）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0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预算编制完整性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1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5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完整</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7E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①部门所有收入全部纳入部门预算；②部门支出预算统筹各类资金来源，全部纳入部门预算管理。以上要素各占 1/2权重分，符合得分，否则不得分。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1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陕州区委宣传部2024年支付舆情监控系统3年费用8万元、购买电脑多功能一体机共33670元、支付联通系统集成服务费4万元未列入2024年部门收入和支出预算。根据评分标准，该指标得0分。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2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4FC6A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8E268">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1128F">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9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专项资金细化率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9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6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F7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专项资金细化是否已细化到具体市县和承担单位的资金数，若已细化，得满分，若发现未细化项目，根据实际情况，按比例扣分。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E0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陕州区委宣传部2024专项资金均细化到具体承担单位，根据评分标准，该指标得2分。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5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15AD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0BE4B">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0FD76">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B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0B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C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20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预算执行率=（预算完成数/预算数）×100%。预算完成数指部门实际执行的预算数；预算数指财政部门批复的本年度部门的（调整）预算数。 若预算执行率≥90%，得满分；若≤90%，同比例扣分。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4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根据陕州区委宣传部提供的部门决算信息显示，2024年陕州区委宣传部预算调整数为763.68万元，预算完成数为613.02万元。根据评分标准，该指标得1.6分。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1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7BAE8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6"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33C21">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AF942">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C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预算调整率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1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6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BD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调整率=（预算调整数-年初预算数）/年初预算数×100%。预算调整数：部门在本年度内涉及预算的追加、追减或结构调整的资金总和（因落实国家政策、发生不可抗力、上级部门或本级党委政府临时交办而产生的调整除外）。若预算执行率≤30%，得满分；若≥30%，同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2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2024年陕州区委宣传部预算调整数为613.45万元，其中临时交办的调整金额为170万元，预算数为400.31万元。预算调整率为10.77%。根据评分标准，该指标得2分。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6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27474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AF373">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ADDC2">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9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结转结余率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D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1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D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结转结余率=结转结余总额/预算数*100%。结转结余总额是指部门本年度的结转结余资金之和。预算数是指财政部门批复的本年度部门的调整）预算数。 若结转结余率≤20%，得满分；若≥20%，同比例扣分。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EF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根据陕州区委宣传部提供的部门决算信息显示，陕州区委宣传部2024年不存在结转结余。根据评分标准，该指标得2分。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A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AFE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8D04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A7B57">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7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“三公经费”控制率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4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D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23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“三公经费”控制率=本年度“三公经费”实际支出数/“三公经费”预算数*100%，若“三公经费”控制率≤100%，得满分；若≥100%，同比例扣分。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0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根据陕州区委宣传部提供的部门决算信息显示，本年度“三公经费”实际支出数为6.5万元，预算数为13万元。根据评分标准，该指标得2分。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9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061B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8AF0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F49DE">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A6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政府采购执行率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7C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9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09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政府采购执行率=（实际政府采购金额/政府采购预算数）×100%。政府采购预算：采购机关根据事业发展计划和行政任务编制的、并经过规定程序批准的年度政府采购计划。  若政府采购执行率≥80%，得满分；若≤80%，同比例扣分。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8E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根据陕州区委宣传部部门预算和决算信息显示，本年度政府采购预算安排35.84万元，实际政府采购金额为35.99万元。根据评分标准，该指标得2分。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3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EC7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7553F">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9FF9B">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1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决算真实性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F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0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真实</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A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反映本部门决算工作情况。决算编制数据是否账表一致，即决算报表数据与会计账簿数据是否一致。 若决算编制数据账表一致，得满分；若不一致，根据实际情况酌情扣分。                </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32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陕州区委宣传部决算编制数据账表一致，根据评分标准及评价小组考量，该指标得2分。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E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7EAEC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FA761">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7237C">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B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90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7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合规</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6F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是否符合国家财经法规和财务管理制度规定以及有关专项资金管理办法的规定；2.资金的拨付是否有完整的审批程序和手续；3.项目的重大开支是否经过评估论证；4.是否符合部门预算批复的用途；5.是否存在截留支出情况；6.是否存在挤占支出情况；7.是否存在挪用支出情况；8.是否存在虚列支出情况。以上要素各占 1/8权重分，符合得分，否则不得分。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11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陕州区委宣传部2024年区直单位党报党刊支出140.00万元重大支出未经过评估论证，资金的拨付没有完整的审批程序和手续。根据评分标准，扣0.5分，该指标得1.5分。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1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190C3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B6998">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F9033">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E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1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A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健全</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A3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1.是否已制定或具有预算资金管理办法、内部管理制度、会计核算制度、会计岗位制度等管理制度；2.相关管理制度是否得到有效执行。 以上要素各占 1/2权重分，符合得分，否则不得分。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A4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根据陕州区委宣传部提供的相关资料显示，没有预算资金管理办法、会计核算制度、会计岗位制度；党报党刊支出未经过评估论证，审批手续不完整。根据评分标准，该指标得0分。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4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7572F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7049D">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5B1EB">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4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预决算信息公开性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8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8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0D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1.是否按规定内容公开预决算信息；2.是否按规定时限公开预决算信息。以上要素各占 1/2权重分，符合得分，否则不得分。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2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根据陕州区委宣传部提供的相关资料及财政局管网查询信息显示，陕州区委宣传部按规定内容公开预决算信息；按规定时限公开预决算信息。根据评分标准，该指标得2分。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7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D99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1B934">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5129E">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F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资产管理规范性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9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1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规范</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4F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资产是否及时规范入账，资产报表数据与会计账簿数据是否相符，资产实物与财务账、资产账是否相符；2.新增资产是否符合规定程序和规定标准，新增资产是否考虑闲置存量资产；3.资产对外有偿使用（出租出借等）、对外投资、担保、资产处置等事项是否按规定报批；4.资产收益是否及时足额上交财政。以上要素各占 1/4权重分，符合得分，否则不得分。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C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陕州区委宣传部存在2022年购买的固定资产2024年才入账，资产入账不及时。根据评分标准及评价小组考量，扣0.5分，该指标得1.5分。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F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25C2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1FCAB">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63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绩效管理（6分）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8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绩效目标编制完成率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6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F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EE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①是否按规定编制绩效目标                               ②是否具有绩效目标申报表                                  以上要素各占 1/2权重分，符合得分，否则不得分。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C6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根据陕州区委宣传部提供资料显示，具有绩效目标申报表 。根据评分标准及评价小组考量，该指标得1.2分。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F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3935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0E6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D25B2">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8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绩效监控完成率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1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8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2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是否按规定对部门绩效实施全称监督管理，若有相对应的监管体系，得满分；若无监管体系，不得分。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DF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根据陕州区委宣传部提供的部门决算信息显示，2024年8月份对绩效目标实现程度和预算执行进度进行了“双监控”。根据评分标准及评价小组考量，该指标得1.2分。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D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74408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2F9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26C6A">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6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绩效自评完成率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00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3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A1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是否按规定编制绩效自评报告，若有相对应的绩效自评报告，得满分；若无绩效自评报告，不得分。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E0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根据陕州区委宣传部提供资料显示，按规定编制绩效自评报告。根据评分标准及评价小组考量，该指标得1.2分。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2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0156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0BC18">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AF9E">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0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部门绩效评价完成率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C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F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BA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部门重点绩效评价项目评价完成情况。部门绩效评价完成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率=已完成评价项目数量/部门重点绩效评价项目数*100%</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A5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2024年陕州区委宣传部完成部门重点项目绩效自评，根据评分标准及评价小组考量，该指标得1.2分。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F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339BE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DADD5">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10478">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E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评价结果应用率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C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B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33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绩效监控、单位自评、部门绩效评价结果应用情况。评价结果应用率=评价提出的意见建议采纳数/提出的意见建议总数*100%</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F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2024年陕州区委宣传部绩效监控、单位自评、部门绩效评共提出问题和建议5条并采纳应用，根据评分标准及评价小组考量，该指标得1.2分。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1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2F6B7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24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4C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重点工作任务完成（30分）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3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做好理论学习、宣教工作等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4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5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6E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①区理论学习中心组开展集体学习次数≥12次；②对全区各级党组织学习活跃度抽查督促次数≥2次。得满分。否则，每降低1％，扣除10％权重分，扣完为止。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87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2024年陕州区委宣传部理论学习中心组开展集体学习14次，对全区各级党组织学习活跃度抽查，督促33次。根据评分标准及评价小组考量，该指标得6分。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9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6256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3F49E">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E15BA">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5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做好新闻外宣等工作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F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4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56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向各大媒体发稿总篇数≥1800篇得满分，否则，每降低1％，扣除10％权重分，扣完为止。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2D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2024年陕州区委宣传部累计在各大媒体发稿2200余篇，根据评分标准及评价小组考量，该指标得7分。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4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14:paraId="04AD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4502">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83CC1">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2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做好精神文明建设、思想道德建设等工作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3C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B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FE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①开展先进事迹巡展≥10场次，②开展志愿服务活动≥4次，③开展宣讲活动≥6期，得满分。否则，每降低1％，扣除10％权重分，扣完为止。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75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区委宣传部加强典型选树，2人荣获三门峡市"情暖崤函"身边好人，7人荣获"三门峡好人"，评选表彰区级"新时代好少年"21名，开展各类先进典型事迹巡展、先进事迹宣讲和志愿服务活动。深化群众性创建活动，表彰区级文明单位9个，村44个，校园8个。开展"我们的节日"主题活动8次。根据评分标准及评价小组考量，该指标得9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25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14:paraId="49F6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6B18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7DC10">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00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做好文化文艺等方面工作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A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D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3B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①公益电影放映≥2500场，②元宵节社火表演1场。否则，每降低1％，扣除10％权重分，扣完为止。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C2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2024年陕州区委宣传部举办"新时代新征程新风貌"十大群众文化活动。其中，公益电影放映3096场，元宵节社火表演1场。 根据评分标准及评价小组考量，该指标得8分。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B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14:paraId="11903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08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3F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履职效益（18分）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F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宣传和精神文明建设成效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7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F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4F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作品和参加活动获得省级奖状，符合得分，否则不得分。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F6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在晋陕豫黄河金三角区域首届模特大赛获一等奖，与文联共同创作的微电影《樱桃又红了》在中国小康电视工程、全国农村精神文明建设作品征集比赛中获奖，创编陕州锣鼓书《网 络文明靠大家》,获省互联网辟谣作品大赛三等奖，"赶考路上有我"主题活动10副作品在全市获奖，1副作品荣获省级绘画类二等奖。根据评分标准及评价小组考量，该指标得6分。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A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65691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0770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8567C">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1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网络意识形态维稳效益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C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D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60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①主管主办网站、政务新媒体等平台是否发生页面被篡改、是否发生政治类固定表述错误；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②是否发生被中央网信办、省委网信办等部门通报；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③是否发生热点舆情造成负面影响。以上要素各占 1/3权重分，符合得分，否则不得分。</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94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主管主办网站、政务新媒体等平台未发生页面被篡改、未发生政治类固定表述错误；未发生被中央网信办、省委网信办等部门通报；未发生热点舆情造成负面影响。根据评分标准及评价小组考量，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0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3F03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94610">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06784">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7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重量级媒发稿数量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6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9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E4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①向国家级媒体发稿篇数≥100篇；②向省级媒体发稿篇数≥400条,得满分。否则，每降低1％，扣除10％权重分，扣完为止。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9D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2024年陕州区委宣传部累计向国家级媒体发稿173篇，向省级媒体439篇。根据评分标准及评价小组考量，该指标得6分。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0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151B0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5C247">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25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满意度（12分）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E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    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9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B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6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评分要点：综合满意度≥90％得满分。否则，每降低1％，扣除10％权重分，扣完为止。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7D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根据收集到32份陕州区社会公众满意度调查问卷，整体满意度为94.88%。依据评分规则，该指标得6分。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A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5FC2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41CF6">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E4638">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9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内部工作人员满意度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9A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5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64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评分要点：综合满意度≥90％得满分。否则，每降低1％，扣除10％权重分，扣完为止。</w:t>
            </w:r>
          </w:p>
        </w:tc>
        <w:tc>
          <w:tcPr>
            <w:tcW w:w="5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D5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根据收集到23份内部工作人员满意度调查问卷，教职工的整体满意度为94.67%。依据评分规则，该指标得6分。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7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30589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0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9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90.6</w:t>
            </w:r>
          </w:p>
        </w:tc>
      </w:tr>
    </w:tbl>
    <w:p w14:paraId="5318B4FD">
      <w:pPr>
        <w:spacing w:line="580" w:lineRule="exact"/>
        <w:ind w:left="0" w:leftChars="0" w:firstLine="0" w:firstLineChars="0"/>
        <w:jc w:val="left"/>
        <w:rPr>
          <w:color w:val="000000"/>
          <w:sz w:val="30"/>
        </w:rPr>
        <w:sectPr>
          <w:headerReference r:id="rId13" w:type="default"/>
          <w:footerReference r:id="rId14" w:type="default"/>
          <w:pgSz w:w="16840" w:h="11900" w:orient="landscape"/>
          <w:pgMar w:top="720" w:right="720" w:bottom="720" w:left="720" w:header="0" w:footer="1440" w:gutter="0"/>
          <w:pgNumType w:fmt="decimal"/>
          <w:cols w:space="0" w:num="1"/>
          <w:rtlGutter w:val="0"/>
          <w:docGrid w:type="lines" w:linePitch="386" w:charSpace="0"/>
        </w:sectPr>
      </w:pPr>
    </w:p>
    <w:p w14:paraId="38E34A7F">
      <w:pPr>
        <w:pStyle w:val="2"/>
        <w:bidi w:val="0"/>
        <w:jc w:val="left"/>
        <w:rPr>
          <w:rFonts w:hint="eastAsia"/>
          <w:highlight w:val="none"/>
        </w:rPr>
      </w:pPr>
      <w:bookmarkStart w:id="62" w:name="_Toc29612"/>
      <w:bookmarkStart w:id="63" w:name="_Toc30377"/>
      <w:r>
        <w:rPr>
          <w:highlight w:val="none"/>
        </w:rPr>
        <w:t xml:space="preserve">附件二 </w:t>
      </w:r>
      <w:r>
        <w:rPr>
          <w:rFonts w:hint="eastAsia"/>
          <w:highlight w:val="none"/>
          <w:lang w:val="en-US" w:eastAsia="zh-CN"/>
        </w:rPr>
        <w:t>内部工作人员</w:t>
      </w:r>
      <w:r>
        <w:rPr>
          <w:highlight w:val="none"/>
        </w:rPr>
        <w:t>满意度分析报告</w:t>
      </w:r>
      <w:bookmarkEnd w:id="62"/>
      <w:bookmarkEnd w:id="63"/>
    </w:p>
    <w:p w14:paraId="003921EC">
      <w:pPr>
        <w:bidi w:val="0"/>
        <w:ind w:left="0" w:leftChars="0" w:firstLine="0" w:firstLineChars="0"/>
        <w:jc w:val="center"/>
        <w:rPr>
          <w:rFonts w:hint="eastAsia"/>
        </w:rPr>
      </w:pPr>
      <w:r>
        <w:rPr>
          <w:rFonts w:hint="eastAsia"/>
          <w:lang w:eastAsia="zh-CN"/>
        </w:rPr>
        <w:t>中共三门峡市陕州区委宣传部</w:t>
      </w:r>
      <w:r>
        <w:rPr>
          <w:rFonts w:hint="eastAsia"/>
        </w:rPr>
        <w:t>部门整体</w:t>
      </w:r>
      <w:r>
        <w:rPr>
          <w:rFonts w:hint="eastAsia"/>
          <w:lang w:eastAsia="zh-CN"/>
        </w:rPr>
        <w:t>2024</w:t>
      </w:r>
      <w:r>
        <w:rPr>
          <w:rFonts w:hint="eastAsia"/>
        </w:rPr>
        <w:t>年度的工作实施情况</w:t>
      </w:r>
    </w:p>
    <w:p w14:paraId="2A88B439">
      <w:pPr>
        <w:bidi w:val="0"/>
        <w:ind w:left="0" w:leftChars="0" w:firstLine="0" w:firstLineChars="0"/>
        <w:jc w:val="center"/>
        <w:rPr>
          <w:rFonts w:hint="eastAsia" w:eastAsia="宋体"/>
          <w:lang w:val="en-US" w:eastAsia="zh-CN"/>
        </w:rPr>
      </w:pPr>
      <w:r>
        <w:rPr>
          <w:rFonts w:hint="eastAsia"/>
          <w:lang w:val="en-US" w:eastAsia="zh-CN"/>
        </w:rPr>
        <w:t>内部工作人员</w:t>
      </w:r>
      <w:r>
        <w:rPr>
          <w:rFonts w:hint="eastAsia"/>
        </w:rPr>
        <w:t>满意度调查问卷</w:t>
      </w:r>
      <w:r>
        <w:rPr>
          <w:rFonts w:hint="eastAsia"/>
          <w:lang w:val="en-US" w:eastAsia="zh-CN"/>
        </w:rPr>
        <w:t>分析报告</w:t>
      </w:r>
    </w:p>
    <w:p w14:paraId="3B75B16E">
      <w:pPr>
        <w:pStyle w:val="5"/>
        <w:bidi w:val="0"/>
      </w:pPr>
      <w:r>
        <w:t>一、调查目的</w:t>
      </w:r>
    </w:p>
    <w:p w14:paraId="1CC0CE87">
      <w:pPr>
        <w:bidi w:val="0"/>
      </w:pPr>
      <w:r>
        <w:t>充分掌握</w:t>
      </w:r>
      <w:r>
        <w:rPr>
          <w:rFonts w:hint="eastAsia"/>
          <w:lang w:eastAsia="zh-CN"/>
        </w:rPr>
        <w:t>中共三门峡市陕州区委宣传部</w:t>
      </w:r>
      <w:r>
        <w:rPr>
          <w:rFonts w:hint="eastAsia"/>
        </w:rPr>
        <w:t>部门整体</w:t>
      </w:r>
      <w:r>
        <w:rPr>
          <w:rFonts w:hint="eastAsia"/>
          <w:lang w:val="en-US" w:eastAsia="zh-CN"/>
        </w:rPr>
        <w:t>2024年度</w:t>
      </w:r>
      <w:r>
        <w:t>的</w:t>
      </w:r>
      <w:r>
        <w:rPr>
          <w:rFonts w:hint="eastAsia"/>
          <w:lang w:val="en-US" w:eastAsia="zh-CN"/>
        </w:rPr>
        <w:t>工作</w:t>
      </w:r>
      <w:r>
        <w:t>实施情况，了解</w:t>
      </w:r>
      <w:r>
        <w:rPr>
          <w:rFonts w:hint="eastAsia"/>
          <w:lang w:val="en-US" w:eastAsia="zh-CN"/>
        </w:rPr>
        <w:t>内部工作人员对部门工作质量及成效的</w:t>
      </w:r>
      <w:r>
        <w:t>满意与认可程度。</w:t>
      </w:r>
    </w:p>
    <w:p w14:paraId="5400895D">
      <w:pPr>
        <w:pStyle w:val="5"/>
        <w:bidi w:val="0"/>
      </w:pPr>
      <w:r>
        <w:t>二、调查对象与调查内容</w:t>
      </w:r>
    </w:p>
    <w:p w14:paraId="52EEDC16">
      <w:pPr>
        <w:bidi w:val="0"/>
        <w:rPr>
          <w:rFonts w:hint="eastAsia" w:eastAsia="宋体"/>
          <w:lang w:eastAsia="zh-CN"/>
        </w:rPr>
      </w:pPr>
      <w:r>
        <w:t>本次调研对象为</w:t>
      </w:r>
      <w:r>
        <w:rPr>
          <w:rFonts w:hint="eastAsia"/>
          <w:lang w:eastAsia="zh-CN"/>
        </w:rPr>
        <w:t>中共三门峡市陕州区委宣传部</w:t>
      </w:r>
      <w:r>
        <w:rPr>
          <w:rFonts w:hint="eastAsia"/>
        </w:rPr>
        <w:t>部门整体</w:t>
      </w:r>
      <w:r>
        <w:rPr>
          <w:rFonts w:hint="eastAsia"/>
          <w:lang w:val="en-US" w:eastAsia="zh-CN"/>
        </w:rPr>
        <w:t>内部工作人员，</w:t>
      </w:r>
      <w:r>
        <w:t>问卷设计的内容侧重于</w:t>
      </w:r>
      <w:r>
        <w:rPr>
          <w:rFonts w:hint="eastAsia"/>
          <w:lang w:val="en-US" w:eastAsia="zh-CN"/>
        </w:rPr>
        <w:t>了解内部工作人员对部门工作</w:t>
      </w:r>
      <w:r>
        <w:t>质量及</w:t>
      </w:r>
      <w:r>
        <w:rPr>
          <w:rFonts w:hint="eastAsia"/>
          <w:lang w:val="en-US" w:eastAsia="zh-CN"/>
        </w:rPr>
        <w:t>成效</w:t>
      </w:r>
      <w:r>
        <w:t>的满意和认可程度</w:t>
      </w:r>
      <w:r>
        <w:rPr>
          <w:rFonts w:hint="eastAsia"/>
          <w:lang w:eastAsia="zh-CN"/>
        </w:rPr>
        <w:t>。</w:t>
      </w:r>
    </w:p>
    <w:p w14:paraId="7C140C5B">
      <w:pPr>
        <w:pStyle w:val="5"/>
        <w:bidi w:val="0"/>
      </w:pPr>
      <w:r>
        <w:t>三、调查方式与抽样方法</w:t>
      </w:r>
    </w:p>
    <w:p w14:paraId="3C4563C0">
      <w:pPr>
        <w:bidi w:val="0"/>
      </w:pPr>
      <w:r>
        <w:t>问卷调查采取</w:t>
      </w:r>
      <w:r>
        <w:rPr>
          <w:rFonts w:hint="eastAsia"/>
          <w:lang w:val="en-US" w:eastAsia="zh-CN"/>
        </w:rPr>
        <w:t>线上问卷（问卷星）</w:t>
      </w:r>
      <w:r>
        <w:t>方式进行，</w:t>
      </w:r>
      <w:r>
        <w:rPr>
          <w:rFonts w:hint="eastAsia"/>
          <w:lang w:val="en-US" w:eastAsia="zh-CN"/>
        </w:rPr>
        <w:t>随机</w:t>
      </w:r>
      <w:r>
        <w:t>抽取部分</w:t>
      </w:r>
      <w:r>
        <w:rPr>
          <w:rFonts w:hint="eastAsia"/>
          <w:lang w:val="en-US" w:eastAsia="zh-CN"/>
        </w:rPr>
        <w:t>陕州区委宣传部工作人员发放问卷</w:t>
      </w:r>
      <w:r>
        <w:t>进行满意度调查。</w:t>
      </w:r>
    </w:p>
    <w:p w14:paraId="2B0BDEF8">
      <w:pPr>
        <w:pStyle w:val="5"/>
        <w:bidi w:val="0"/>
      </w:pPr>
      <w:r>
        <w:t>四、问卷的发放和回收</w:t>
      </w:r>
    </w:p>
    <w:p w14:paraId="42389D1B">
      <w:pPr>
        <w:bidi w:val="0"/>
        <w:rPr>
          <w:rFonts w:hint="eastAsia" w:eastAsia="宋体"/>
          <w:lang w:eastAsia="zh-CN"/>
        </w:rPr>
      </w:pPr>
      <w:r>
        <w:t>本次</w:t>
      </w:r>
      <w:r>
        <w:rPr>
          <w:rFonts w:hint="eastAsia"/>
          <w:lang w:val="en-US" w:eastAsia="zh-CN"/>
        </w:rPr>
        <w:t>内部员工满意度问卷随机发放并有效填写共计23</w:t>
      </w:r>
      <w:r>
        <w:t>份</w:t>
      </w:r>
      <w:r>
        <w:rPr>
          <w:rFonts w:hint="eastAsia"/>
          <w:lang w:eastAsia="zh-CN"/>
        </w:rPr>
        <w:t>。</w:t>
      </w:r>
      <w:r>
        <w:rPr>
          <w:rFonts w:hint="eastAsia"/>
          <w:lang w:val="en-US" w:eastAsia="zh-CN"/>
        </w:rPr>
        <w:t>本次</w:t>
      </w:r>
      <w:r>
        <w:t>调查问卷填写完整，</w:t>
      </w:r>
      <w:r>
        <w:rPr>
          <w:rFonts w:hint="eastAsia"/>
          <w:lang w:val="en-US" w:eastAsia="zh-CN"/>
        </w:rPr>
        <w:t>随机性强</w:t>
      </w:r>
      <w:r>
        <w:t>，具有较强的代表性和可信度，可作为绩效评价报告</w:t>
      </w:r>
      <w:r>
        <w:rPr>
          <w:rFonts w:hint="eastAsia"/>
          <w:lang w:val="en-US" w:eastAsia="zh-CN"/>
        </w:rPr>
        <w:t>评分</w:t>
      </w:r>
      <w:r>
        <w:t>依据。</w:t>
      </w:r>
    </w:p>
    <w:p w14:paraId="139B96A0">
      <w:pPr>
        <w:pStyle w:val="5"/>
        <w:numPr>
          <w:ilvl w:val="0"/>
          <w:numId w:val="2"/>
        </w:numPr>
        <w:bidi w:val="0"/>
        <w:rPr>
          <w:rFonts w:hint="default"/>
          <w:lang w:val="en-US" w:eastAsia="zh-CN"/>
        </w:rPr>
        <w:sectPr>
          <w:headerReference r:id="rId15" w:type="default"/>
          <w:footerReference r:id="rId16" w:type="default"/>
          <w:pgSz w:w="11900" w:h="16840"/>
          <w:pgMar w:top="720" w:right="1678" w:bottom="1440" w:left="1678" w:header="0" w:footer="1440" w:gutter="0"/>
          <w:pgNumType w:fmt="decimal"/>
          <w:cols w:space="0" w:num="1"/>
          <w:rtlGutter w:val="0"/>
          <w:docGrid w:type="lines" w:linePitch="386" w:charSpace="0"/>
        </w:sectPr>
      </w:pPr>
      <w:r>
        <w:rPr>
          <w:rFonts w:hint="eastAsia"/>
          <w:lang w:val="en-US" w:eastAsia="zh-CN"/>
        </w:rPr>
        <w:t>内部工作人员满意度</w:t>
      </w:r>
      <w:r>
        <w:t>调查问</w:t>
      </w:r>
      <w:bookmarkStart w:id="64" w:name="_Toc4597"/>
      <w:r>
        <w:rPr>
          <w:rFonts w:hint="eastAsia"/>
          <w:lang w:val="en-US" w:eastAsia="zh-CN"/>
        </w:rPr>
        <w:t>卷分析</w:t>
      </w:r>
    </w:p>
    <w:p w14:paraId="32E8B03F">
      <w:pPr>
        <w:ind w:left="0" w:leftChars="0" w:firstLine="0" w:firstLineChars="0"/>
        <w:rPr>
          <w:highlight w:val="none"/>
        </w:rPr>
      </w:pPr>
    </w:p>
    <w:p w14:paraId="487792C8">
      <w:pPr>
        <w:spacing w:line="240" w:lineRule="auto"/>
        <w:ind w:left="0" w:leftChars="0" w:firstLine="0" w:firstLineChars="0"/>
        <w:rPr>
          <w:rFonts w:hint="eastAsia" w:eastAsia="宋体"/>
          <w:highlight w:val="none"/>
          <w:lang w:eastAsia="zh-CN"/>
        </w:rPr>
      </w:pPr>
      <w:r>
        <w:rPr>
          <w:rFonts w:hint="eastAsia" w:eastAsia="宋体"/>
          <w:highlight w:val="none"/>
          <w:lang w:eastAsia="zh-CN"/>
        </w:rPr>
        <w:drawing>
          <wp:inline distT="0" distB="0" distL="114300" distR="114300">
            <wp:extent cx="5196840" cy="8323580"/>
            <wp:effectExtent l="0" t="0" r="0" b="12700"/>
            <wp:docPr id="21" name="图片 21" descr="01ef77db48f44c37859a892650266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ef77db48f44c37859a8926502667d5"/>
                    <pic:cNvPicPr>
                      <a:picLocks noChangeAspect="1"/>
                    </pic:cNvPicPr>
                  </pic:nvPicPr>
                  <pic:blipFill>
                    <a:blip r:embed="rId27"/>
                    <a:stretch>
                      <a:fillRect/>
                    </a:stretch>
                  </pic:blipFill>
                  <pic:spPr>
                    <a:xfrm>
                      <a:off x="0" y="0"/>
                      <a:ext cx="5196840" cy="8323580"/>
                    </a:xfrm>
                    <a:prstGeom prst="rect">
                      <a:avLst/>
                    </a:prstGeom>
                  </pic:spPr>
                </pic:pic>
              </a:graphicData>
            </a:graphic>
          </wp:inline>
        </w:drawing>
      </w:r>
    </w:p>
    <w:p w14:paraId="681EB53D">
      <w:pPr>
        <w:spacing w:line="240" w:lineRule="auto"/>
        <w:rPr>
          <w:rFonts w:hint="eastAsia" w:eastAsia="宋体"/>
          <w:highlight w:val="none"/>
          <w:lang w:eastAsia="zh-CN"/>
        </w:rPr>
      </w:pPr>
      <w:r>
        <w:rPr>
          <w:rFonts w:hint="eastAsia" w:eastAsia="宋体"/>
          <w:highlight w:val="none"/>
          <w:lang w:eastAsia="zh-CN"/>
        </w:rPr>
        <w:drawing>
          <wp:inline distT="0" distB="0" distL="114300" distR="114300">
            <wp:extent cx="5105400" cy="8644890"/>
            <wp:effectExtent l="0" t="0" r="0" b="11430"/>
            <wp:docPr id="22" name="图片 22" descr="17f5ff0c10e926a1b272b86552c76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f5ff0c10e926a1b272b86552c767fd"/>
                    <pic:cNvPicPr>
                      <a:picLocks noChangeAspect="1"/>
                    </pic:cNvPicPr>
                  </pic:nvPicPr>
                  <pic:blipFill>
                    <a:blip r:embed="rId28"/>
                    <a:stretch>
                      <a:fillRect/>
                    </a:stretch>
                  </pic:blipFill>
                  <pic:spPr>
                    <a:xfrm>
                      <a:off x="0" y="0"/>
                      <a:ext cx="5105400" cy="8644890"/>
                    </a:xfrm>
                    <a:prstGeom prst="rect">
                      <a:avLst/>
                    </a:prstGeom>
                  </pic:spPr>
                </pic:pic>
              </a:graphicData>
            </a:graphic>
          </wp:inline>
        </w:drawing>
      </w:r>
    </w:p>
    <w:p w14:paraId="6CCD42D4">
      <w:pPr>
        <w:spacing w:line="240" w:lineRule="auto"/>
        <w:rPr>
          <w:rFonts w:hint="eastAsia" w:eastAsia="宋体"/>
          <w:highlight w:val="none"/>
          <w:lang w:eastAsia="zh-CN"/>
        </w:rPr>
      </w:pPr>
      <w:r>
        <w:rPr>
          <w:rFonts w:hint="eastAsia" w:eastAsia="宋体"/>
          <w:highlight w:val="none"/>
          <w:lang w:eastAsia="zh-CN"/>
        </w:rPr>
        <w:drawing>
          <wp:inline distT="0" distB="0" distL="114300" distR="114300">
            <wp:extent cx="5488940" cy="6264910"/>
            <wp:effectExtent l="0" t="0" r="12700" b="13970"/>
            <wp:docPr id="23" name="图片 23" descr="144b219d867694c4358b831ff46ad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44b219d867694c4358b831ff46ad6d4"/>
                    <pic:cNvPicPr>
                      <a:picLocks noChangeAspect="1"/>
                    </pic:cNvPicPr>
                  </pic:nvPicPr>
                  <pic:blipFill>
                    <a:blip r:embed="rId29"/>
                    <a:stretch>
                      <a:fillRect/>
                    </a:stretch>
                  </pic:blipFill>
                  <pic:spPr>
                    <a:xfrm>
                      <a:off x="0" y="0"/>
                      <a:ext cx="5488940" cy="6264910"/>
                    </a:xfrm>
                    <a:prstGeom prst="rect">
                      <a:avLst/>
                    </a:prstGeom>
                  </pic:spPr>
                </pic:pic>
              </a:graphicData>
            </a:graphic>
          </wp:inline>
        </w:drawing>
      </w:r>
    </w:p>
    <w:p w14:paraId="265D03E4">
      <w:pPr>
        <w:rPr>
          <w:highlight w:val="none"/>
        </w:rPr>
      </w:pPr>
    </w:p>
    <w:p w14:paraId="3E6B7901">
      <w:pPr>
        <w:spacing w:line="240" w:lineRule="auto"/>
        <w:rPr>
          <w:highlight w:val="none"/>
        </w:rPr>
      </w:pPr>
      <w:r>
        <w:rPr>
          <w:rFonts w:hint="eastAsia" w:eastAsia="宋体"/>
          <w:highlight w:val="none"/>
          <w:lang w:eastAsia="zh-CN"/>
        </w:rPr>
        <w:drawing>
          <wp:inline distT="0" distB="0" distL="114300" distR="114300">
            <wp:extent cx="5356860" cy="1981200"/>
            <wp:effectExtent l="0" t="0" r="7620" b="0"/>
            <wp:docPr id="24" name="图片 24" descr="ac9caeaced10af2334546316189e8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c9caeaced10af2334546316189e85bc"/>
                    <pic:cNvPicPr>
                      <a:picLocks noChangeAspect="1"/>
                    </pic:cNvPicPr>
                  </pic:nvPicPr>
                  <pic:blipFill>
                    <a:blip r:embed="rId30"/>
                    <a:stretch>
                      <a:fillRect/>
                    </a:stretch>
                  </pic:blipFill>
                  <pic:spPr>
                    <a:xfrm>
                      <a:off x="0" y="0"/>
                      <a:ext cx="5356860" cy="1981200"/>
                    </a:xfrm>
                    <a:prstGeom prst="rect">
                      <a:avLst/>
                    </a:prstGeom>
                  </pic:spPr>
                </pic:pic>
              </a:graphicData>
            </a:graphic>
          </wp:inline>
        </w:drawing>
      </w:r>
    </w:p>
    <w:p w14:paraId="3C71AA23">
      <w:pPr>
        <w:pStyle w:val="2"/>
        <w:bidi w:val="0"/>
        <w:jc w:val="left"/>
        <w:rPr>
          <w:rFonts w:hint="eastAsia"/>
          <w:highlight w:val="none"/>
        </w:rPr>
      </w:pPr>
      <w:bookmarkStart w:id="65" w:name="_Toc9556"/>
      <w:r>
        <w:rPr>
          <w:highlight w:val="none"/>
        </w:rPr>
        <w:t>附件</w:t>
      </w:r>
      <w:r>
        <w:rPr>
          <w:rFonts w:hint="eastAsia"/>
          <w:highlight w:val="none"/>
          <w:lang w:val="en-US" w:eastAsia="zh-CN"/>
        </w:rPr>
        <w:t>三</w:t>
      </w:r>
      <w:r>
        <w:rPr>
          <w:highlight w:val="none"/>
        </w:rPr>
        <w:t xml:space="preserve"> </w:t>
      </w:r>
      <w:r>
        <w:rPr>
          <w:rFonts w:hint="eastAsia"/>
          <w:highlight w:val="none"/>
          <w:lang w:val="en-US" w:eastAsia="zh-CN"/>
        </w:rPr>
        <w:t>社会公众</w:t>
      </w:r>
      <w:r>
        <w:rPr>
          <w:highlight w:val="none"/>
        </w:rPr>
        <w:t>满意度分析报告</w:t>
      </w:r>
      <w:bookmarkEnd w:id="65"/>
    </w:p>
    <w:p w14:paraId="1333DB62">
      <w:pPr>
        <w:bidi w:val="0"/>
        <w:ind w:left="0" w:leftChars="0" w:firstLine="0" w:firstLineChars="0"/>
        <w:jc w:val="center"/>
        <w:rPr>
          <w:rFonts w:hint="eastAsia"/>
        </w:rPr>
      </w:pPr>
      <w:r>
        <w:rPr>
          <w:rFonts w:hint="eastAsia"/>
          <w:lang w:eastAsia="zh-CN"/>
        </w:rPr>
        <w:t>中共三门峡市陕州区委宣传部</w:t>
      </w:r>
      <w:r>
        <w:rPr>
          <w:rFonts w:hint="eastAsia"/>
        </w:rPr>
        <w:t>部门整体</w:t>
      </w:r>
      <w:r>
        <w:rPr>
          <w:rFonts w:hint="eastAsia"/>
          <w:lang w:eastAsia="zh-CN"/>
        </w:rPr>
        <w:t>2024</w:t>
      </w:r>
      <w:r>
        <w:rPr>
          <w:rFonts w:hint="eastAsia"/>
        </w:rPr>
        <w:t>年度的工作实施情况</w:t>
      </w:r>
    </w:p>
    <w:p w14:paraId="7BB2D340">
      <w:pPr>
        <w:bidi w:val="0"/>
        <w:ind w:left="0" w:leftChars="0" w:firstLine="0" w:firstLineChars="0"/>
        <w:jc w:val="center"/>
        <w:rPr>
          <w:rFonts w:hint="eastAsia" w:eastAsia="宋体"/>
          <w:lang w:val="en-US" w:eastAsia="zh-CN"/>
        </w:rPr>
      </w:pPr>
      <w:r>
        <w:rPr>
          <w:rFonts w:hint="eastAsia"/>
          <w:lang w:val="en-US" w:eastAsia="zh-CN"/>
        </w:rPr>
        <w:t>社会公众</w:t>
      </w:r>
      <w:r>
        <w:rPr>
          <w:rFonts w:hint="eastAsia"/>
        </w:rPr>
        <w:t>满意度调查问卷</w:t>
      </w:r>
      <w:r>
        <w:rPr>
          <w:rFonts w:hint="eastAsia"/>
          <w:lang w:val="en-US" w:eastAsia="zh-CN"/>
        </w:rPr>
        <w:t>分析报告</w:t>
      </w:r>
    </w:p>
    <w:p w14:paraId="44815F7E">
      <w:pPr>
        <w:pStyle w:val="5"/>
        <w:bidi w:val="0"/>
      </w:pPr>
      <w:r>
        <w:t>一、调查目的</w:t>
      </w:r>
    </w:p>
    <w:p w14:paraId="2B483236">
      <w:pPr>
        <w:bidi w:val="0"/>
      </w:pPr>
      <w:r>
        <w:t>充分掌握</w:t>
      </w:r>
      <w:r>
        <w:rPr>
          <w:rFonts w:hint="eastAsia"/>
          <w:lang w:eastAsia="zh-CN"/>
        </w:rPr>
        <w:t>中共三门峡市陕州区委宣传部</w:t>
      </w:r>
      <w:r>
        <w:rPr>
          <w:rFonts w:hint="eastAsia"/>
        </w:rPr>
        <w:t>部门整体</w:t>
      </w:r>
      <w:r>
        <w:rPr>
          <w:rFonts w:hint="eastAsia"/>
          <w:lang w:val="en-US" w:eastAsia="zh-CN"/>
        </w:rPr>
        <w:t>2024年度</w:t>
      </w:r>
      <w:r>
        <w:t>的</w:t>
      </w:r>
      <w:r>
        <w:rPr>
          <w:rFonts w:hint="eastAsia"/>
          <w:lang w:val="en-US" w:eastAsia="zh-CN"/>
        </w:rPr>
        <w:t>工作</w:t>
      </w:r>
      <w:r>
        <w:t>实施情况，了解</w:t>
      </w:r>
      <w:r>
        <w:rPr>
          <w:rFonts w:hint="eastAsia"/>
          <w:lang w:val="en-US" w:eastAsia="zh-CN"/>
        </w:rPr>
        <w:t>当地社会公众</w:t>
      </w:r>
      <w:r>
        <w:t>对</w:t>
      </w:r>
      <w:r>
        <w:rPr>
          <w:rFonts w:hint="eastAsia"/>
          <w:lang w:val="en-US" w:eastAsia="zh-CN"/>
        </w:rPr>
        <w:t>部门履职质量及成效的</w:t>
      </w:r>
      <w:r>
        <w:t>满意与认可程度。</w:t>
      </w:r>
    </w:p>
    <w:p w14:paraId="7226DAC9">
      <w:pPr>
        <w:pStyle w:val="5"/>
        <w:bidi w:val="0"/>
      </w:pPr>
      <w:r>
        <w:t>二、调查对象与调查内容</w:t>
      </w:r>
    </w:p>
    <w:p w14:paraId="35CEB86D">
      <w:pPr>
        <w:bidi w:val="0"/>
        <w:rPr>
          <w:rFonts w:hint="eastAsia" w:eastAsia="宋体"/>
          <w:lang w:eastAsia="zh-CN"/>
        </w:rPr>
      </w:pPr>
      <w:r>
        <w:t>本次调研对象为</w:t>
      </w:r>
      <w:r>
        <w:rPr>
          <w:rFonts w:hint="eastAsia"/>
          <w:lang w:eastAsia="zh-CN"/>
        </w:rPr>
        <w:t>中共三门峡市陕州区委宣传部</w:t>
      </w:r>
      <w:r>
        <w:rPr>
          <w:rFonts w:hint="eastAsia"/>
        </w:rPr>
        <w:t>部门整体</w:t>
      </w:r>
      <w:r>
        <w:rPr>
          <w:rFonts w:hint="eastAsia"/>
          <w:lang w:eastAsia="zh-CN"/>
        </w:rPr>
        <w:t>2024</w:t>
      </w:r>
      <w:r>
        <w:rPr>
          <w:rFonts w:hint="eastAsia"/>
        </w:rPr>
        <w:t>年度的工作实施情况</w:t>
      </w:r>
      <w:r>
        <w:rPr>
          <w:rFonts w:hint="eastAsia"/>
          <w:lang w:val="en-US" w:eastAsia="zh-CN"/>
        </w:rPr>
        <w:t>的</w:t>
      </w:r>
      <w:r>
        <w:t>受益</w:t>
      </w:r>
      <w:r>
        <w:rPr>
          <w:rFonts w:hint="eastAsia"/>
          <w:lang w:val="en-US" w:eastAsia="zh-CN"/>
        </w:rPr>
        <w:t>群体之一：社会公众；</w:t>
      </w:r>
      <w:r>
        <w:t>问卷设计的内容侧重于</w:t>
      </w:r>
      <w:r>
        <w:rPr>
          <w:rFonts w:hint="eastAsia"/>
          <w:lang w:val="en-US" w:eastAsia="zh-CN"/>
        </w:rPr>
        <w:t>了解受益相关方对</w:t>
      </w:r>
      <w:r>
        <w:t>质量及</w:t>
      </w:r>
      <w:r>
        <w:rPr>
          <w:rFonts w:hint="eastAsia"/>
          <w:lang w:val="en-US" w:eastAsia="zh-CN"/>
        </w:rPr>
        <w:t>成效</w:t>
      </w:r>
      <w:r>
        <w:t>的满意和认可程度</w:t>
      </w:r>
      <w:r>
        <w:rPr>
          <w:rFonts w:hint="eastAsia"/>
          <w:lang w:eastAsia="zh-CN"/>
        </w:rPr>
        <w:t>。</w:t>
      </w:r>
    </w:p>
    <w:p w14:paraId="1CBD5057">
      <w:pPr>
        <w:pStyle w:val="5"/>
        <w:bidi w:val="0"/>
      </w:pPr>
      <w:r>
        <w:t>三、调查方式与抽样方法</w:t>
      </w:r>
    </w:p>
    <w:p w14:paraId="456CB884">
      <w:pPr>
        <w:bidi w:val="0"/>
      </w:pPr>
      <w:r>
        <w:t>问卷调查采取</w:t>
      </w:r>
      <w:r>
        <w:rPr>
          <w:rFonts w:hint="eastAsia"/>
          <w:lang w:val="en-US" w:eastAsia="zh-CN"/>
        </w:rPr>
        <w:t>线上问卷（问卷星）</w:t>
      </w:r>
      <w:r>
        <w:t>方式进行，</w:t>
      </w:r>
      <w:r>
        <w:rPr>
          <w:rFonts w:hint="eastAsia"/>
          <w:lang w:val="en-US" w:eastAsia="zh-CN"/>
        </w:rPr>
        <w:t>随机</w:t>
      </w:r>
      <w:r>
        <w:t>抽取部分受益</w:t>
      </w:r>
      <w:r>
        <w:rPr>
          <w:rFonts w:hint="eastAsia"/>
          <w:lang w:val="en-US" w:eastAsia="zh-CN"/>
        </w:rPr>
        <w:t>群体发放问卷</w:t>
      </w:r>
      <w:r>
        <w:t>进行满意度调查。</w:t>
      </w:r>
    </w:p>
    <w:p w14:paraId="04C06D33">
      <w:pPr>
        <w:pStyle w:val="5"/>
        <w:bidi w:val="0"/>
      </w:pPr>
      <w:r>
        <w:t>四、问卷的发放和回收</w:t>
      </w:r>
    </w:p>
    <w:p w14:paraId="6D04D2FD">
      <w:pPr>
        <w:bidi w:val="0"/>
      </w:pPr>
      <w:r>
        <w:t>本次</w:t>
      </w:r>
      <w:r>
        <w:rPr>
          <w:rFonts w:hint="eastAsia"/>
          <w:lang w:val="en-US" w:eastAsia="zh-CN"/>
        </w:rPr>
        <w:t>社会公众满意度问卷随机发放并有效填写共计32</w:t>
      </w:r>
      <w:r>
        <w:t>份</w:t>
      </w:r>
      <w:r>
        <w:rPr>
          <w:rFonts w:hint="eastAsia"/>
          <w:lang w:eastAsia="zh-CN"/>
        </w:rPr>
        <w:t>。</w:t>
      </w:r>
      <w:r>
        <w:rPr>
          <w:rFonts w:hint="eastAsia"/>
          <w:lang w:val="en-US" w:eastAsia="zh-CN"/>
        </w:rPr>
        <w:t>本次</w:t>
      </w:r>
      <w:r>
        <w:t>调查问卷填写完整，</w:t>
      </w:r>
      <w:r>
        <w:rPr>
          <w:rFonts w:hint="eastAsia"/>
          <w:lang w:val="en-US" w:eastAsia="zh-CN"/>
        </w:rPr>
        <w:t>随机性强</w:t>
      </w:r>
      <w:r>
        <w:t>，具有较强的代表性和可信度，可作为绩效评价报告研究重要依据。</w:t>
      </w:r>
    </w:p>
    <w:p w14:paraId="4DDA4C57">
      <w:pPr>
        <w:bidi w:val="0"/>
        <w:rPr>
          <w:rFonts w:hint="eastAsia"/>
          <w:lang w:val="en-US" w:eastAsia="zh-CN"/>
        </w:rPr>
      </w:pPr>
      <w:r>
        <w:rPr>
          <w:rFonts w:hint="eastAsia"/>
          <w:lang w:val="en-US" w:eastAsia="zh-CN"/>
        </w:rPr>
        <w:br w:type="textWrapping"/>
      </w:r>
    </w:p>
    <w:p w14:paraId="36A482B6">
      <w:pPr>
        <w:bidi w:val="0"/>
        <w:rPr>
          <w:rFonts w:hint="eastAsia"/>
          <w:lang w:val="en-US" w:eastAsia="zh-CN"/>
        </w:rPr>
      </w:pPr>
    </w:p>
    <w:p w14:paraId="28B1CEC0">
      <w:pPr>
        <w:bidi w:val="0"/>
        <w:rPr>
          <w:rFonts w:hint="eastAsia"/>
          <w:lang w:val="en-US" w:eastAsia="zh-CN"/>
        </w:rPr>
      </w:pPr>
    </w:p>
    <w:p w14:paraId="4ACAF392">
      <w:pPr>
        <w:pStyle w:val="5"/>
        <w:bidi w:val="0"/>
      </w:pPr>
      <w:r>
        <w:rPr>
          <w:rFonts w:hint="eastAsia" w:cs="宋体"/>
          <w:b/>
          <w:sz w:val="28"/>
          <w:szCs w:val="28"/>
          <w:lang w:val="en-US" w:eastAsia="zh-CN"/>
        </w:rPr>
        <w:t>五</w:t>
      </w:r>
      <w:r>
        <w:rPr>
          <w:rFonts w:hint="eastAsia" w:ascii="Arial" w:hAnsi="Arial" w:eastAsia="宋体" w:cs="宋体"/>
          <w:b/>
          <w:sz w:val="28"/>
          <w:szCs w:val="28"/>
        </w:rPr>
        <w:t>、</w:t>
      </w:r>
      <w:r>
        <w:rPr>
          <w:rFonts w:hint="eastAsia"/>
          <w:lang w:val="en-US" w:eastAsia="zh-CN"/>
        </w:rPr>
        <w:t>社会公众满意度</w:t>
      </w:r>
      <w:r>
        <w:t>调查问卷分析</w:t>
      </w:r>
    </w:p>
    <w:bookmarkEnd w:id="64"/>
    <w:p w14:paraId="45FD6A5A">
      <w:pPr>
        <w:bidi w:val="0"/>
        <w:spacing w:line="240" w:lineRule="auto"/>
        <w:ind w:firstLine="0" w:firstLineChars="0"/>
        <w:rPr>
          <w:rFonts w:hint="eastAsia"/>
          <w:lang w:eastAsia="zh-CN"/>
        </w:rPr>
      </w:pPr>
      <w:bookmarkStart w:id="66" w:name="_Toc26224"/>
      <w:bookmarkStart w:id="67" w:name="_Toc18333"/>
    </w:p>
    <w:p w14:paraId="4279B80B">
      <w:pPr>
        <w:bidi w:val="0"/>
        <w:spacing w:line="240" w:lineRule="auto"/>
        <w:ind w:firstLine="0" w:firstLineChars="0"/>
        <w:rPr>
          <w:rFonts w:hint="eastAsia"/>
          <w:lang w:eastAsia="zh-CN"/>
        </w:rPr>
      </w:pPr>
      <w:r>
        <w:rPr>
          <w:rFonts w:hint="eastAsia"/>
          <w:lang w:eastAsia="zh-CN"/>
        </w:rPr>
        <w:drawing>
          <wp:inline distT="0" distB="0" distL="114300" distR="114300">
            <wp:extent cx="5695950" cy="7981315"/>
            <wp:effectExtent l="0" t="0" r="3810" b="4445"/>
            <wp:docPr id="2" name="图片 2" descr="21c8369f69f483580866f9e7116d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c8369f69f483580866f9e7116d9059"/>
                    <pic:cNvPicPr>
                      <a:picLocks noChangeAspect="1"/>
                    </pic:cNvPicPr>
                  </pic:nvPicPr>
                  <pic:blipFill>
                    <a:blip r:embed="rId31"/>
                    <a:stretch>
                      <a:fillRect/>
                    </a:stretch>
                  </pic:blipFill>
                  <pic:spPr>
                    <a:xfrm>
                      <a:off x="0" y="0"/>
                      <a:ext cx="5695950" cy="7981315"/>
                    </a:xfrm>
                    <a:prstGeom prst="rect">
                      <a:avLst/>
                    </a:prstGeom>
                  </pic:spPr>
                </pic:pic>
              </a:graphicData>
            </a:graphic>
          </wp:inline>
        </w:drawing>
      </w:r>
      <w:bookmarkEnd w:id="66"/>
    </w:p>
    <w:p w14:paraId="2DE9AA43">
      <w:pPr>
        <w:bidi w:val="0"/>
        <w:spacing w:line="240" w:lineRule="auto"/>
        <w:ind w:firstLine="0" w:firstLineChars="0"/>
        <w:rPr>
          <w:rFonts w:hint="eastAsia"/>
          <w:lang w:eastAsia="zh-CN"/>
        </w:rPr>
      </w:pPr>
      <w:bookmarkStart w:id="68" w:name="_Toc6195"/>
      <w:r>
        <w:rPr>
          <w:rFonts w:hint="eastAsia"/>
          <w:lang w:eastAsia="zh-CN"/>
        </w:rPr>
        <w:drawing>
          <wp:inline distT="0" distB="0" distL="114300" distR="114300">
            <wp:extent cx="5588635" cy="7956550"/>
            <wp:effectExtent l="0" t="0" r="4445" b="13970"/>
            <wp:docPr id="8" name="图片 8" descr="deedf04900f973e493f66afcc1cca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edf04900f973e493f66afcc1cca370"/>
                    <pic:cNvPicPr>
                      <a:picLocks noChangeAspect="1"/>
                    </pic:cNvPicPr>
                  </pic:nvPicPr>
                  <pic:blipFill>
                    <a:blip r:embed="rId32"/>
                    <a:stretch>
                      <a:fillRect/>
                    </a:stretch>
                  </pic:blipFill>
                  <pic:spPr>
                    <a:xfrm>
                      <a:off x="0" y="0"/>
                      <a:ext cx="5588635" cy="7956550"/>
                    </a:xfrm>
                    <a:prstGeom prst="rect">
                      <a:avLst/>
                    </a:prstGeom>
                  </pic:spPr>
                </pic:pic>
              </a:graphicData>
            </a:graphic>
          </wp:inline>
        </w:drawing>
      </w:r>
      <w:bookmarkEnd w:id="68"/>
    </w:p>
    <w:p w14:paraId="1FCF344D">
      <w:pPr>
        <w:bidi w:val="0"/>
        <w:spacing w:line="240" w:lineRule="auto"/>
        <w:ind w:firstLine="0" w:firstLineChars="0"/>
        <w:rPr>
          <w:rFonts w:hint="eastAsia"/>
          <w:lang w:eastAsia="zh-CN"/>
        </w:rPr>
      </w:pPr>
    </w:p>
    <w:p w14:paraId="13661751">
      <w:pPr>
        <w:bidi w:val="0"/>
        <w:spacing w:line="240" w:lineRule="auto"/>
        <w:ind w:firstLine="0" w:firstLineChars="0"/>
        <w:rPr>
          <w:rFonts w:hint="eastAsia"/>
          <w:lang w:eastAsia="zh-CN"/>
        </w:rPr>
      </w:pPr>
    </w:p>
    <w:p w14:paraId="18038FF6">
      <w:pPr>
        <w:pStyle w:val="2"/>
        <w:bidi w:val="0"/>
        <w:rPr>
          <w:rFonts w:hint="eastAsia" w:eastAsia="宋体"/>
          <w:lang w:eastAsia="zh-CN"/>
        </w:rPr>
      </w:pPr>
      <w:bookmarkStart w:id="69" w:name="_Toc4217"/>
      <w:bookmarkStart w:id="70" w:name="_Toc187"/>
      <w:bookmarkStart w:id="71" w:name="_Toc13108"/>
      <w:bookmarkStart w:id="72" w:name="_Toc27720"/>
      <w:r>
        <w:rPr>
          <w:rFonts w:hint="eastAsia"/>
          <w:lang w:eastAsia="zh-CN"/>
        </w:rPr>
        <w:drawing>
          <wp:inline distT="0" distB="0" distL="114300" distR="114300">
            <wp:extent cx="5881370" cy="7646670"/>
            <wp:effectExtent l="0" t="0" r="1270" b="3810"/>
            <wp:docPr id="10" name="图片 10" descr="759649fe2da16205f9f920179839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9649fe2da16205f9f9201798395476"/>
                    <pic:cNvPicPr>
                      <a:picLocks noChangeAspect="1"/>
                    </pic:cNvPicPr>
                  </pic:nvPicPr>
                  <pic:blipFill>
                    <a:blip r:embed="rId33"/>
                    <a:stretch>
                      <a:fillRect/>
                    </a:stretch>
                  </pic:blipFill>
                  <pic:spPr>
                    <a:xfrm>
                      <a:off x="0" y="0"/>
                      <a:ext cx="5881370" cy="7646670"/>
                    </a:xfrm>
                    <a:prstGeom prst="rect">
                      <a:avLst/>
                    </a:prstGeom>
                  </pic:spPr>
                </pic:pic>
              </a:graphicData>
            </a:graphic>
          </wp:inline>
        </w:drawing>
      </w:r>
      <w:bookmarkEnd w:id="69"/>
      <w:bookmarkEnd w:id="70"/>
      <w:bookmarkEnd w:id="71"/>
      <w:bookmarkEnd w:id="72"/>
    </w:p>
    <w:p w14:paraId="66544677">
      <w:pPr>
        <w:pStyle w:val="2"/>
        <w:bidi w:val="0"/>
      </w:pPr>
    </w:p>
    <w:p w14:paraId="2D68E7E4">
      <w:pPr>
        <w:pStyle w:val="2"/>
        <w:bidi w:val="0"/>
      </w:pPr>
    </w:p>
    <w:p w14:paraId="1EA7EC16">
      <w:pPr>
        <w:pStyle w:val="2"/>
        <w:bidi w:val="0"/>
      </w:pPr>
    </w:p>
    <w:p w14:paraId="72D2A176">
      <w:pPr>
        <w:pStyle w:val="2"/>
        <w:bidi w:val="0"/>
        <w:rPr>
          <w:rFonts w:hint="eastAsia"/>
          <w:lang w:val="en-US" w:eastAsia="zh-CN"/>
        </w:rPr>
      </w:pPr>
      <w:bookmarkStart w:id="73" w:name="_Toc26078"/>
      <w:r>
        <w:t>附件</w:t>
      </w:r>
      <w:r>
        <w:rPr>
          <w:rFonts w:hint="eastAsia"/>
          <w:lang w:val="en-US" w:eastAsia="zh-CN"/>
        </w:rPr>
        <w:t>四</w:t>
      </w:r>
      <w:r>
        <w:t xml:space="preserve"> </w:t>
      </w:r>
      <w:r>
        <w:rPr>
          <w:rFonts w:hint="eastAsia"/>
          <w:lang w:val="en-US" w:eastAsia="zh-CN"/>
        </w:rPr>
        <w:t>评价小组成员资质证书</w:t>
      </w:r>
      <w:bookmarkEnd w:id="67"/>
      <w:bookmarkEnd w:id="73"/>
    </w:p>
    <w:p w14:paraId="7DFBEB21">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outlineLvl w:val="1"/>
      </w:pPr>
      <w:bookmarkStart w:id="74" w:name="_Toc12312"/>
      <w:bookmarkStart w:id="75" w:name="_Toc560"/>
      <w:bookmarkStart w:id="76" w:name="_Toc30906"/>
      <w:bookmarkStart w:id="77" w:name="_Toc23467"/>
      <w:bookmarkStart w:id="78" w:name="_Toc23406"/>
      <w:bookmarkStart w:id="79" w:name="_Toc19313"/>
      <w:bookmarkStart w:id="80" w:name="_Toc31535"/>
      <w:r>
        <w:rPr>
          <w:rFonts w:ascii="宋体" w:hAnsi="宋体" w:eastAsia="宋体" w:cs="宋体"/>
          <w:spacing w:val="-2"/>
          <w:sz w:val="30"/>
          <w:szCs w:val="30"/>
        </w:rPr>
        <w:t>绩效评价工作组成员表</w:t>
      </w:r>
      <w:bookmarkEnd w:id="74"/>
      <w:bookmarkEnd w:id="75"/>
      <w:bookmarkEnd w:id="76"/>
      <w:bookmarkEnd w:id="77"/>
      <w:bookmarkEnd w:id="78"/>
      <w:bookmarkEnd w:id="79"/>
      <w:bookmarkEnd w:id="80"/>
    </w:p>
    <w:tbl>
      <w:tblPr>
        <w:tblStyle w:val="31"/>
        <w:tblpPr w:leftFromText="180" w:rightFromText="180" w:vertAnchor="text" w:horzAnchor="page" w:tblpX="1400" w:tblpY="302"/>
        <w:tblOverlap w:val="never"/>
        <w:tblW w:w="938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7"/>
        <w:gridCol w:w="1934"/>
        <w:gridCol w:w="2266"/>
        <w:gridCol w:w="3960"/>
      </w:tblGrid>
      <w:tr w14:paraId="03AF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227" w:type="dxa"/>
            <w:vAlign w:val="center"/>
          </w:tcPr>
          <w:p w14:paraId="70CDAD83">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eastAsia" w:ascii="宋体" w:hAnsi="宋体" w:eastAsia="宋体" w:cs="宋体"/>
                <w:sz w:val="28"/>
                <w:szCs w:val="28"/>
                <w:highlight w:val="none"/>
                <w:lang w:eastAsia="zh-CN"/>
              </w:rPr>
            </w:pPr>
            <w:r>
              <w:rPr>
                <w:rFonts w:hint="eastAsia" w:cs="宋体"/>
                <w:spacing w:val="-5"/>
                <w:sz w:val="28"/>
                <w:szCs w:val="28"/>
                <w:highlight w:val="none"/>
                <w:lang w:val="en-US" w:eastAsia="zh-CN"/>
              </w:rPr>
              <w:t>序号</w:t>
            </w:r>
          </w:p>
        </w:tc>
        <w:tc>
          <w:tcPr>
            <w:tcW w:w="1934" w:type="dxa"/>
            <w:vAlign w:val="center"/>
          </w:tcPr>
          <w:p w14:paraId="485FEB19">
            <w:pPr>
              <w:keepNext w:val="0"/>
              <w:keepLines w:val="0"/>
              <w:pageBreakBefore w:val="0"/>
              <w:widowControl/>
              <w:kinsoku w:val="0"/>
              <w:wordWrap/>
              <w:overflowPunct/>
              <w:topLinePunct w:val="0"/>
              <w:autoSpaceDE w:val="0"/>
              <w:autoSpaceDN w:val="0"/>
              <w:bidi w:val="0"/>
              <w:adjustRightInd w:val="0"/>
              <w:snapToGrid w:val="0"/>
              <w:spacing w:line="220" w:lineRule="auto"/>
              <w:ind w:left="0" w:leftChars="0" w:firstLine="540" w:firstLineChars="200"/>
              <w:jc w:val="center"/>
              <w:textAlignment w:val="baseline"/>
              <w:rPr>
                <w:rFonts w:ascii="宋体" w:hAnsi="宋体" w:eastAsia="宋体" w:cs="宋体"/>
                <w:spacing w:val="-6"/>
                <w:sz w:val="28"/>
                <w:szCs w:val="28"/>
                <w:highlight w:val="none"/>
              </w:rPr>
            </w:pPr>
            <w:r>
              <w:rPr>
                <w:rFonts w:ascii="宋体" w:hAnsi="宋体" w:eastAsia="宋体" w:cs="宋体"/>
                <w:spacing w:val="-5"/>
                <w:sz w:val="28"/>
                <w:szCs w:val="28"/>
                <w:highlight w:val="none"/>
              </w:rPr>
              <w:t>姓名</w:t>
            </w:r>
          </w:p>
        </w:tc>
        <w:tc>
          <w:tcPr>
            <w:tcW w:w="2266" w:type="dxa"/>
            <w:vAlign w:val="center"/>
          </w:tcPr>
          <w:p w14:paraId="6C85682B">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ascii="宋体" w:hAnsi="宋体" w:eastAsia="宋体" w:cs="宋体"/>
                <w:sz w:val="28"/>
                <w:szCs w:val="28"/>
                <w:highlight w:val="none"/>
              </w:rPr>
            </w:pPr>
            <w:r>
              <w:rPr>
                <w:rFonts w:ascii="宋体" w:hAnsi="宋体" w:eastAsia="宋体" w:cs="宋体"/>
                <w:spacing w:val="-6"/>
                <w:sz w:val="28"/>
                <w:szCs w:val="28"/>
                <w:highlight w:val="none"/>
              </w:rPr>
              <w:t>职务</w:t>
            </w:r>
          </w:p>
        </w:tc>
        <w:tc>
          <w:tcPr>
            <w:tcW w:w="3960" w:type="dxa"/>
            <w:vAlign w:val="center"/>
          </w:tcPr>
          <w:p w14:paraId="7D209731">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8"/>
                <w:szCs w:val="28"/>
                <w:highlight w:val="none"/>
              </w:rPr>
            </w:pPr>
            <w:bookmarkStart w:id="81" w:name="_Toc365647281"/>
            <w:r>
              <w:rPr>
                <w:rFonts w:hint="eastAsia" w:ascii="宋体" w:hAnsi="宋体" w:eastAsia="宋体" w:cs="宋体"/>
                <w:color w:val="000000"/>
                <w:sz w:val="28"/>
                <w:szCs w:val="28"/>
              </w:rPr>
              <w:t>执业或职业资格证明</w:t>
            </w:r>
            <w:bookmarkEnd w:id="81"/>
          </w:p>
        </w:tc>
      </w:tr>
      <w:tr w14:paraId="50C1A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227" w:type="dxa"/>
            <w:vAlign w:val="center"/>
          </w:tcPr>
          <w:p w14:paraId="225404FF">
            <w:pPr>
              <w:keepNext w:val="0"/>
              <w:keepLines w:val="0"/>
              <w:pageBreakBefore w:val="0"/>
              <w:widowControl/>
              <w:kinsoku w:val="0"/>
              <w:wordWrap/>
              <w:overflowPunct/>
              <w:topLinePunct w:val="0"/>
              <w:autoSpaceDE w:val="0"/>
              <w:autoSpaceDN w:val="0"/>
              <w:bidi w:val="0"/>
              <w:adjustRightInd w:val="0"/>
              <w:snapToGrid w:val="0"/>
              <w:spacing w:line="220"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①</w:t>
            </w:r>
          </w:p>
        </w:tc>
        <w:tc>
          <w:tcPr>
            <w:tcW w:w="1934" w:type="dxa"/>
            <w:vAlign w:val="center"/>
          </w:tcPr>
          <w:p w14:paraId="771370C9">
            <w:pPr>
              <w:keepNext w:val="0"/>
              <w:keepLines w:val="0"/>
              <w:pageBreakBefore w:val="0"/>
              <w:widowControl/>
              <w:kinsoku w:val="0"/>
              <w:wordWrap/>
              <w:overflowPunct/>
              <w:topLinePunct w:val="0"/>
              <w:autoSpaceDE w:val="0"/>
              <w:autoSpaceDN w:val="0"/>
              <w:bidi w:val="0"/>
              <w:adjustRightInd w:val="0"/>
              <w:snapToGrid w:val="0"/>
              <w:spacing w:line="220" w:lineRule="auto"/>
              <w:ind w:left="0" w:leftChars="0" w:firstLine="560" w:firstLineChars="200"/>
              <w:jc w:val="left"/>
              <w:textAlignment w:val="baseline"/>
              <w:rPr>
                <w:rFonts w:hint="eastAsia" w:cs="宋体"/>
                <w:spacing w:val="-7"/>
                <w:sz w:val="28"/>
                <w:szCs w:val="28"/>
                <w:highlight w:val="none"/>
                <w:lang w:val="en-US" w:eastAsia="zh-CN"/>
              </w:rPr>
            </w:pPr>
            <w:r>
              <w:rPr>
                <w:rFonts w:hint="eastAsia" w:cs="宋体"/>
                <w:sz w:val="28"/>
                <w:szCs w:val="28"/>
                <w:highlight w:val="none"/>
                <w:lang w:val="en-US" w:eastAsia="zh-CN"/>
              </w:rPr>
              <w:t>赵桥</w:t>
            </w:r>
          </w:p>
        </w:tc>
        <w:tc>
          <w:tcPr>
            <w:tcW w:w="2266" w:type="dxa"/>
            <w:vAlign w:val="center"/>
          </w:tcPr>
          <w:p w14:paraId="7C9A546F">
            <w:pPr>
              <w:keepNext w:val="0"/>
              <w:keepLines w:val="0"/>
              <w:pageBreakBefore w:val="0"/>
              <w:widowControl/>
              <w:kinsoku w:val="0"/>
              <w:wordWrap/>
              <w:overflowPunct/>
              <w:topLinePunct w:val="0"/>
              <w:autoSpaceDE w:val="0"/>
              <w:autoSpaceDN w:val="0"/>
              <w:bidi w:val="0"/>
              <w:adjustRightInd w:val="0"/>
              <w:snapToGrid w:val="0"/>
              <w:spacing w:line="224" w:lineRule="auto"/>
              <w:ind w:left="0" w:leftChars="0" w:firstLine="0" w:firstLineChars="0"/>
              <w:jc w:val="both"/>
              <w:textAlignment w:val="baseline"/>
              <w:rPr>
                <w:rFonts w:ascii="宋体" w:hAnsi="宋体" w:eastAsia="宋体" w:cs="宋体"/>
                <w:sz w:val="28"/>
                <w:szCs w:val="28"/>
                <w:highlight w:val="none"/>
              </w:rPr>
            </w:pPr>
            <w:r>
              <w:rPr>
                <w:rFonts w:hint="eastAsia" w:cs="宋体"/>
                <w:spacing w:val="-7"/>
                <w:sz w:val="28"/>
                <w:szCs w:val="28"/>
                <w:highlight w:val="none"/>
                <w:lang w:val="en-US" w:eastAsia="zh-CN"/>
              </w:rPr>
              <w:t>项目负责人</w:t>
            </w:r>
          </w:p>
        </w:tc>
        <w:tc>
          <w:tcPr>
            <w:tcW w:w="3960" w:type="dxa"/>
            <w:vAlign w:val="center"/>
          </w:tcPr>
          <w:p w14:paraId="4109230E">
            <w:pPr>
              <w:keepNext w:val="0"/>
              <w:keepLines w:val="0"/>
              <w:pageBreakBefore w:val="0"/>
              <w:widowControl/>
              <w:kinsoku w:val="0"/>
              <w:wordWrap/>
              <w:overflowPunct/>
              <w:topLinePunct w:val="0"/>
              <w:autoSpaceDE w:val="0"/>
              <w:autoSpaceDN w:val="0"/>
              <w:bidi w:val="0"/>
              <w:adjustRightInd w:val="0"/>
              <w:snapToGrid w:val="0"/>
              <w:spacing w:line="220"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注册会计师、</w:t>
            </w:r>
            <w:r>
              <w:rPr>
                <w:rFonts w:hint="eastAsia" w:ascii="宋体" w:hAnsi="宋体" w:eastAsia="宋体" w:cs="宋体"/>
                <w:sz w:val="28"/>
                <w:szCs w:val="28"/>
                <w:highlight w:val="none"/>
                <w:lang w:val="en-US" w:eastAsia="zh-CN"/>
              </w:rPr>
              <w:t>高级会计师</w:t>
            </w:r>
          </w:p>
        </w:tc>
      </w:tr>
      <w:tr w14:paraId="5D57F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227" w:type="dxa"/>
            <w:vAlign w:val="center"/>
          </w:tcPr>
          <w:p w14:paraId="2656BEFA">
            <w:pPr>
              <w:keepNext w:val="0"/>
              <w:keepLines w:val="0"/>
              <w:pageBreakBefore w:val="0"/>
              <w:widowControl/>
              <w:kinsoku w:val="0"/>
              <w:wordWrap/>
              <w:overflowPunct/>
              <w:topLinePunct w:val="0"/>
              <w:autoSpaceDE w:val="0"/>
              <w:autoSpaceDN w:val="0"/>
              <w:bidi w:val="0"/>
              <w:adjustRightInd w:val="0"/>
              <w:snapToGrid w:val="0"/>
              <w:spacing w:line="220"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②</w:t>
            </w:r>
          </w:p>
        </w:tc>
        <w:tc>
          <w:tcPr>
            <w:tcW w:w="1934" w:type="dxa"/>
            <w:vAlign w:val="center"/>
          </w:tcPr>
          <w:p w14:paraId="2A9EC965">
            <w:pPr>
              <w:keepNext w:val="0"/>
              <w:keepLines w:val="0"/>
              <w:pageBreakBefore w:val="0"/>
              <w:widowControl/>
              <w:kinsoku w:val="0"/>
              <w:wordWrap/>
              <w:overflowPunct/>
              <w:topLinePunct w:val="0"/>
              <w:autoSpaceDE w:val="0"/>
              <w:autoSpaceDN w:val="0"/>
              <w:bidi w:val="0"/>
              <w:adjustRightInd w:val="0"/>
              <w:snapToGrid w:val="0"/>
              <w:spacing w:line="220" w:lineRule="auto"/>
              <w:ind w:left="0" w:leftChars="0" w:firstLine="560" w:firstLineChars="200"/>
              <w:jc w:val="left"/>
              <w:textAlignment w:val="baseline"/>
              <w:rPr>
                <w:rFonts w:hint="default" w:cs="宋体"/>
                <w:spacing w:val="-7"/>
                <w:sz w:val="28"/>
                <w:szCs w:val="28"/>
                <w:highlight w:val="none"/>
                <w:lang w:val="en-US" w:eastAsia="zh-CN"/>
              </w:rPr>
            </w:pPr>
            <w:r>
              <w:rPr>
                <w:rFonts w:hint="eastAsia" w:cs="宋体"/>
                <w:sz w:val="28"/>
                <w:szCs w:val="28"/>
                <w:highlight w:val="none"/>
                <w:lang w:val="en-US" w:eastAsia="zh-CN"/>
              </w:rPr>
              <w:t>付宪法</w:t>
            </w:r>
          </w:p>
        </w:tc>
        <w:tc>
          <w:tcPr>
            <w:tcW w:w="2266" w:type="dxa"/>
            <w:vAlign w:val="center"/>
          </w:tcPr>
          <w:p w14:paraId="3D843DAF">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0" w:firstLineChars="0"/>
              <w:jc w:val="left"/>
              <w:textAlignment w:val="baseline"/>
              <w:rPr>
                <w:rFonts w:hint="default" w:ascii="宋体" w:hAnsi="宋体" w:eastAsia="宋体" w:cs="宋体"/>
                <w:sz w:val="28"/>
                <w:szCs w:val="28"/>
                <w:highlight w:val="none"/>
                <w:lang w:val="en-US" w:eastAsia="zh-CN"/>
              </w:rPr>
            </w:pPr>
            <w:r>
              <w:rPr>
                <w:rFonts w:hint="eastAsia" w:cs="宋体"/>
                <w:spacing w:val="-7"/>
                <w:sz w:val="28"/>
                <w:szCs w:val="28"/>
                <w:highlight w:val="none"/>
                <w:lang w:val="en-US" w:eastAsia="zh-CN"/>
              </w:rPr>
              <w:t>管理专家</w:t>
            </w:r>
          </w:p>
        </w:tc>
        <w:tc>
          <w:tcPr>
            <w:tcW w:w="3960" w:type="dxa"/>
            <w:vAlign w:val="center"/>
          </w:tcPr>
          <w:p w14:paraId="5281E487">
            <w:pPr>
              <w:keepNext w:val="0"/>
              <w:keepLines w:val="0"/>
              <w:pageBreakBefore w:val="0"/>
              <w:widowControl/>
              <w:kinsoku w:val="0"/>
              <w:wordWrap/>
              <w:overflowPunct/>
              <w:topLinePunct w:val="0"/>
              <w:autoSpaceDE w:val="0"/>
              <w:autoSpaceDN w:val="0"/>
              <w:bidi w:val="0"/>
              <w:adjustRightInd w:val="0"/>
              <w:snapToGrid w:val="0"/>
              <w:spacing w:line="225"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注册会计师、中级会计师</w:t>
            </w:r>
          </w:p>
        </w:tc>
      </w:tr>
      <w:tr w14:paraId="62CE6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227" w:type="dxa"/>
            <w:vAlign w:val="center"/>
          </w:tcPr>
          <w:p w14:paraId="7E611DFE">
            <w:pPr>
              <w:keepNext w:val="0"/>
              <w:keepLines w:val="0"/>
              <w:pageBreakBefore w:val="0"/>
              <w:widowControl/>
              <w:kinsoku w:val="0"/>
              <w:wordWrap/>
              <w:overflowPunct/>
              <w:topLinePunct w:val="0"/>
              <w:autoSpaceDE w:val="0"/>
              <w:autoSpaceDN w:val="0"/>
              <w:bidi w:val="0"/>
              <w:adjustRightInd w:val="0"/>
              <w:snapToGrid w:val="0"/>
              <w:spacing w:line="222"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③</w:t>
            </w:r>
          </w:p>
        </w:tc>
        <w:tc>
          <w:tcPr>
            <w:tcW w:w="1934" w:type="dxa"/>
            <w:vAlign w:val="center"/>
          </w:tcPr>
          <w:p w14:paraId="510E49C8">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560" w:firstLineChars="200"/>
              <w:jc w:val="left"/>
              <w:textAlignment w:val="baseline"/>
              <w:rPr>
                <w:rFonts w:hint="eastAsia" w:cs="宋体"/>
                <w:spacing w:val="-7"/>
                <w:sz w:val="28"/>
                <w:szCs w:val="28"/>
                <w:highlight w:val="none"/>
                <w:lang w:val="en-US" w:eastAsia="zh-CN"/>
              </w:rPr>
            </w:pPr>
            <w:r>
              <w:rPr>
                <w:rFonts w:hint="eastAsia" w:cs="宋体"/>
                <w:sz w:val="28"/>
                <w:szCs w:val="28"/>
                <w:highlight w:val="none"/>
                <w:lang w:val="en-US" w:eastAsia="zh-CN"/>
              </w:rPr>
              <w:t>王斌</w:t>
            </w:r>
          </w:p>
        </w:tc>
        <w:tc>
          <w:tcPr>
            <w:tcW w:w="2266" w:type="dxa"/>
            <w:vAlign w:val="center"/>
          </w:tcPr>
          <w:p w14:paraId="22A449CB">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0" w:firstLineChars="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跟踪服务</w:t>
            </w:r>
          </w:p>
        </w:tc>
        <w:tc>
          <w:tcPr>
            <w:tcW w:w="3960" w:type="dxa"/>
            <w:vAlign w:val="center"/>
          </w:tcPr>
          <w:p w14:paraId="3C309EC5">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注册会计师</w:t>
            </w:r>
          </w:p>
        </w:tc>
      </w:tr>
      <w:tr w14:paraId="2B0ED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227" w:type="dxa"/>
            <w:vAlign w:val="center"/>
          </w:tcPr>
          <w:p w14:paraId="5CEC5794">
            <w:pPr>
              <w:keepNext w:val="0"/>
              <w:keepLines w:val="0"/>
              <w:pageBreakBefore w:val="0"/>
              <w:widowControl/>
              <w:kinsoku w:val="0"/>
              <w:wordWrap/>
              <w:overflowPunct/>
              <w:topLinePunct w:val="0"/>
              <w:autoSpaceDE w:val="0"/>
              <w:autoSpaceDN w:val="0"/>
              <w:bidi w:val="0"/>
              <w:adjustRightInd w:val="0"/>
              <w:snapToGrid w:val="0"/>
              <w:spacing w:line="221"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④</w:t>
            </w:r>
          </w:p>
        </w:tc>
        <w:tc>
          <w:tcPr>
            <w:tcW w:w="1934" w:type="dxa"/>
            <w:vAlign w:val="center"/>
          </w:tcPr>
          <w:p w14:paraId="3F67054E">
            <w:pPr>
              <w:keepNext w:val="0"/>
              <w:keepLines w:val="0"/>
              <w:pageBreakBefore w:val="0"/>
              <w:widowControl/>
              <w:kinsoku w:val="0"/>
              <w:wordWrap/>
              <w:overflowPunct/>
              <w:topLinePunct w:val="0"/>
              <w:autoSpaceDE w:val="0"/>
              <w:autoSpaceDN w:val="0"/>
              <w:bidi w:val="0"/>
              <w:adjustRightInd w:val="0"/>
              <w:snapToGrid w:val="0"/>
              <w:spacing w:line="221" w:lineRule="auto"/>
              <w:ind w:left="0" w:leftChars="0" w:firstLine="560" w:firstLineChars="200"/>
              <w:jc w:val="left"/>
              <w:textAlignment w:val="baseline"/>
              <w:rPr>
                <w:rFonts w:hint="eastAsia" w:cs="宋体"/>
                <w:spacing w:val="-7"/>
                <w:sz w:val="28"/>
                <w:szCs w:val="28"/>
                <w:highlight w:val="none"/>
                <w:lang w:val="en-US" w:eastAsia="zh-CN"/>
              </w:rPr>
            </w:pPr>
            <w:r>
              <w:rPr>
                <w:rFonts w:hint="eastAsia" w:cs="宋体"/>
                <w:sz w:val="28"/>
                <w:szCs w:val="28"/>
                <w:highlight w:val="none"/>
                <w:lang w:val="en-US" w:eastAsia="zh-CN"/>
              </w:rPr>
              <w:t>刘小利</w:t>
            </w:r>
          </w:p>
        </w:tc>
        <w:tc>
          <w:tcPr>
            <w:tcW w:w="2266" w:type="dxa"/>
            <w:vAlign w:val="center"/>
          </w:tcPr>
          <w:p w14:paraId="7C003AEE">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0" w:firstLineChars="0"/>
              <w:jc w:val="left"/>
              <w:textAlignment w:val="baseline"/>
              <w:rPr>
                <w:rFonts w:hint="default" w:ascii="宋体" w:hAnsi="宋体" w:eastAsia="宋体" w:cs="宋体"/>
                <w:sz w:val="28"/>
                <w:szCs w:val="28"/>
                <w:highlight w:val="none"/>
                <w:lang w:val="en-US" w:eastAsia="zh-CN"/>
              </w:rPr>
            </w:pPr>
            <w:r>
              <w:rPr>
                <w:rFonts w:hint="eastAsia" w:cs="宋体"/>
                <w:spacing w:val="-7"/>
                <w:sz w:val="28"/>
                <w:szCs w:val="28"/>
                <w:highlight w:val="none"/>
                <w:lang w:val="en-US" w:eastAsia="zh-CN"/>
              </w:rPr>
              <w:t>小组负责人</w:t>
            </w:r>
          </w:p>
        </w:tc>
        <w:tc>
          <w:tcPr>
            <w:tcW w:w="3960" w:type="dxa"/>
            <w:vAlign w:val="center"/>
          </w:tcPr>
          <w:p w14:paraId="53D92A40">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default" w:ascii="宋体" w:hAnsi="宋体" w:eastAsia="宋体" w:cs="宋体"/>
                <w:spacing w:val="-4"/>
                <w:sz w:val="28"/>
                <w:szCs w:val="28"/>
                <w:highlight w:val="none"/>
                <w:lang w:val="en-US" w:eastAsia="zh-CN"/>
              </w:rPr>
            </w:pPr>
            <w:r>
              <w:rPr>
                <w:rFonts w:hint="eastAsia" w:cs="宋体"/>
                <w:spacing w:val="-4"/>
                <w:sz w:val="28"/>
                <w:szCs w:val="28"/>
                <w:highlight w:val="none"/>
                <w:lang w:val="en-US" w:eastAsia="zh-CN"/>
              </w:rPr>
              <w:t>注册会计师</w:t>
            </w:r>
          </w:p>
        </w:tc>
      </w:tr>
      <w:tr w14:paraId="15023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227" w:type="dxa"/>
            <w:vAlign w:val="center"/>
          </w:tcPr>
          <w:p w14:paraId="69F36A82">
            <w:pPr>
              <w:keepNext w:val="0"/>
              <w:keepLines w:val="0"/>
              <w:pageBreakBefore w:val="0"/>
              <w:widowControl/>
              <w:kinsoku w:val="0"/>
              <w:wordWrap/>
              <w:overflowPunct/>
              <w:topLinePunct w:val="0"/>
              <w:autoSpaceDE w:val="0"/>
              <w:autoSpaceDN w:val="0"/>
              <w:bidi w:val="0"/>
              <w:adjustRightInd w:val="0"/>
              <w:snapToGrid w:val="0"/>
              <w:spacing w:line="221" w:lineRule="auto"/>
              <w:jc w:val="left"/>
              <w:textAlignment w:val="baseline"/>
              <w:rPr>
                <w:rFonts w:hint="default" w:cs="宋体"/>
                <w:sz w:val="28"/>
                <w:szCs w:val="28"/>
                <w:highlight w:val="none"/>
                <w:lang w:val="en-US" w:eastAsia="zh-CN"/>
              </w:rPr>
            </w:pPr>
            <w:r>
              <w:rPr>
                <w:rFonts w:hint="eastAsia" w:cs="宋体"/>
                <w:sz w:val="28"/>
                <w:szCs w:val="28"/>
                <w:highlight w:val="none"/>
                <w:lang w:val="en-US" w:eastAsia="zh-CN"/>
              </w:rPr>
              <w:t>⑤</w:t>
            </w:r>
          </w:p>
        </w:tc>
        <w:tc>
          <w:tcPr>
            <w:tcW w:w="1934" w:type="dxa"/>
            <w:vAlign w:val="center"/>
          </w:tcPr>
          <w:p w14:paraId="7C005AB4">
            <w:pPr>
              <w:keepNext w:val="0"/>
              <w:keepLines w:val="0"/>
              <w:pageBreakBefore w:val="0"/>
              <w:widowControl/>
              <w:kinsoku w:val="0"/>
              <w:wordWrap/>
              <w:overflowPunct/>
              <w:topLinePunct w:val="0"/>
              <w:autoSpaceDE w:val="0"/>
              <w:autoSpaceDN w:val="0"/>
              <w:bidi w:val="0"/>
              <w:adjustRightInd w:val="0"/>
              <w:snapToGrid w:val="0"/>
              <w:spacing w:line="221" w:lineRule="auto"/>
              <w:ind w:firstLine="560" w:firstLineChars="200"/>
              <w:jc w:val="left"/>
              <w:textAlignment w:val="baseline"/>
              <w:rPr>
                <w:rFonts w:hint="eastAsia" w:cs="宋体"/>
                <w:spacing w:val="-7"/>
                <w:sz w:val="28"/>
                <w:szCs w:val="28"/>
                <w:highlight w:val="none"/>
                <w:lang w:val="en-US" w:eastAsia="zh-CN"/>
              </w:rPr>
            </w:pPr>
            <w:r>
              <w:rPr>
                <w:rFonts w:hint="eastAsia" w:cs="宋体"/>
                <w:sz w:val="28"/>
                <w:szCs w:val="28"/>
                <w:highlight w:val="none"/>
                <w:lang w:val="en-US" w:eastAsia="zh-CN"/>
              </w:rPr>
              <w:t>何洁</w:t>
            </w:r>
          </w:p>
        </w:tc>
        <w:tc>
          <w:tcPr>
            <w:tcW w:w="2266" w:type="dxa"/>
            <w:vAlign w:val="center"/>
          </w:tcPr>
          <w:p w14:paraId="365482DD">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0" w:firstLineChars="0"/>
              <w:jc w:val="left"/>
              <w:textAlignment w:val="baseline"/>
              <w:rPr>
                <w:rFonts w:hint="default" w:cs="宋体"/>
                <w:spacing w:val="-7"/>
                <w:sz w:val="28"/>
                <w:szCs w:val="28"/>
                <w:highlight w:val="none"/>
                <w:lang w:val="en-US" w:eastAsia="zh-CN"/>
              </w:rPr>
            </w:pPr>
            <w:r>
              <w:rPr>
                <w:rFonts w:hint="eastAsia" w:cs="宋体"/>
                <w:spacing w:val="-7"/>
                <w:sz w:val="28"/>
                <w:szCs w:val="28"/>
                <w:highlight w:val="none"/>
                <w:lang w:val="en-US" w:eastAsia="zh-CN"/>
              </w:rPr>
              <w:t>组员</w:t>
            </w:r>
          </w:p>
        </w:tc>
        <w:tc>
          <w:tcPr>
            <w:tcW w:w="3960" w:type="dxa"/>
            <w:vAlign w:val="center"/>
          </w:tcPr>
          <w:p w14:paraId="6CE3CBA5">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default" w:ascii="宋体" w:hAnsi="宋体" w:eastAsia="宋体" w:cs="宋体"/>
                <w:spacing w:val="-4"/>
                <w:sz w:val="28"/>
                <w:szCs w:val="28"/>
                <w:highlight w:val="none"/>
                <w:lang w:val="en-US" w:eastAsia="zh-CN"/>
              </w:rPr>
            </w:pPr>
            <w:r>
              <w:rPr>
                <w:rFonts w:hint="eastAsia" w:cs="宋体"/>
                <w:spacing w:val="-4"/>
                <w:sz w:val="28"/>
                <w:szCs w:val="28"/>
                <w:highlight w:val="none"/>
                <w:lang w:val="en-US" w:eastAsia="zh-CN"/>
              </w:rPr>
              <w:t>中级会计师</w:t>
            </w:r>
          </w:p>
        </w:tc>
      </w:tr>
      <w:tr w14:paraId="3A879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27" w:type="dxa"/>
            <w:vAlign w:val="center"/>
          </w:tcPr>
          <w:p w14:paraId="5FCA5DA7">
            <w:pPr>
              <w:keepNext w:val="0"/>
              <w:keepLines w:val="0"/>
              <w:pageBreakBefore w:val="0"/>
              <w:widowControl/>
              <w:kinsoku w:val="0"/>
              <w:wordWrap/>
              <w:overflowPunct/>
              <w:topLinePunct w:val="0"/>
              <w:autoSpaceDE w:val="0"/>
              <w:autoSpaceDN w:val="0"/>
              <w:bidi w:val="0"/>
              <w:adjustRightInd w:val="0"/>
              <w:snapToGrid w:val="0"/>
              <w:spacing w:line="220" w:lineRule="auto"/>
              <w:ind w:left="0"/>
              <w:jc w:val="left"/>
              <w:textAlignment w:val="baseline"/>
              <w:rPr>
                <w:rFonts w:hint="default" w:ascii="宋体" w:hAnsi="宋体" w:eastAsia="宋体" w:cs="宋体"/>
                <w:sz w:val="28"/>
                <w:szCs w:val="28"/>
                <w:highlight w:val="none"/>
                <w:lang w:val="en-US" w:eastAsia="zh-CN"/>
              </w:rPr>
            </w:pPr>
            <w:r>
              <w:rPr>
                <w:rFonts w:hint="eastAsia" w:cs="宋体"/>
                <w:sz w:val="28"/>
                <w:szCs w:val="28"/>
                <w:highlight w:val="none"/>
                <w:lang w:val="en-US" w:eastAsia="zh-CN"/>
              </w:rPr>
              <w:t>⑥</w:t>
            </w:r>
          </w:p>
        </w:tc>
        <w:tc>
          <w:tcPr>
            <w:tcW w:w="1934" w:type="dxa"/>
            <w:vAlign w:val="center"/>
          </w:tcPr>
          <w:p w14:paraId="6ABE6378">
            <w:pPr>
              <w:keepNext w:val="0"/>
              <w:keepLines w:val="0"/>
              <w:pageBreakBefore w:val="0"/>
              <w:widowControl/>
              <w:kinsoku w:val="0"/>
              <w:wordWrap/>
              <w:overflowPunct/>
              <w:topLinePunct w:val="0"/>
              <w:autoSpaceDE w:val="0"/>
              <w:autoSpaceDN w:val="0"/>
              <w:bidi w:val="0"/>
              <w:adjustRightInd w:val="0"/>
              <w:snapToGrid w:val="0"/>
              <w:spacing w:line="220" w:lineRule="auto"/>
              <w:ind w:left="0" w:leftChars="0" w:firstLine="560" w:firstLineChars="200"/>
              <w:jc w:val="left"/>
              <w:textAlignment w:val="baseline"/>
              <w:rPr>
                <w:rFonts w:ascii="宋体" w:hAnsi="宋体" w:eastAsia="宋体" w:cs="宋体"/>
                <w:spacing w:val="-7"/>
                <w:sz w:val="28"/>
                <w:szCs w:val="28"/>
                <w:highlight w:val="none"/>
              </w:rPr>
            </w:pPr>
            <w:r>
              <w:rPr>
                <w:rFonts w:hint="eastAsia" w:cs="宋体"/>
                <w:sz w:val="28"/>
                <w:szCs w:val="28"/>
                <w:highlight w:val="none"/>
                <w:lang w:val="en-US" w:eastAsia="zh-CN"/>
              </w:rPr>
              <w:t>魏付会</w:t>
            </w:r>
          </w:p>
        </w:tc>
        <w:tc>
          <w:tcPr>
            <w:tcW w:w="2266" w:type="dxa"/>
            <w:vAlign w:val="center"/>
          </w:tcPr>
          <w:p w14:paraId="06328176">
            <w:pPr>
              <w:keepNext w:val="0"/>
              <w:keepLines w:val="0"/>
              <w:pageBreakBefore w:val="0"/>
              <w:widowControl/>
              <w:kinsoku w:val="0"/>
              <w:wordWrap/>
              <w:overflowPunct/>
              <w:topLinePunct w:val="0"/>
              <w:autoSpaceDE w:val="0"/>
              <w:autoSpaceDN w:val="0"/>
              <w:bidi w:val="0"/>
              <w:adjustRightInd w:val="0"/>
              <w:snapToGrid w:val="0"/>
              <w:spacing w:line="222" w:lineRule="auto"/>
              <w:ind w:left="0" w:leftChars="0" w:firstLine="0" w:firstLineChars="0"/>
              <w:jc w:val="left"/>
              <w:textAlignment w:val="baseline"/>
              <w:rPr>
                <w:rFonts w:ascii="宋体" w:hAnsi="宋体" w:eastAsia="宋体" w:cs="宋体"/>
                <w:sz w:val="28"/>
                <w:szCs w:val="28"/>
                <w:highlight w:val="none"/>
              </w:rPr>
            </w:pPr>
            <w:r>
              <w:rPr>
                <w:rFonts w:ascii="宋体" w:hAnsi="宋体" w:eastAsia="宋体" w:cs="宋体"/>
                <w:spacing w:val="-7"/>
                <w:sz w:val="28"/>
                <w:szCs w:val="28"/>
                <w:highlight w:val="none"/>
              </w:rPr>
              <w:t>组员</w:t>
            </w:r>
          </w:p>
        </w:tc>
        <w:tc>
          <w:tcPr>
            <w:tcW w:w="3960" w:type="dxa"/>
            <w:vAlign w:val="center"/>
          </w:tcPr>
          <w:p w14:paraId="0649BE44">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default" w:ascii="宋体" w:hAnsi="宋体" w:eastAsia="宋体" w:cs="宋体"/>
                <w:spacing w:val="-4"/>
                <w:sz w:val="28"/>
                <w:szCs w:val="28"/>
                <w:highlight w:val="none"/>
                <w:lang w:val="en-US" w:eastAsia="zh-CN"/>
              </w:rPr>
            </w:pPr>
            <w:r>
              <w:rPr>
                <w:rFonts w:hint="eastAsia" w:cs="宋体"/>
                <w:spacing w:val="-4"/>
                <w:sz w:val="28"/>
                <w:szCs w:val="28"/>
                <w:highlight w:val="none"/>
                <w:lang w:val="en-US" w:eastAsia="zh-CN"/>
              </w:rPr>
              <w:t>初级会计师</w:t>
            </w:r>
          </w:p>
        </w:tc>
      </w:tr>
    </w:tbl>
    <w:p w14:paraId="68A5B6AA">
      <w:pPr>
        <w:keepNext w:val="0"/>
        <w:keepLines w:val="0"/>
        <w:pageBreakBefore w:val="0"/>
        <w:widowControl/>
        <w:kinsoku w:val="0"/>
        <w:wordWrap/>
        <w:overflowPunct/>
        <w:topLinePunct w:val="0"/>
        <w:autoSpaceDE w:val="0"/>
        <w:autoSpaceDN w:val="0"/>
        <w:bidi w:val="0"/>
        <w:adjustRightInd w:val="0"/>
        <w:snapToGrid w:val="0"/>
        <w:spacing w:line="480" w:lineRule="auto"/>
        <w:ind w:left="0" w:leftChars="0" w:firstLine="0" w:firstLineChars="0"/>
        <w:jc w:val="both"/>
        <w:textAlignment w:val="baseline"/>
        <w:rPr>
          <w:rFonts w:ascii="宋体" w:hAnsi="宋体" w:eastAsia="宋体" w:cs="宋体"/>
          <w:spacing w:val="-1"/>
          <w:sz w:val="28"/>
          <w:szCs w:val="28"/>
        </w:rPr>
      </w:pPr>
    </w:p>
    <w:p w14:paraId="5DC9BD7A">
      <w:pPr>
        <w:keepNext w:val="0"/>
        <w:keepLines w:val="0"/>
        <w:pageBreakBefore w:val="0"/>
        <w:widowControl/>
        <w:kinsoku w:val="0"/>
        <w:wordWrap/>
        <w:overflowPunct/>
        <w:topLinePunct w:val="0"/>
        <w:autoSpaceDE w:val="0"/>
        <w:autoSpaceDN w:val="0"/>
        <w:bidi w:val="0"/>
        <w:adjustRightInd w:val="0"/>
        <w:snapToGrid w:val="0"/>
        <w:spacing w:line="480" w:lineRule="auto"/>
        <w:ind w:firstLine="278" w:firstLineChars="100"/>
        <w:jc w:val="both"/>
        <w:textAlignment w:val="baseline"/>
        <w:rPr>
          <w:rFonts w:ascii="宋体" w:hAnsi="宋体" w:eastAsia="宋体" w:cs="宋体"/>
          <w:sz w:val="28"/>
          <w:szCs w:val="28"/>
        </w:rPr>
      </w:pPr>
      <w:r>
        <w:rPr>
          <w:rFonts w:ascii="宋体" w:hAnsi="宋体" w:eastAsia="宋体" w:cs="宋体"/>
          <w:spacing w:val="-1"/>
          <w:sz w:val="28"/>
          <w:szCs w:val="28"/>
        </w:rPr>
        <w:t>本表后附工作组职称信息</w:t>
      </w:r>
    </w:p>
    <w:p w14:paraId="6219C333">
      <w:pPr>
        <w:spacing w:line="220" w:lineRule="auto"/>
        <w:rPr>
          <w:rFonts w:ascii="宋体" w:hAnsi="宋体" w:eastAsia="宋体" w:cs="宋体"/>
          <w:sz w:val="28"/>
          <w:szCs w:val="28"/>
        </w:rPr>
        <w:sectPr>
          <w:footerReference r:id="rId17" w:type="default"/>
          <w:pgSz w:w="11906" w:h="16839"/>
          <w:pgMar w:top="1431" w:right="1305" w:bottom="896" w:left="1305" w:header="0" w:footer="620" w:gutter="0"/>
          <w:pgBorders>
            <w:top w:val="none" w:sz="0" w:space="0"/>
            <w:left w:val="none" w:sz="0" w:space="0"/>
            <w:bottom w:val="none" w:sz="0" w:space="0"/>
            <w:right w:val="none" w:sz="0" w:space="0"/>
          </w:pgBorders>
          <w:pgNumType w:fmt="decimal"/>
          <w:cols w:space="720" w:num="1"/>
        </w:sectPr>
      </w:pPr>
    </w:p>
    <w:p w14:paraId="1D236114">
      <w:pPr>
        <w:keepNext w:val="0"/>
        <w:keepLines w:val="0"/>
        <w:pageBreakBefore/>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bCs/>
          <w:sz w:val="28"/>
          <w:szCs w:val="28"/>
          <w:lang w:val="en-US" w:eastAsia="zh-CN"/>
        </w:rPr>
      </w:pPr>
      <w:bookmarkStart w:id="82" w:name="_Toc12521"/>
      <w:bookmarkStart w:id="83" w:name="_Toc4887"/>
      <w:r>
        <w:rPr>
          <w:rFonts w:hint="eastAsia" w:cs="宋体"/>
          <w:b/>
          <w:bCs/>
          <w:sz w:val="28"/>
          <w:szCs w:val="28"/>
          <w:lang w:val="en-US" w:eastAsia="zh-CN"/>
        </w:rPr>
        <w:t>①</w:t>
      </w:r>
      <w:r>
        <w:rPr>
          <w:rFonts w:hint="eastAsia" w:ascii="宋体" w:hAnsi="宋体" w:eastAsia="宋体" w:cs="宋体"/>
          <w:b/>
          <w:bCs/>
          <w:sz w:val="28"/>
          <w:szCs w:val="28"/>
          <w:lang w:val="en-US" w:eastAsia="zh-CN"/>
        </w:rPr>
        <w:t>赵桥</w:t>
      </w:r>
      <w:bookmarkEnd w:id="82"/>
      <w:bookmarkEnd w:id="83"/>
    </w:p>
    <w:p w14:paraId="23BC65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注册会计师证</w:t>
      </w:r>
    </w:p>
    <w:p w14:paraId="4DD244E1">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76955" cy="5106670"/>
            <wp:effectExtent l="0" t="0" r="17780" b="4445"/>
            <wp:docPr id="67" name="图片 2" descr="2b465f7ac7dcde05bfdf5d9ee87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2b465f7ac7dcde05bfdf5d9ee87d756"/>
                    <pic:cNvPicPr>
                      <a:picLocks noChangeAspect="1"/>
                    </pic:cNvPicPr>
                  </pic:nvPicPr>
                  <pic:blipFill>
                    <a:blip r:embed="rId34"/>
                    <a:stretch>
                      <a:fillRect/>
                    </a:stretch>
                  </pic:blipFill>
                  <pic:spPr>
                    <a:xfrm rot="-5400000">
                      <a:off x="0" y="0"/>
                      <a:ext cx="3576955" cy="5106670"/>
                    </a:xfrm>
                    <a:prstGeom prst="rect">
                      <a:avLst/>
                    </a:prstGeom>
                    <a:noFill/>
                    <a:ln>
                      <a:noFill/>
                    </a:ln>
                  </pic:spPr>
                </pic:pic>
              </a:graphicData>
            </a:graphic>
          </wp:inline>
        </w:drawing>
      </w:r>
    </w:p>
    <w:p w14:paraId="1BA1969C">
      <w:pPr>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292985" cy="3411855"/>
            <wp:effectExtent l="0" t="0" r="12065" b="17145"/>
            <wp:docPr id="68" name="图片 3" descr="501cf3141d7c1d8284f10e41fa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501cf3141d7c1d8284f10e41fa14496"/>
                    <pic:cNvPicPr>
                      <a:picLocks noChangeAspect="1"/>
                    </pic:cNvPicPr>
                  </pic:nvPicPr>
                  <pic:blipFill>
                    <a:blip r:embed="rId35"/>
                    <a:stretch>
                      <a:fillRect/>
                    </a:stretch>
                  </pic:blipFill>
                  <pic:spPr>
                    <a:xfrm>
                      <a:off x="0" y="0"/>
                      <a:ext cx="2292985" cy="341185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501265" cy="3768725"/>
            <wp:effectExtent l="0" t="0" r="13335" b="3175"/>
            <wp:docPr id="63" name="图片 4" descr="a93d88bd9ad8371bfe4ab05caa2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a93d88bd9ad8371bfe4ab05caa2c31a"/>
                    <pic:cNvPicPr>
                      <a:picLocks noChangeAspect="1"/>
                    </pic:cNvPicPr>
                  </pic:nvPicPr>
                  <pic:blipFill>
                    <a:blip r:embed="rId36"/>
                    <a:stretch>
                      <a:fillRect/>
                    </a:stretch>
                  </pic:blipFill>
                  <pic:spPr>
                    <a:xfrm>
                      <a:off x="0" y="0"/>
                      <a:ext cx="2501265" cy="3768725"/>
                    </a:xfrm>
                    <a:prstGeom prst="rect">
                      <a:avLst/>
                    </a:prstGeom>
                    <a:noFill/>
                    <a:ln>
                      <a:noFill/>
                    </a:ln>
                  </pic:spPr>
                </pic:pic>
              </a:graphicData>
            </a:graphic>
          </wp:inline>
        </w:drawing>
      </w:r>
    </w:p>
    <w:p w14:paraId="43C5EFE4">
      <w:pPr>
        <w:bidi w:val="0"/>
        <w:spacing w:line="360" w:lineRule="auto"/>
        <w:jc w:val="center"/>
        <w:rPr>
          <w:rFonts w:hint="eastAsia" w:ascii="宋体" w:hAnsi="宋体" w:eastAsia="宋体" w:cs="宋体"/>
          <w:sz w:val="24"/>
          <w:szCs w:val="24"/>
          <w:lang w:eastAsia="zh-CN"/>
        </w:rPr>
      </w:pPr>
    </w:p>
    <w:p w14:paraId="4E962981">
      <w:pPr>
        <w:pStyle w:val="41"/>
        <w:spacing w:line="360" w:lineRule="auto"/>
        <w:jc w:val="center"/>
        <w:rPr>
          <w:rFonts w:hint="eastAsia" w:ascii="宋体" w:hAnsi="宋体" w:eastAsia="宋体" w:cs="宋体"/>
          <w:sz w:val="24"/>
          <w:szCs w:val="24"/>
          <w:lang w:eastAsia="zh-CN"/>
        </w:rPr>
      </w:pPr>
    </w:p>
    <w:p w14:paraId="2E2D2252">
      <w:pPr>
        <w:keepNext w:val="0"/>
        <w:keepLines w:val="0"/>
        <w:pageBreakBefore/>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职称证</w:t>
      </w:r>
    </w:p>
    <w:p w14:paraId="3F6CE99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344670" cy="5310505"/>
            <wp:effectExtent l="0" t="0" r="4445" b="17780"/>
            <wp:docPr id="70" name="图片 6" descr="赵桥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赵桥职称"/>
                    <pic:cNvPicPr>
                      <a:picLocks noChangeAspect="1"/>
                    </pic:cNvPicPr>
                  </pic:nvPicPr>
                  <pic:blipFill>
                    <a:blip r:embed="rId37"/>
                    <a:stretch>
                      <a:fillRect/>
                    </a:stretch>
                  </pic:blipFill>
                  <pic:spPr>
                    <a:xfrm rot="-5400000">
                      <a:off x="0" y="0"/>
                      <a:ext cx="4344670" cy="5310505"/>
                    </a:xfrm>
                    <a:prstGeom prst="rect">
                      <a:avLst/>
                    </a:prstGeom>
                    <a:noFill/>
                    <a:ln>
                      <a:noFill/>
                    </a:ln>
                  </pic:spPr>
                </pic:pic>
              </a:graphicData>
            </a:graphic>
          </wp:inline>
        </w:drawing>
      </w:r>
    </w:p>
    <w:p w14:paraId="24E47797">
      <w:pPr>
        <w:spacing w:line="360" w:lineRule="auto"/>
        <w:jc w:val="center"/>
        <w:rPr>
          <w:rFonts w:hint="eastAsia" w:ascii="宋体" w:hAnsi="宋体" w:eastAsia="宋体" w:cs="宋体"/>
          <w:b/>
          <w:sz w:val="24"/>
          <w:szCs w:val="24"/>
          <w:highlight w:val="none"/>
        </w:rPr>
      </w:pPr>
    </w:p>
    <w:p w14:paraId="40588D0B">
      <w:pPr>
        <w:keepNext w:val="0"/>
        <w:keepLines w:val="0"/>
        <w:pageBreakBefore/>
        <w:widowControl w:val="0"/>
        <w:kinsoku/>
        <w:wordWrap/>
        <w:overflowPunct/>
        <w:topLinePunct w:val="0"/>
        <w:autoSpaceDE/>
        <w:autoSpaceDN/>
        <w:bidi w:val="0"/>
        <w:adjustRightInd/>
        <w:snapToGrid/>
        <w:spacing w:before="0" w:after="0" w:line="360" w:lineRule="auto"/>
        <w:ind w:left="3920" w:leftChars="0" w:hanging="3920" w:hangingChars="1400"/>
        <w:jc w:val="both"/>
        <w:textAlignment w:val="auto"/>
        <w:outlineLvl w:val="9"/>
        <w:rPr>
          <w:rFonts w:hint="eastAsia" w:ascii="宋体" w:hAnsi="宋体" w:eastAsia="宋体" w:cs="宋体"/>
          <w:b/>
          <w:bCs/>
          <w:sz w:val="28"/>
          <w:szCs w:val="28"/>
          <w:lang w:val="en-US" w:eastAsia="zh-CN"/>
        </w:rPr>
      </w:pPr>
      <w:r>
        <w:rPr>
          <w:rFonts w:hint="eastAsia"/>
          <w:lang w:val="en-US" w:eastAsia="zh-CN"/>
        </w:rPr>
        <w:br w:type="textWrapping"/>
      </w:r>
      <w:bookmarkStart w:id="84" w:name="_Toc18292"/>
      <w:r>
        <w:rPr>
          <w:rFonts w:hint="eastAsia"/>
          <w:sz w:val="28"/>
          <w:szCs w:val="28"/>
          <w:lang w:val="en-US" w:eastAsia="zh-CN"/>
        </w:rPr>
        <w:t>②</w:t>
      </w:r>
      <w:r>
        <w:rPr>
          <w:rFonts w:hint="eastAsia" w:ascii="宋体" w:hAnsi="宋体" w:eastAsia="宋体" w:cs="宋体"/>
          <w:b/>
          <w:bCs/>
          <w:sz w:val="28"/>
          <w:szCs w:val="28"/>
          <w:lang w:val="en-US" w:eastAsia="zh-CN"/>
        </w:rPr>
        <w:t>付宪法</w:t>
      </w:r>
      <w:bookmarkEnd w:id="84"/>
    </w:p>
    <w:p w14:paraId="69BA38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28"/>
          <w:szCs w:val="28"/>
          <w:lang w:val="en-US" w:eastAsia="zh-CN"/>
        </w:rPr>
      </w:pPr>
      <w:r>
        <w:rPr>
          <w:rFonts w:hint="eastAsia" w:cs="宋体"/>
          <w:b/>
          <w:bCs/>
          <w:sz w:val="28"/>
          <w:szCs w:val="28"/>
          <w:lang w:val="en-US" w:eastAsia="zh-CN"/>
        </w:rPr>
        <w:t xml:space="preserve">     </w:t>
      </w:r>
      <w:r>
        <w:rPr>
          <w:rFonts w:hint="eastAsia" w:ascii="宋体" w:hAnsi="宋体" w:eastAsia="宋体" w:cs="宋体"/>
          <w:b/>
          <w:bCs/>
          <w:sz w:val="28"/>
          <w:szCs w:val="28"/>
          <w:lang w:val="en-US" w:eastAsia="zh-CN"/>
        </w:rPr>
        <w:t>注册会计师证</w:t>
      </w:r>
    </w:p>
    <w:p w14:paraId="03A144F1">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625215" cy="5114290"/>
            <wp:effectExtent l="0" t="0" r="10160" b="13335"/>
            <wp:docPr id="58" name="图片 29" descr="e9e7ddf61e519d9e1f6c01aec90f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descr="e9e7ddf61e519d9e1f6c01aec90fdca"/>
                    <pic:cNvPicPr>
                      <a:picLocks noChangeAspect="1"/>
                    </pic:cNvPicPr>
                  </pic:nvPicPr>
                  <pic:blipFill>
                    <a:blip r:embed="rId38"/>
                    <a:stretch>
                      <a:fillRect/>
                    </a:stretch>
                  </pic:blipFill>
                  <pic:spPr>
                    <a:xfrm rot="-5400000">
                      <a:off x="0" y="0"/>
                      <a:ext cx="3625215" cy="5114290"/>
                    </a:xfrm>
                    <a:prstGeom prst="rect">
                      <a:avLst/>
                    </a:prstGeom>
                    <a:noFill/>
                    <a:ln>
                      <a:noFill/>
                    </a:ln>
                  </pic:spPr>
                </pic:pic>
              </a:graphicData>
            </a:graphic>
          </wp:inline>
        </w:drawing>
      </w:r>
    </w:p>
    <w:p w14:paraId="3B13D2D3">
      <w:pPr>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340610" cy="3522345"/>
            <wp:effectExtent l="0" t="0" r="2540" b="1905"/>
            <wp:docPr id="46" name="图片 30" descr="d5687206c0f253ecc77d1c2c0c5a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descr="d5687206c0f253ecc77d1c2c0c5ae4d"/>
                    <pic:cNvPicPr>
                      <a:picLocks noChangeAspect="1"/>
                    </pic:cNvPicPr>
                  </pic:nvPicPr>
                  <pic:blipFill>
                    <a:blip r:embed="rId39"/>
                    <a:stretch>
                      <a:fillRect/>
                    </a:stretch>
                  </pic:blipFill>
                  <pic:spPr>
                    <a:xfrm>
                      <a:off x="0" y="0"/>
                      <a:ext cx="2340610" cy="352234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543810" cy="3678555"/>
            <wp:effectExtent l="0" t="0" r="8890" b="17145"/>
            <wp:docPr id="42" name="图片 31" descr="373abdbdc6c621c56ec9c55ce6da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373abdbdc6c621c56ec9c55ce6da2be"/>
                    <pic:cNvPicPr>
                      <a:picLocks noChangeAspect="1"/>
                    </pic:cNvPicPr>
                  </pic:nvPicPr>
                  <pic:blipFill>
                    <a:blip r:embed="rId40"/>
                    <a:stretch>
                      <a:fillRect/>
                    </a:stretch>
                  </pic:blipFill>
                  <pic:spPr>
                    <a:xfrm>
                      <a:off x="0" y="0"/>
                      <a:ext cx="2543810" cy="3678555"/>
                    </a:xfrm>
                    <a:prstGeom prst="rect">
                      <a:avLst/>
                    </a:prstGeom>
                    <a:noFill/>
                    <a:ln>
                      <a:noFill/>
                    </a:ln>
                  </pic:spPr>
                </pic:pic>
              </a:graphicData>
            </a:graphic>
          </wp:inline>
        </w:drawing>
      </w:r>
    </w:p>
    <w:p w14:paraId="714EF4DF">
      <w:pPr>
        <w:spacing w:line="360" w:lineRule="auto"/>
        <w:jc w:val="center"/>
        <w:rPr>
          <w:rFonts w:hint="eastAsia" w:ascii="宋体" w:hAnsi="宋体" w:eastAsia="宋体" w:cs="宋体"/>
          <w:sz w:val="24"/>
          <w:szCs w:val="24"/>
          <w:lang w:eastAsia="zh-CN"/>
        </w:rPr>
      </w:pPr>
    </w:p>
    <w:p w14:paraId="101B4179">
      <w:pPr>
        <w:pStyle w:val="21"/>
        <w:spacing w:line="360" w:lineRule="auto"/>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b/>
          <w:bCs/>
          <w:sz w:val="28"/>
          <w:szCs w:val="28"/>
          <w:lang w:val="en-US" w:eastAsia="zh-CN"/>
        </w:rPr>
        <w:t>职称证</w:t>
      </w:r>
      <w:r>
        <w:rPr>
          <w:rFonts w:hint="eastAsia" w:ascii="宋体" w:hAnsi="宋体" w:eastAsia="宋体" w:cs="宋体"/>
          <w:sz w:val="24"/>
          <w:szCs w:val="24"/>
          <w:lang w:eastAsia="zh-CN"/>
        </w:rPr>
        <w:drawing>
          <wp:inline distT="0" distB="0" distL="114300" distR="114300">
            <wp:extent cx="5799455" cy="3961130"/>
            <wp:effectExtent l="0" t="0" r="10795" b="1270"/>
            <wp:docPr id="127" name="图片 127" descr="付宪法中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付宪法中级"/>
                    <pic:cNvPicPr>
                      <a:picLocks noChangeAspect="1"/>
                    </pic:cNvPicPr>
                  </pic:nvPicPr>
                  <pic:blipFill>
                    <a:blip r:embed="rId41"/>
                    <a:stretch>
                      <a:fillRect/>
                    </a:stretch>
                  </pic:blipFill>
                  <pic:spPr>
                    <a:xfrm>
                      <a:off x="0" y="0"/>
                      <a:ext cx="5799455" cy="3961130"/>
                    </a:xfrm>
                    <a:prstGeom prst="rect">
                      <a:avLst/>
                    </a:prstGeom>
                  </pic:spPr>
                </pic:pic>
              </a:graphicData>
            </a:graphic>
          </wp:inline>
        </w:drawing>
      </w:r>
    </w:p>
    <w:p w14:paraId="4305C19D">
      <w:pPr>
        <w:keepNext w:val="0"/>
        <w:keepLines w:val="0"/>
        <w:pageBreakBefore/>
        <w:widowControl w:val="0"/>
        <w:kinsoku/>
        <w:wordWrap/>
        <w:overflowPunct/>
        <w:topLinePunct w:val="0"/>
        <w:autoSpaceDE/>
        <w:autoSpaceDN/>
        <w:bidi w:val="0"/>
        <w:adjustRightInd/>
        <w:snapToGrid/>
        <w:spacing w:before="0" w:after="0" w:line="360" w:lineRule="auto"/>
        <w:ind w:left="280" w:leftChars="0" w:hanging="280" w:hangingChars="100"/>
        <w:jc w:val="center"/>
        <w:textAlignment w:val="auto"/>
        <w:outlineLvl w:val="9"/>
        <w:rPr>
          <w:rFonts w:hint="eastAsia" w:ascii="宋体" w:hAnsi="宋体" w:eastAsia="宋体" w:cs="宋体"/>
          <w:b/>
          <w:bCs/>
          <w:sz w:val="28"/>
          <w:szCs w:val="28"/>
          <w:lang w:val="en-US" w:eastAsia="zh-CN"/>
        </w:rPr>
      </w:pPr>
      <w:r>
        <w:rPr>
          <w:rFonts w:hint="eastAsia"/>
          <w:sz w:val="28"/>
          <w:szCs w:val="28"/>
          <w:lang w:val="en-US" w:eastAsia="zh-CN"/>
        </w:rPr>
        <w:br w:type="textWrapping"/>
      </w:r>
      <w:bookmarkStart w:id="85" w:name="_Toc4117"/>
      <w:r>
        <w:rPr>
          <w:rFonts w:hint="eastAsia"/>
          <w:sz w:val="28"/>
          <w:szCs w:val="28"/>
          <w:lang w:val="en-US" w:eastAsia="zh-CN"/>
        </w:rPr>
        <w:t>③</w:t>
      </w:r>
      <w:r>
        <w:rPr>
          <w:rFonts w:hint="eastAsia" w:ascii="宋体" w:hAnsi="宋体" w:eastAsia="宋体" w:cs="宋体"/>
          <w:b/>
          <w:bCs/>
          <w:sz w:val="28"/>
          <w:szCs w:val="28"/>
          <w:lang w:val="en-US" w:eastAsia="zh-CN"/>
        </w:rPr>
        <w:t>王斌</w:t>
      </w:r>
      <w:bookmarkEnd w:id="85"/>
    </w:p>
    <w:p w14:paraId="1396DA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注册会计师证</w:t>
      </w:r>
    </w:p>
    <w:p w14:paraId="5732AE19">
      <w:pPr>
        <w:bidi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292475" cy="5003165"/>
            <wp:effectExtent l="0" t="0" r="6985" b="3175"/>
            <wp:docPr id="74" name="图片 16" descr="898b818cf7f59918872665d6968c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898b818cf7f59918872665d6968ceec"/>
                    <pic:cNvPicPr>
                      <a:picLocks noChangeAspect="1"/>
                    </pic:cNvPicPr>
                  </pic:nvPicPr>
                  <pic:blipFill>
                    <a:blip r:embed="rId42"/>
                    <a:stretch>
                      <a:fillRect/>
                    </a:stretch>
                  </pic:blipFill>
                  <pic:spPr>
                    <a:xfrm rot="-5400000">
                      <a:off x="0" y="0"/>
                      <a:ext cx="3292475" cy="5003165"/>
                    </a:xfrm>
                    <a:prstGeom prst="rect">
                      <a:avLst/>
                    </a:prstGeom>
                    <a:noFill/>
                    <a:ln>
                      <a:noFill/>
                    </a:ln>
                  </pic:spPr>
                </pic:pic>
              </a:graphicData>
            </a:graphic>
          </wp:inline>
        </w:drawing>
      </w:r>
    </w:p>
    <w:p w14:paraId="0F4B8C3B">
      <w:pPr>
        <w:bidi w:val="0"/>
        <w:spacing w:line="360" w:lineRule="auto"/>
        <w:jc w:val="center"/>
        <w:rPr>
          <w:rFonts w:hint="eastAsia" w:ascii="宋体" w:hAnsi="宋体" w:eastAsia="宋体" w:cs="宋体"/>
          <w:b/>
          <w:bCs/>
          <w:sz w:val="24"/>
          <w:szCs w:val="24"/>
          <w:lang w:val="en-US" w:eastAsia="zh-CN"/>
        </w:rPr>
        <w:sectPr>
          <w:footerReference r:id="rId18" w:type="default"/>
          <w:pgSz w:w="11906" w:h="16839"/>
          <w:pgMar w:top="1431" w:right="1785" w:bottom="1429" w:left="1785"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24"/>
          <w:szCs w:val="24"/>
          <w:lang w:eastAsia="zh-CN"/>
        </w:rPr>
        <w:drawing>
          <wp:inline distT="0" distB="0" distL="114300" distR="114300">
            <wp:extent cx="3862705" cy="4490720"/>
            <wp:effectExtent l="0" t="0" r="5080" b="4445"/>
            <wp:docPr id="78" name="图片 17" descr="09a1b8064ccccf720451d3f45f22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descr="09a1b8064ccccf720451d3f45f22dd2"/>
                    <pic:cNvPicPr>
                      <a:picLocks noChangeAspect="1"/>
                    </pic:cNvPicPr>
                  </pic:nvPicPr>
                  <pic:blipFill>
                    <a:blip r:embed="rId43"/>
                    <a:stretch>
                      <a:fillRect/>
                    </a:stretch>
                  </pic:blipFill>
                  <pic:spPr>
                    <a:xfrm rot="-5400000">
                      <a:off x="0" y="0"/>
                      <a:ext cx="3862705" cy="4490720"/>
                    </a:xfrm>
                    <a:prstGeom prst="rect">
                      <a:avLst/>
                    </a:prstGeom>
                    <a:noFill/>
                    <a:ln>
                      <a:noFill/>
                    </a:ln>
                  </pic:spPr>
                </pic:pic>
              </a:graphicData>
            </a:graphic>
          </wp:inline>
        </w:drawing>
      </w:r>
    </w:p>
    <w:p w14:paraId="68A37A33">
      <w:pPr>
        <w:keepNext w:val="0"/>
        <w:keepLines w:val="0"/>
        <w:pageBreakBefore/>
        <w:widowControl w:val="0"/>
        <w:kinsoku/>
        <w:wordWrap/>
        <w:overflowPunct/>
        <w:topLinePunct w:val="0"/>
        <w:autoSpaceDE/>
        <w:autoSpaceDN/>
        <w:bidi w:val="0"/>
        <w:adjustRightInd/>
        <w:snapToGrid/>
        <w:spacing w:before="0" w:after="0" w:line="360" w:lineRule="auto"/>
        <w:ind w:firstLine="3654" w:firstLineChars="1300"/>
        <w:jc w:val="both"/>
        <w:textAlignment w:val="auto"/>
        <w:outlineLvl w:val="9"/>
        <w:rPr>
          <w:rFonts w:hint="eastAsia" w:ascii="宋体" w:hAnsi="宋体" w:eastAsia="宋体" w:cs="宋体"/>
          <w:b/>
          <w:bCs/>
          <w:sz w:val="28"/>
          <w:szCs w:val="28"/>
          <w:lang w:val="en-US" w:eastAsia="zh-CN"/>
        </w:rPr>
      </w:pPr>
      <w:r>
        <w:rPr>
          <w:rFonts w:hint="eastAsia" w:cs="宋体"/>
          <w:b/>
          <w:bCs/>
          <w:sz w:val="28"/>
          <w:szCs w:val="28"/>
          <w:lang w:val="en-US" w:eastAsia="zh-CN"/>
        </w:rPr>
        <w:t>④</w:t>
      </w:r>
      <w:r>
        <w:rPr>
          <w:rFonts w:hint="eastAsia" w:ascii="宋体" w:hAnsi="宋体" w:eastAsia="宋体" w:cs="宋体"/>
          <w:b/>
          <w:bCs/>
          <w:sz w:val="28"/>
          <w:szCs w:val="28"/>
          <w:lang w:val="en-US" w:eastAsia="zh-CN"/>
        </w:rPr>
        <w:t>刘小利</w:t>
      </w:r>
    </w:p>
    <w:p w14:paraId="415496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注会会计师</w:t>
      </w:r>
    </w:p>
    <w:p w14:paraId="69062551">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3226435" cy="5266055"/>
            <wp:effectExtent l="0" t="0" r="10795" b="12065"/>
            <wp:docPr id="35" name="图片 1" descr="5055b8796ec6e6294cc55eeb8b8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5055b8796ec6e6294cc55eeb8b82c6c"/>
                    <pic:cNvPicPr>
                      <a:picLocks noChangeAspect="1"/>
                    </pic:cNvPicPr>
                  </pic:nvPicPr>
                  <pic:blipFill>
                    <a:blip r:embed="rId44"/>
                    <a:stretch>
                      <a:fillRect/>
                    </a:stretch>
                  </pic:blipFill>
                  <pic:spPr>
                    <a:xfrm rot="-5400000">
                      <a:off x="0" y="0"/>
                      <a:ext cx="3226435" cy="5266055"/>
                    </a:xfrm>
                    <a:prstGeom prst="rect">
                      <a:avLst/>
                    </a:prstGeom>
                    <a:noFill/>
                    <a:ln>
                      <a:noFill/>
                    </a:ln>
                  </pic:spPr>
                </pic:pic>
              </a:graphicData>
            </a:graphic>
          </wp:inline>
        </w:drawing>
      </w:r>
      <w:r>
        <w:rPr>
          <w:rFonts w:hint="eastAsia" w:eastAsia="宋体"/>
          <w:lang w:eastAsia="zh-CN"/>
        </w:rPr>
        <w:drawing>
          <wp:inline distT="0" distB="0" distL="114300" distR="114300">
            <wp:extent cx="2536190" cy="2964815"/>
            <wp:effectExtent l="0" t="0" r="16510" b="6985"/>
            <wp:docPr id="36" name="图片 2" descr="0ef91e4498e4866cc9176bc7be18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0ef91e4498e4866cc9176bc7be18a61"/>
                    <pic:cNvPicPr>
                      <a:picLocks noChangeAspect="1"/>
                    </pic:cNvPicPr>
                  </pic:nvPicPr>
                  <pic:blipFill>
                    <a:blip r:embed="rId45"/>
                    <a:stretch>
                      <a:fillRect/>
                    </a:stretch>
                  </pic:blipFill>
                  <pic:spPr>
                    <a:xfrm>
                      <a:off x="0" y="0"/>
                      <a:ext cx="2536190" cy="2964815"/>
                    </a:xfrm>
                    <a:prstGeom prst="rect">
                      <a:avLst/>
                    </a:prstGeom>
                    <a:noFill/>
                    <a:ln>
                      <a:noFill/>
                    </a:ln>
                  </pic:spPr>
                </pic:pic>
              </a:graphicData>
            </a:graphic>
          </wp:inline>
        </w:drawing>
      </w:r>
      <w:r>
        <w:rPr>
          <w:rFonts w:hint="eastAsia" w:eastAsia="宋体"/>
          <w:lang w:eastAsia="zh-CN"/>
        </w:rPr>
        <w:drawing>
          <wp:inline distT="0" distB="0" distL="114300" distR="114300">
            <wp:extent cx="2647950" cy="3110230"/>
            <wp:effectExtent l="0" t="0" r="0" b="13970"/>
            <wp:docPr id="37" name="图片 3" descr="df33aed5cabfe0984a0c4d23d9c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df33aed5cabfe0984a0c4d23d9c965d"/>
                    <pic:cNvPicPr>
                      <a:picLocks noChangeAspect="1"/>
                    </pic:cNvPicPr>
                  </pic:nvPicPr>
                  <pic:blipFill>
                    <a:blip r:embed="rId46"/>
                    <a:stretch>
                      <a:fillRect/>
                    </a:stretch>
                  </pic:blipFill>
                  <pic:spPr>
                    <a:xfrm>
                      <a:off x="0" y="0"/>
                      <a:ext cx="2647950" cy="3110230"/>
                    </a:xfrm>
                    <a:prstGeom prst="rect">
                      <a:avLst/>
                    </a:prstGeom>
                    <a:noFill/>
                    <a:ln>
                      <a:noFill/>
                    </a:ln>
                  </pic:spPr>
                </pic:pic>
              </a:graphicData>
            </a:graphic>
          </wp:inline>
        </w:drawing>
      </w:r>
    </w:p>
    <w:p w14:paraId="09B3DA58">
      <w:pPr>
        <w:jc w:val="center"/>
        <w:rPr>
          <w:rFonts w:hint="eastAsia" w:eastAsia="宋体"/>
          <w:lang w:eastAsia="zh-CN"/>
        </w:rPr>
      </w:pPr>
    </w:p>
    <w:p w14:paraId="632A9A3C">
      <w:pPr>
        <w:spacing w:line="240" w:lineRule="auto"/>
        <w:ind w:firstLine="0" w:firstLineChars="0"/>
        <w:jc w:val="center"/>
        <w:rPr>
          <w:rFonts w:hint="eastAsia" w:eastAsia="宋体"/>
          <w:lang w:eastAsia="zh-CN"/>
        </w:rPr>
      </w:pPr>
    </w:p>
    <w:p w14:paraId="366DC515">
      <w:pPr>
        <w:spacing w:line="240" w:lineRule="auto"/>
        <w:ind w:left="0" w:leftChars="0" w:firstLine="0" w:firstLineChars="0"/>
        <w:rPr>
          <w:rFonts w:hint="eastAsia"/>
          <w:lang w:val="en-US" w:eastAsia="zh-CN"/>
        </w:rPr>
      </w:pPr>
    </w:p>
    <w:p w14:paraId="7B07FBD5">
      <w:pPr>
        <w:rPr>
          <w:rFonts w:hint="eastAsia"/>
          <w:lang w:val="en-US" w:eastAsia="zh-CN"/>
        </w:rPr>
      </w:pPr>
    </w:p>
    <w:p w14:paraId="26388DD5">
      <w:pPr>
        <w:ind w:left="0" w:leftChars="0" w:firstLine="0" w:firstLineChars="0"/>
        <w:rPr>
          <w:rFonts w:hint="eastAsia"/>
          <w:lang w:val="en-US" w:eastAsia="zh-CN"/>
        </w:rPr>
      </w:pPr>
    </w:p>
    <w:p w14:paraId="13CC8AD0">
      <w:pPr>
        <w:rPr>
          <w:rFonts w:hint="eastAsia"/>
          <w:lang w:val="en-US" w:eastAsia="zh-CN"/>
        </w:rPr>
      </w:pPr>
    </w:p>
    <w:p w14:paraId="14C98B93">
      <w:pPr>
        <w:numPr>
          <w:ilvl w:val="0"/>
          <w:numId w:val="0"/>
        </w:numPr>
        <w:spacing w:line="360" w:lineRule="auto"/>
        <w:jc w:val="center"/>
        <w:outlineLvl w:val="9"/>
        <w:rPr>
          <w:rFonts w:hint="eastAsia" w:ascii="宋体" w:hAnsi="宋体" w:eastAsia="宋体" w:cs="宋体"/>
          <w:b/>
          <w:bCs/>
          <w:sz w:val="28"/>
          <w:szCs w:val="28"/>
          <w:lang w:val="en-US" w:eastAsia="zh-CN"/>
        </w:rPr>
      </w:pPr>
      <w:r>
        <w:rPr>
          <w:rFonts w:hint="eastAsia" w:cs="宋体"/>
          <w:b/>
          <w:bCs/>
          <w:sz w:val="28"/>
          <w:szCs w:val="28"/>
          <w:lang w:val="en-US" w:eastAsia="zh-CN"/>
        </w:rPr>
        <w:t>⑤</w:t>
      </w:r>
      <w:r>
        <w:rPr>
          <w:rFonts w:hint="eastAsia" w:ascii="宋体" w:hAnsi="宋体" w:eastAsia="宋体" w:cs="宋体"/>
          <w:b/>
          <w:bCs/>
          <w:sz w:val="28"/>
          <w:szCs w:val="28"/>
          <w:lang w:val="en-US" w:eastAsia="zh-CN"/>
        </w:rPr>
        <w:t>何洁</w:t>
      </w:r>
    </w:p>
    <w:p w14:paraId="53B18749">
      <w:pPr>
        <w:numPr>
          <w:ilvl w:val="0"/>
          <w:numId w:val="0"/>
        </w:numPr>
        <w:spacing w:line="360" w:lineRule="auto"/>
        <w:jc w:val="center"/>
        <w:outlineLvl w:val="9"/>
        <w:rPr>
          <w:rFonts w:hint="eastAsia" w:ascii="宋体" w:hAnsi="宋体" w:eastAsia="宋体" w:cs="宋体"/>
          <w:b/>
          <w:bCs/>
          <w:sz w:val="24"/>
          <w:szCs w:val="24"/>
          <w:lang w:val="en-US" w:eastAsia="zh-CN"/>
        </w:rPr>
      </w:pPr>
      <w:r>
        <w:rPr>
          <w:rFonts w:hint="eastAsia" w:ascii="宋体" w:hAnsi="宋体" w:eastAsia="宋体" w:cs="宋体"/>
          <w:b/>
          <w:bCs/>
          <w:sz w:val="28"/>
          <w:szCs w:val="28"/>
          <w:lang w:val="en-US" w:eastAsia="zh-CN"/>
        </w:rPr>
        <w:t>中级职称证</w:t>
      </w:r>
      <w:r>
        <w:rPr>
          <w:rFonts w:hint="eastAsia" w:ascii="宋体" w:hAnsi="宋体" w:eastAsia="宋体" w:cs="宋体"/>
          <w:b/>
          <w:bCs/>
          <w:sz w:val="28"/>
          <w:szCs w:val="28"/>
          <w:lang w:val="en-US" w:eastAsia="zh-CN"/>
        </w:rPr>
        <w:drawing>
          <wp:inline distT="0" distB="0" distL="114300" distR="114300">
            <wp:extent cx="3702050" cy="5076190"/>
            <wp:effectExtent l="0" t="0" r="10160" b="12700"/>
            <wp:docPr id="50" name="图片 50" descr="何洁中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何洁中级"/>
                    <pic:cNvPicPr>
                      <a:picLocks noChangeAspect="1"/>
                    </pic:cNvPicPr>
                  </pic:nvPicPr>
                  <pic:blipFill>
                    <a:blip r:embed="rId47"/>
                    <a:stretch>
                      <a:fillRect/>
                    </a:stretch>
                  </pic:blipFill>
                  <pic:spPr>
                    <a:xfrm rot="16200000">
                      <a:off x="0" y="0"/>
                      <a:ext cx="3702050" cy="5076190"/>
                    </a:xfrm>
                    <a:prstGeom prst="rect">
                      <a:avLst/>
                    </a:prstGeom>
                  </pic:spPr>
                </pic:pic>
              </a:graphicData>
            </a:graphic>
          </wp:inline>
        </w:draw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p>
    <w:p w14:paraId="434E50D4">
      <w:pPr>
        <w:numPr>
          <w:ilvl w:val="0"/>
          <w:numId w:val="0"/>
        </w:numPr>
        <w:spacing w:line="360" w:lineRule="auto"/>
        <w:jc w:val="center"/>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r>
        <w:rPr>
          <w:rFonts w:hint="eastAsia" w:ascii="宋体" w:hAnsi="宋体" w:eastAsia="宋体" w:cs="宋体"/>
          <w:b/>
          <w:bCs/>
          <w:sz w:val="24"/>
          <w:szCs w:val="24"/>
          <w:lang w:val="en-US" w:eastAsia="zh-CN"/>
        </w:rPr>
        <w:br w:type="textWrapping"/>
      </w:r>
    </w:p>
    <w:p w14:paraId="0B28D30D">
      <w:pPr>
        <w:spacing w:line="240" w:lineRule="auto"/>
        <w:ind w:firstLine="0" w:firstLineChars="0"/>
        <w:jc w:val="center"/>
        <w:rPr>
          <w:rFonts w:hint="eastAsia"/>
          <w:lang w:val="en-US" w:eastAsia="zh-CN"/>
        </w:rPr>
      </w:pPr>
      <w:r>
        <w:rPr>
          <w:rFonts w:hint="eastAsia" w:cs="宋体"/>
          <w:b/>
          <w:bCs/>
          <w:sz w:val="28"/>
          <w:szCs w:val="28"/>
          <w:lang w:val="en-US" w:eastAsia="zh-CN"/>
        </w:rPr>
        <w:t>⑥</w:t>
      </w:r>
      <w:r>
        <w:rPr>
          <w:rFonts w:hint="eastAsia" w:ascii="宋体" w:hAnsi="宋体" w:cs="宋体"/>
          <w:b/>
          <w:bCs/>
          <w:sz w:val="28"/>
          <w:szCs w:val="28"/>
          <w:lang w:val="en-US" w:eastAsia="zh-CN"/>
        </w:rPr>
        <w:t>魏付会</w:t>
      </w:r>
      <w:r>
        <w:rPr>
          <w:rFonts w:hint="eastAsia" w:ascii="宋体" w:hAnsi="宋体" w:cs="宋体"/>
          <w:b/>
          <w:bCs/>
          <w:sz w:val="28"/>
          <w:szCs w:val="28"/>
          <w:lang w:val="en-US" w:eastAsia="zh-CN"/>
        </w:rPr>
        <w:br w:type="textWrapping"/>
      </w:r>
      <w:r>
        <w:rPr>
          <w:rFonts w:hint="eastAsia" w:ascii="宋体" w:hAnsi="宋体" w:cs="宋体"/>
          <w:b/>
          <w:bCs/>
          <w:sz w:val="28"/>
          <w:szCs w:val="28"/>
          <w:lang w:val="en-US" w:eastAsia="zh-CN"/>
        </w:rPr>
        <w:t>初级会计师</w:t>
      </w:r>
      <w:r>
        <w:rPr>
          <w:rFonts w:hint="default" w:ascii="宋体" w:hAnsi="宋体" w:cs="宋体"/>
          <w:b/>
          <w:bCs/>
          <w:sz w:val="24"/>
          <w:szCs w:val="24"/>
          <w:lang w:val="en-US" w:eastAsia="zh-CN"/>
        </w:rPr>
        <w:drawing>
          <wp:inline distT="0" distB="0" distL="114300" distR="114300">
            <wp:extent cx="3785235" cy="5394325"/>
            <wp:effectExtent l="0" t="0" r="15875" b="5715"/>
            <wp:docPr id="51" name="图片 51" descr="魏付会初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魏付会初级"/>
                    <pic:cNvPicPr>
                      <a:picLocks noChangeAspect="1"/>
                    </pic:cNvPicPr>
                  </pic:nvPicPr>
                  <pic:blipFill>
                    <a:blip r:embed="rId48"/>
                    <a:stretch>
                      <a:fillRect/>
                    </a:stretch>
                  </pic:blipFill>
                  <pic:spPr>
                    <a:xfrm rot="16200000">
                      <a:off x="0" y="0"/>
                      <a:ext cx="3785235" cy="5394325"/>
                    </a:xfrm>
                    <a:prstGeom prst="rect">
                      <a:avLst/>
                    </a:prstGeom>
                  </pic:spPr>
                </pic:pic>
              </a:graphicData>
            </a:graphic>
          </wp:inline>
        </w:drawing>
      </w:r>
    </w:p>
    <w:p w14:paraId="347018E7">
      <w:pPr>
        <w:rPr>
          <w:rFonts w:hint="eastAsia"/>
          <w:lang w:val="en-US" w:eastAsia="zh-CN"/>
        </w:rPr>
      </w:pPr>
    </w:p>
    <w:p w14:paraId="08E9468D">
      <w:pPr>
        <w:rPr>
          <w:rFonts w:hint="eastAsia"/>
          <w:lang w:val="en-US" w:eastAsia="zh-CN"/>
        </w:rPr>
      </w:pPr>
    </w:p>
    <w:p w14:paraId="5D8A91DE">
      <w:pPr>
        <w:rPr>
          <w:rFonts w:hint="eastAsia"/>
          <w:lang w:val="en-US" w:eastAsia="zh-CN"/>
        </w:rPr>
      </w:pPr>
    </w:p>
    <w:p w14:paraId="363F8A18">
      <w:pPr>
        <w:rPr>
          <w:rFonts w:hint="eastAsia"/>
          <w:lang w:val="en-US" w:eastAsia="zh-CN"/>
        </w:rPr>
      </w:pPr>
    </w:p>
    <w:p w14:paraId="40CAED6F">
      <w:pPr>
        <w:rPr>
          <w:rFonts w:hint="eastAsia"/>
          <w:lang w:val="en-US" w:eastAsia="zh-CN"/>
        </w:rPr>
      </w:pPr>
    </w:p>
    <w:p w14:paraId="2FAE6547">
      <w:pPr>
        <w:rPr>
          <w:rFonts w:hint="eastAsia"/>
          <w:lang w:val="en-US" w:eastAsia="zh-CN"/>
        </w:rPr>
      </w:pPr>
    </w:p>
    <w:p w14:paraId="4F1C7A3F">
      <w:pPr>
        <w:rPr>
          <w:rFonts w:hint="eastAsia"/>
          <w:lang w:val="en-US" w:eastAsia="zh-CN"/>
        </w:rPr>
      </w:pPr>
    </w:p>
    <w:p w14:paraId="6061E8A2">
      <w:pPr>
        <w:ind w:left="0" w:leftChars="0" w:firstLine="0" w:firstLineChars="0"/>
        <w:rPr>
          <w:rFonts w:hint="eastAsia"/>
          <w:lang w:val="en-US" w:eastAsia="zh-CN"/>
        </w:rPr>
      </w:pPr>
    </w:p>
    <w:sectPr>
      <w:pgSz w:w="11900" w:h="16840"/>
      <w:pgMar w:top="720" w:right="1678" w:bottom="1440" w:left="1678" w:header="0" w:footer="1440" w:gutter="0"/>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B6DA">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0C780">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7370C780">
                    <w:pPr>
                      <w:pStyle w:val="14"/>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6A250">
    <w:pPr>
      <w:spacing w:line="266" w:lineRule="exact"/>
      <w:ind w:left="4079"/>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210D6">
                          <w:pPr>
                            <w:pStyle w:val="1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2E210D6">
                    <w:pPr>
                      <w:pStyle w:val="1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9AE95">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D6593">
    <w:pPr>
      <w:spacing w:line="171" w:lineRule="auto"/>
      <w:ind w:left="4024"/>
      <w:rPr>
        <w:rFonts w:ascii="Times New Roman" w:hAnsi="Times New Roman" w:eastAsia="Times New Roman" w:cs="Times New Roman"/>
        <w:sz w:val="18"/>
        <w:szCs w:val="18"/>
      </w:rPr>
    </w:pPr>
    <w:r>
      <w:rPr>
        <w:rFonts w:hint="eastAsia" w:ascii="Times New Roman" w:hAnsi="Times New Roman" w:eastAsia="宋体" w:cs="Times New Roman"/>
        <w:spacing w:val="-6"/>
        <w:sz w:val="18"/>
        <w:szCs w:val="18"/>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C259">
    <w:pPr>
      <w:spacing w:line="171" w:lineRule="auto"/>
      <w:ind w:left="4024"/>
      <w:rPr>
        <w:rFonts w:hint="eastAsia" w:ascii="Times New Roman" w:hAnsi="Times New Roman" w:eastAsia="宋体" w:cs="Times New Roman"/>
        <w:sz w:val="18"/>
        <w:szCs w:val="18"/>
        <w:lang w:val="en-US" w:eastAsia="zh-CN"/>
      </w:rPr>
    </w:pPr>
    <w:r>
      <w:rPr>
        <w:rFonts w:hint="eastAsia"/>
        <w:sz w:val="18"/>
        <w:lang w:val="en-US" w:eastAsia="zh-CN"/>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8E65">
    <w:pPr>
      <w:spacing w:line="171" w:lineRule="auto"/>
      <w:ind w:left="40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0C28C">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3A0C28C">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D3A93">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71012">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E971012">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E9E2">
    <w:pPr>
      <w:spacing w:line="160" w:lineRule="exact"/>
      <w:jc w:val="cente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D407C">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D8D407C">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C924F">
    <w:pPr>
      <w:spacing w:line="300" w:lineRule="exact"/>
      <w:jc w:val="cente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56800">
                          <w:pPr>
                            <w:pStyle w:val="1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7756800">
                    <w:pPr>
                      <w:pStyle w:val="1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A9FC">
    <w:pPr>
      <w:spacing w:line="266" w:lineRule="exact"/>
      <w:ind w:left="4559"/>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DC6F3">
                          <w:pPr>
                            <w:pStyle w:val="1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8DDC6F3">
                    <w:pPr>
                      <w:pStyle w:val="1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9307">
    <w:pPr>
      <w:spacing w:beforeLines="0" w:line="240" w:lineRule="auto"/>
      <w:ind w:firstLine="0" w:firstLineChars="0"/>
      <w:jc w:val="both"/>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0AF79">
    <w:pPr>
      <w:pBdr>
        <w:bottom w:val="single" w:color="auto" w:sz="4" w:space="0"/>
      </w:pBdr>
      <w:spacing w:beforeLines="0" w:line="240" w:lineRule="auto"/>
      <w:ind w:firstLine="0" w:firstLineChars="0"/>
      <w:jc w:val="both"/>
      <w:rPr>
        <w:sz w:val="18"/>
        <w:szCs w:val="18"/>
      </w:rPr>
    </w:pPr>
  </w:p>
  <w:p w14:paraId="6B0E4786">
    <w:pPr>
      <w:pBdr>
        <w:bottom w:val="single" w:color="auto" w:sz="4" w:space="0"/>
      </w:pBdr>
      <w:spacing w:beforeLines="0" w:line="240" w:lineRule="auto"/>
      <w:ind w:firstLine="0" w:firstLineChars="0"/>
      <w:jc w:val="both"/>
      <w:rPr>
        <w:sz w:val="18"/>
        <w:szCs w:val="18"/>
      </w:rPr>
    </w:pPr>
  </w:p>
  <w:p w14:paraId="5BDD6B56">
    <w:pPr>
      <w:pBdr>
        <w:bottom w:val="single" w:color="auto" w:sz="4" w:space="0"/>
      </w:pBdr>
      <w:spacing w:beforeLines="0" w:line="240" w:lineRule="auto"/>
      <w:ind w:firstLine="0" w:firstLineChars="0"/>
      <w:jc w:val="both"/>
      <w:rPr>
        <w:sz w:val="18"/>
        <w:szCs w:val="18"/>
      </w:rPr>
    </w:pPr>
  </w:p>
  <w:p w14:paraId="3200FC10">
    <w:pPr>
      <w:pBdr>
        <w:bottom w:val="single" w:color="auto" w:sz="4" w:space="0"/>
      </w:pBdr>
      <w:spacing w:beforeLines="0" w:line="240" w:lineRule="auto"/>
      <w:ind w:firstLine="0" w:firstLineChars="0"/>
      <w:jc w:val="both"/>
      <w:rPr>
        <w:sz w:val="18"/>
        <w:szCs w:val="18"/>
      </w:rPr>
    </w:pPr>
  </w:p>
  <w:p w14:paraId="16B152E5">
    <w:pPr>
      <w:pBdr>
        <w:bottom w:val="single" w:color="auto" w:sz="4" w:space="0"/>
      </w:pBdr>
      <w:spacing w:beforeLines="0" w:line="240" w:lineRule="auto"/>
      <w:ind w:firstLine="0" w:firstLineChars="0"/>
      <w:jc w:val="both"/>
      <w:rPr>
        <w:sz w:val="18"/>
        <w:szCs w:val="18"/>
      </w:rPr>
    </w:pPr>
  </w:p>
  <w:p w14:paraId="26635F20">
    <w:pPr>
      <w:pBdr>
        <w:bottom w:val="single" w:color="auto" w:sz="4" w:space="0"/>
      </w:pBdr>
      <w:spacing w:beforeLines="0" w:line="240" w:lineRule="auto"/>
      <w:ind w:firstLine="0" w:firstLineChars="0"/>
      <w:jc w:val="both"/>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6BF1">
    <w:pPr>
      <w:spacing w:line="360" w:lineRule="exact"/>
      <w:ind w:firstLine="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17CD">
    <w:pPr>
      <w:spacing w:line="440" w:lineRule="exact"/>
      <w:ind w:firstLine="0"/>
      <w:jc w:val="right"/>
    </w:pPr>
  </w:p>
  <w:p w14:paraId="32D7A9A1">
    <w:pPr>
      <w:spacing w:line="440" w:lineRule="exact"/>
      <w:ind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036520"/>
    <w:multiLevelType w:val="singleLevel"/>
    <w:tmpl w:val="BC036520"/>
    <w:lvl w:ilvl="0" w:tentative="0">
      <w:start w:val="5"/>
      <w:numFmt w:val="chineseCounting"/>
      <w:suff w:val="nothing"/>
      <w:lvlText w:val="%1、"/>
      <w:lvlJc w:val="left"/>
      <w:rPr>
        <w:rFonts w:hint="eastAsia"/>
      </w:rPr>
    </w:lvl>
  </w:abstractNum>
  <w:abstractNum w:abstractNumId="1">
    <w:nsid w:val="475D9739"/>
    <w:multiLevelType w:val="singleLevel"/>
    <w:tmpl w:val="475D9739"/>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2YTM4ZjRmZTE3MTkyZTQ0OWE3NzZjMDRmMjNlNDAifQ=="/>
  </w:docVars>
  <w:rsids>
    <w:rsidRoot w:val="00BD0BC8"/>
    <w:rsid w:val="000C00FA"/>
    <w:rsid w:val="000D6051"/>
    <w:rsid w:val="00486175"/>
    <w:rsid w:val="009F0BE0"/>
    <w:rsid w:val="00BA6D97"/>
    <w:rsid w:val="00BD0BC8"/>
    <w:rsid w:val="011F362E"/>
    <w:rsid w:val="013E4D8E"/>
    <w:rsid w:val="01830099"/>
    <w:rsid w:val="01F2588F"/>
    <w:rsid w:val="02C32E43"/>
    <w:rsid w:val="034F10BF"/>
    <w:rsid w:val="049B394B"/>
    <w:rsid w:val="04E82D77"/>
    <w:rsid w:val="050634BB"/>
    <w:rsid w:val="05A42E3F"/>
    <w:rsid w:val="06093262"/>
    <w:rsid w:val="063539E9"/>
    <w:rsid w:val="070C0854"/>
    <w:rsid w:val="07500389"/>
    <w:rsid w:val="084163BB"/>
    <w:rsid w:val="086B32B7"/>
    <w:rsid w:val="08A341A7"/>
    <w:rsid w:val="08B95B77"/>
    <w:rsid w:val="08CC4A1B"/>
    <w:rsid w:val="09574F9F"/>
    <w:rsid w:val="09602FF1"/>
    <w:rsid w:val="09710FA4"/>
    <w:rsid w:val="09997FFE"/>
    <w:rsid w:val="09C1335A"/>
    <w:rsid w:val="09E75A68"/>
    <w:rsid w:val="0A8F42DC"/>
    <w:rsid w:val="0C1C284C"/>
    <w:rsid w:val="0C230DF6"/>
    <w:rsid w:val="0C5626C1"/>
    <w:rsid w:val="0C813921"/>
    <w:rsid w:val="0C8F133E"/>
    <w:rsid w:val="0C9910B8"/>
    <w:rsid w:val="0CE340E1"/>
    <w:rsid w:val="0D113FC6"/>
    <w:rsid w:val="0D8F3EBF"/>
    <w:rsid w:val="0DD979BE"/>
    <w:rsid w:val="0E4F51D4"/>
    <w:rsid w:val="0FA22032"/>
    <w:rsid w:val="0FD77F2D"/>
    <w:rsid w:val="10190546"/>
    <w:rsid w:val="1087640F"/>
    <w:rsid w:val="10C50341"/>
    <w:rsid w:val="11163B95"/>
    <w:rsid w:val="1180167F"/>
    <w:rsid w:val="11AC1183"/>
    <w:rsid w:val="11B76268"/>
    <w:rsid w:val="11D72467"/>
    <w:rsid w:val="12687563"/>
    <w:rsid w:val="127919BF"/>
    <w:rsid w:val="12904C4B"/>
    <w:rsid w:val="12F540F7"/>
    <w:rsid w:val="134C478E"/>
    <w:rsid w:val="13DB3D64"/>
    <w:rsid w:val="14615F48"/>
    <w:rsid w:val="14756348"/>
    <w:rsid w:val="167E55A7"/>
    <w:rsid w:val="16C44B09"/>
    <w:rsid w:val="17C87AF6"/>
    <w:rsid w:val="180F3169"/>
    <w:rsid w:val="1875139A"/>
    <w:rsid w:val="18980476"/>
    <w:rsid w:val="1AAD575A"/>
    <w:rsid w:val="1AEB68E0"/>
    <w:rsid w:val="1B4D4C3F"/>
    <w:rsid w:val="1BCE2D72"/>
    <w:rsid w:val="1BF65BDF"/>
    <w:rsid w:val="1C8E4FD9"/>
    <w:rsid w:val="1CE4737F"/>
    <w:rsid w:val="1CE95744"/>
    <w:rsid w:val="1D7F39B2"/>
    <w:rsid w:val="1DD9663B"/>
    <w:rsid w:val="1E137E05"/>
    <w:rsid w:val="1E4D70BB"/>
    <w:rsid w:val="1EE306C7"/>
    <w:rsid w:val="1F0D5C9D"/>
    <w:rsid w:val="1F17647F"/>
    <w:rsid w:val="1F2525CF"/>
    <w:rsid w:val="1F28393C"/>
    <w:rsid w:val="1F367BDF"/>
    <w:rsid w:val="1F3802BD"/>
    <w:rsid w:val="1F702F10"/>
    <w:rsid w:val="1F780BE6"/>
    <w:rsid w:val="1FDB5818"/>
    <w:rsid w:val="202E0BE3"/>
    <w:rsid w:val="208D6DA3"/>
    <w:rsid w:val="2114797F"/>
    <w:rsid w:val="212D398D"/>
    <w:rsid w:val="217C0ED3"/>
    <w:rsid w:val="21BA6BDA"/>
    <w:rsid w:val="2222412B"/>
    <w:rsid w:val="22592787"/>
    <w:rsid w:val="226C110E"/>
    <w:rsid w:val="229429F5"/>
    <w:rsid w:val="22A52095"/>
    <w:rsid w:val="23534141"/>
    <w:rsid w:val="236634E1"/>
    <w:rsid w:val="23D608EF"/>
    <w:rsid w:val="23FD1C03"/>
    <w:rsid w:val="24F924D0"/>
    <w:rsid w:val="25216319"/>
    <w:rsid w:val="253A4D8F"/>
    <w:rsid w:val="25A466AC"/>
    <w:rsid w:val="26263565"/>
    <w:rsid w:val="265A41E2"/>
    <w:rsid w:val="26741DCB"/>
    <w:rsid w:val="26C246B7"/>
    <w:rsid w:val="27987D44"/>
    <w:rsid w:val="27E965F8"/>
    <w:rsid w:val="28696D2D"/>
    <w:rsid w:val="296050BF"/>
    <w:rsid w:val="2A662182"/>
    <w:rsid w:val="2E703302"/>
    <w:rsid w:val="2E7413FE"/>
    <w:rsid w:val="2E760932"/>
    <w:rsid w:val="2F077C8B"/>
    <w:rsid w:val="2F531EA0"/>
    <w:rsid w:val="2F837332"/>
    <w:rsid w:val="2FE37060"/>
    <w:rsid w:val="300246FB"/>
    <w:rsid w:val="30353AC7"/>
    <w:rsid w:val="30C84A2E"/>
    <w:rsid w:val="31175F84"/>
    <w:rsid w:val="31915E9F"/>
    <w:rsid w:val="31EB31CE"/>
    <w:rsid w:val="32453027"/>
    <w:rsid w:val="32566F80"/>
    <w:rsid w:val="32BF4784"/>
    <w:rsid w:val="332F4FE4"/>
    <w:rsid w:val="337A5FAB"/>
    <w:rsid w:val="338A24D5"/>
    <w:rsid w:val="33B43F5E"/>
    <w:rsid w:val="33C80E99"/>
    <w:rsid w:val="34586FDF"/>
    <w:rsid w:val="3516732B"/>
    <w:rsid w:val="358525F0"/>
    <w:rsid w:val="35CA2882"/>
    <w:rsid w:val="362855DA"/>
    <w:rsid w:val="36323860"/>
    <w:rsid w:val="36794FEB"/>
    <w:rsid w:val="369167D9"/>
    <w:rsid w:val="36C070CB"/>
    <w:rsid w:val="37F45271"/>
    <w:rsid w:val="38FE5C7B"/>
    <w:rsid w:val="394915ED"/>
    <w:rsid w:val="39661384"/>
    <w:rsid w:val="39D52E80"/>
    <w:rsid w:val="3ACF172B"/>
    <w:rsid w:val="3B7B1805"/>
    <w:rsid w:val="3BA928B9"/>
    <w:rsid w:val="3BD50F16"/>
    <w:rsid w:val="3C4F2755"/>
    <w:rsid w:val="3CAD59EE"/>
    <w:rsid w:val="3CCD31F6"/>
    <w:rsid w:val="3D8E0053"/>
    <w:rsid w:val="3E2E0DB1"/>
    <w:rsid w:val="3E772758"/>
    <w:rsid w:val="3E950E30"/>
    <w:rsid w:val="3ED951C1"/>
    <w:rsid w:val="3F3442DA"/>
    <w:rsid w:val="3F762542"/>
    <w:rsid w:val="40235DB3"/>
    <w:rsid w:val="40437A92"/>
    <w:rsid w:val="41994793"/>
    <w:rsid w:val="41C420F2"/>
    <w:rsid w:val="42254279"/>
    <w:rsid w:val="428A0362"/>
    <w:rsid w:val="42C34294"/>
    <w:rsid w:val="42DA11A1"/>
    <w:rsid w:val="43B34232"/>
    <w:rsid w:val="44C6782B"/>
    <w:rsid w:val="44F06DC0"/>
    <w:rsid w:val="44FE772F"/>
    <w:rsid w:val="45536E94"/>
    <w:rsid w:val="45774DEB"/>
    <w:rsid w:val="45F61488"/>
    <w:rsid w:val="461D3BE5"/>
    <w:rsid w:val="471C7124"/>
    <w:rsid w:val="475C2F9D"/>
    <w:rsid w:val="477248AC"/>
    <w:rsid w:val="47B95CA4"/>
    <w:rsid w:val="47D14C87"/>
    <w:rsid w:val="48A32770"/>
    <w:rsid w:val="493F534A"/>
    <w:rsid w:val="49EA7602"/>
    <w:rsid w:val="4A607280"/>
    <w:rsid w:val="4A9E262E"/>
    <w:rsid w:val="4B030F6B"/>
    <w:rsid w:val="4B6E5476"/>
    <w:rsid w:val="4BFB5B48"/>
    <w:rsid w:val="4C3D61FE"/>
    <w:rsid w:val="4D654F3D"/>
    <w:rsid w:val="4D6B3B9A"/>
    <w:rsid w:val="4DA846CC"/>
    <w:rsid w:val="4E0D2406"/>
    <w:rsid w:val="4E2F2707"/>
    <w:rsid w:val="4E382F16"/>
    <w:rsid w:val="4EFE032C"/>
    <w:rsid w:val="4F14575A"/>
    <w:rsid w:val="4F22226C"/>
    <w:rsid w:val="4F585C8E"/>
    <w:rsid w:val="4F87230D"/>
    <w:rsid w:val="50933781"/>
    <w:rsid w:val="50E023DF"/>
    <w:rsid w:val="510065DD"/>
    <w:rsid w:val="5119144D"/>
    <w:rsid w:val="517B21F8"/>
    <w:rsid w:val="524F602A"/>
    <w:rsid w:val="52822A3C"/>
    <w:rsid w:val="528D5C4E"/>
    <w:rsid w:val="52DA2FAA"/>
    <w:rsid w:val="534356DB"/>
    <w:rsid w:val="534544BC"/>
    <w:rsid w:val="535C4BC3"/>
    <w:rsid w:val="54386888"/>
    <w:rsid w:val="543D4DFE"/>
    <w:rsid w:val="544418C9"/>
    <w:rsid w:val="547F2325"/>
    <w:rsid w:val="55BC2315"/>
    <w:rsid w:val="56E62FDB"/>
    <w:rsid w:val="570D3D70"/>
    <w:rsid w:val="57835872"/>
    <w:rsid w:val="57FD02B4"/>
    <w:rsid w:val="58615783"/>
    <w:rsid w:val="59101387"/>
    <w:rsid w:val="5AC320F0"/>
    <w:rsid w:val="5B8C73EB"/>
    <w:rsid w:val="5C2F37DC"/>
    <w:rsid w:val="5C447CC6"/>
    <w:rsid w:val="5D5F468B"/>
    <w:rsid w:val="5D9C58DF"/>
    <w:rsid w:val="5E863619"/>
    <w:rsid w:val="5F13397F"/>
    <w:rsid w:val="5F155135"/>
    <w:rsid w:val="5FA73D58"/>
    <w:rsid w:val="60AE4409"/>
    <w:rsid w:val="621826E9"/>
    <w:rsid w:val="629907CD"/>
    <w:rsid w:val="62BD60DC"/>
    <w:rsid w:val="63AC5F18"/>
    <w:rsid w:val="63BC45E5"/>
    <w:rsid w:val="646D5299"/>
    <w:rsid w:val="64E442D9"/>
    <w:rsid w:val="64F61D79"/>
    <w:rsid w:val="65216985"/>
    <w:rsid w:val="6562740E"/>
    <w:rsid w:val="659414FD"/>
    <w:rsid w:val="65CB234F"/>
    <w:rsid w:val="65DF0594"/>
    <w:rsid w:val="65E0566C"/>
    <w:rsid w:val="66927307"/>
    <w:rsid w:val="66B15D46"/>
    <w:rsid w:val="67476E60"/>
    <w:rsid w:val="679A69EC"/>
    <w:rsid w:val="67DA328C"/>
    <w:rsid w:val="68D73C6F"/>
    <w:rsid w:val="68EB6CBD"/>
    <w:rsid w:val="690C4557"/>
    <w:rsid w:val="69D96901"/>
    <w:rsid w:val="6A6F3064"/>
    <w:rsid w:val="6AEF44D3"/>
    <w:rsid w:val="6AFE7291"/>
    <w:rsid w:val="6B040AB5"/>
    <w:rsid w:val="6B8203DA"/>
    <w:rsid w:val="6BC40333"/>
    <w:rsid w:val="6BDF5315"/>
    <w:rsid w:val="6BE342F4"/>
    <w:rsid w:val="6C661592"/>
    <w:rsid w:val="6C9439FB"/>
    <w:rsid w:val="6CBE5403"/>
    <w:rsid w:val="6DBC0658"/>
    <w:rsid w:val="6DFA7FED"/>
    <w:rsid w:val="6E5A6973"/>
    <w:rsid w:val="6EB72248"/>
    <w:rsid w:val="6F1041A0"/>
    <w:rsid w:val="6F114B97"/>
    <w:rsid w:val="6F472DC3"/>
    <w:rsid w:val="6F5C6720"/>
    <w:rsid w:val="6FD60116"/>
    <w:rsid w:val="703009C6"/>
    <w:rsid w:val="70911BAC"/>
    <w:rsid w:val="70A703CB"/>
    <w:rsid w:val="71A212BE"/>
    <w:rsid w:val="71D21478"/>
    <w:rsid w:val="72555E65"/>
    <w:rsid w:val="728D13E8"/>
    <w:rsid w:val="72C65FD5"/>
    <w:rsid w:val="73013DC3"/>
    <w:rsid w:val="732D58FE"/>
    <w:rsid w:val="7375479F"/>
    <w:rsid w:val="73B452D9"/>
    <w:rsid w:val="7432728A"/>
    <w:rsid w:val="758958DF"/>
    <w:rsid w:val="778D0C6D"/>
    <w:rsid w:val="779565BF"/>
    <w:rsid w:val="77A10FC9"/>
    <w:rsid w:val="7878290E"/>
    <w:rsid w:val="78C80D18"/>
    <w:rsid w:val="78D67AA0"/>
    <w:rsid w:val="78E15089"/>
    <w:rsid w:val="78EB4874"/>
    <w:rsid w:val="790160B7"/>
    <w:rsid w:val="79BA4CCB"/>
    <w:rsid w:val="79C00D74"/>
    <w:rsid w:val="79CD5799"/>
    <w:rsid w:val="79D609BD"/>
    <w:rsid w:val="79E02E43"/>
    <w:rsid w:val="79FF6B82"/>
    <w:rsid w:val="7A1E525A"/>
    <w:rsid w:val="7A635363"/>
    <w:rsid w:val="7A884257"/>
    <w:rsid w:val="7AC1438C"/>
    <w:rsid w:val="7C1F350C"/>
    <w:rsid w:val="7CCB7ECD"/>
    <w:rsid w:val="7CD7389D"/>
    <w:rsid w:val="7D09022A"/>
    <w:rsid w:val="7DC12ACC"/>
    <w:rsid w:val="7E4E1E86"/>
    <w:rsid w:val="7F491D34"/>
    <w:rsid w:val="7F760AC6"/>
    <w:rsid w:val="7F9A4AA0"/>
    <w:rsid w:val="7FD82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40" w:firstLineChars="200"/>
      <w:jc w:val="both"/>
    </w:pPr>
    <w:rPr>
      <w:rFonts w:ascii="宋体" w:hAnsi="宋体" w:eastAsia="宋体" w:cs="宋体"/>
      <w:sz w:val="28"/>
      <w:szCs w:val="28"/>
    </w:rPr>
  </w:style>
  <w:style w:type="paragraph" w:styleId="2">
    <w:name w:val="heading 1"/>
    <w:basedOn w:val="1"/>
    <w:next w:val="1"/>
    <w:link w:val="29"/>
    <w:qFormat/>
    <w:uiPriority w:val="0"/>
    <w:pPr>
      <w:keepNext/>
      <w:keepLines/>
      <w:spacing w:before="50" w:beforeLines="50" w:beforeAutospacing="0" w:after="50" w:afterLines="50" w:afterAutospacing="0" w:line="360" w:lineRule="auto"/>
      <w:ind w:firstLine="0" w:firstLineChars="0"/>
      <w:jc w:val="both"/>
      <w:outlineLvl w:val="0"/>
    </w:pPr>
    <w:rPr>
      <w:rFonts w:ascii="Times New Roman" w:hAnsi="Times New Roman" w:cs="Times New Roman"/>
      <w:b/>
      <w:color w:val="000000"/>
      <w:kern w:val="44"/>
      <w:sz w:val="32"/>
      <w:shd w:val="clear" w:color="auto" w:fill="auto"/>
      <w:lang w:eastAsia="en-US" w:bidi="en-US"/>
    </w:rPr>
  </w:style>
  <w:style w:type="paragraph" w:styleId="3">
    <w:name w:val="heading 2"/>
    <w:basedOn w:val="1"/>
    <w:next w:val="1"/>
    <w:link w:val="42"/>
    <w:unhideWhenUsed/>
    <w:qFormat/>
    <w:uiPriority w:val="0"/>
    <w:pPr>
      <w:keepNext/>
      <w:keepLines/>
      <w:spacing w:before="50" w:beforeLines="50" w:beforeAutospacing="0" w:after="50" w:afterLines="5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Autospacing="0" w:afterLines="0" w:afterAutospacing="0" w:line="600" w:lineRule="exact"/>
      <w:outlineLvl w:val="2"/>
    </w:pPr>
    <w:rPr>
      <w:b/>
      <w:sz w:val="30"/>
    </w:rPr>
  </w:style>
  <w:style w:type="paragraph" w:styleId="5">
    <w:name w:val="heading 4"/>
    <w:basedOn w:val="1"/>
    <w:next w:val="1"/>
    <w:link w:val="32"/>
    <w:unhideWhenUsed/>
    <w:qFormat/>
    <w:uiPriority w:val="0"/>
    <w:pPr>
      <w:keepNext/>
      <w:keepLines/>
      <w:spacing w:before="50" w:beforeLines="50" w:beforeAutospacing="0" w:after="50" w:afterLines="50" w:afterAutospacing="0" w:line="600" w:lineRule="exact"/>
      <w:outlineLvl w:val="3"/>
    </w:pPr>
    <w:rPr>
      <w:rFonts w:ascii="Arial" w:hAnsi="Arial" w:eastAsia="宋体"/>
      <w:b/>
    </w:rPr>
  </w:style>
  <w:style w:type="paragraph" w:styleId="6">
    <w:name w:val="heading 5"/>
    <w:basedOn w:val="1"/>
    <w:next w:val="1"/>
    <w:link w:val="33"/>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7">
    <w:name w:val="Normal Indent"/>
    <w:basedOn w:val="1"/>
    <w:next w:val="1"/>
    <w:unhideWhenUsed/>
    <w:qFormat/>
    <w:uiPriority w:val="0"/>
    <w:pPr>
      <w:spacing w:line="360" w:lineRule="auto"/>
      <w:ind w:firstLine="567"/>
    </w:pPr>
    <w:rPr>
      <w:rFonts w:hAnsi="宋体"/>
      <w:sz w:val="28"/>
      <w:szCs w:val="20"/>
    </w:rPr>
  </w:style>
  <w:style w:type="paragraph" w:styleId="8">
    <w:name w:val="Body Text"/>
    <w:basedOn w:val="1"/>
    <w:next w:val="9"/>
    <w:qFormat/>
    <w:uiPriority w:val="0"/>
    <w:pPr>
      <w:spacing w:after="120"/>
    </w:pPr>
  </w:style>
  <w:style w:type="paragraph" w:customStyle="1" w:styleId="9">
    <w:name w:val="style4"/>
    <w:basedOn w:val="1"/>
    <w:next w:val="10"/>
    <w:qFormat/>
    <w:uiPriority w:val="0"/>
    <w:pPr>
      <w:widowControl/>
      <w:autoSpaceDE/>
      <w:autoSpaceDN/>
      <w:spacing w:before="280" w:after="280" w:line="240" w:lineRule="auto"/>
      <w:ind w:left="0" w:firstLine="0"/>
      <w:jc w:val="both"/>
    </w:pPr>
    <w:rPr>
      <w:rFonts w:ascii="宋体" w:eastAsia="宋体"/>
      <w:sz w:val="18"/>
    </w:rPr>
  </w:style>
  <w:style w:type="paragraph" w:customStyle="1" w:styleId="10">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1">
    <w:name w:val="Body Text Indent"/>
    <w:basedOn w:val="1"/>
    <w:next w:val="12"/>
    <w:unhideWhenUsed/>
    <w:qFormat/>
    <w:uiPriority w:val="0"/>
    <w:pPr>
      <w:spacing w:line="360" w:lineRule="auto"/>
      <w:ind w:firstLine="567"/>
    </w:pPr>
    <w:rPr>
      <w:rFonts w:hAnsi="Calibri" w:cs="黑体"/>
      <w:sz w:val="28"/>
      <w:szCs w:val="22"/>
    </w:rPr>
  </w:style>
  <w:style w:type="paragraph" w:styleId="12">
    <w:name w:val="envelope return"/>
    <w:basedOn w:val="1"/>
    <w:qFormat/>
    <w:uiPriority w:val="0"/>
    <w:pPr>
      <w:snapToGrid w:val="0"/>
    </w:pPr>
    <w:rPr>
      <w:rFonts w:ascii="Arial" w:hAnsi="Arial" w:eastAsia="宋体" w:cs="Times New Roman"/>
    </w:r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2"/>
    <w:basedOn w:val="1"/>
    <w:unhideWhenUsed/>
    <w:qFormat/>
    <w:uiPriority w:val="99"/>
    <w:pPr>
      <w:spacing w:after="120" w:line="480" w:lineRule="auto"/>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8"/>
    <w:next w:val="21"/>
    <w:qFormat/>
    <w:uiPriority w:val="0"/>
    <w:pPr>
      <w:ind w:firstLine="420" w:firstLineChars="100"/>
    </w:pPr>
  </w:style>
  <w:style w:type="paragraph" w:styleId="21">
    <w:name w:val="Body Text First Indent 2"/>
    <w:basedOn w:val="11"/>
    <w:next w:val="1"/>
    <w:unhideWhenUsed/>
    <w:qFormat/>
    <w:uiPriority w:val="0"/>
    <w:pPr>
      <w:spacing w:line="600" w:lineRule="exact"/>
      <w:ind w:firstLine="420" w:firstLineChars="200"/>
    </w:pPr>
    <w:rPr>
      <w:rFonts w:hint="eastAsia" w:ascii="Times New Roman" w:hAnsi="Times New Roman" w:eastAsia="仿宋_GB2312" w:cs="Times New Roman"/>
      <w:sz w:val="32"/>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Body text|1"/>
    <w:basedOn w:val="1"/>
    <w:qFormat/>
    <w:uiPriority w:val="0"/>
    <w:pPr>
      <w:widowControl w:val="0"/>
      <w:shd w:val="clear" w:color="auto" w:fill="auto"/>
      <w:spacing w:line="302" w:lineRule="auto"/>
    </w:pPr>
    <w:rPr>
      <w:rFonts w:ascii="宋体" w:hAnsi="宋体" w:eastAsia="宋体" w:cs="宋体"/>
      <w:sz w:val="20"/>
      <w:szCs w:val="20"/>
      <w:u w:val="none"/>
      <w:shd w:val="clear" w:color="auto" w:fill="auto"/>
      <w:lang w:val="zh-TW" w:eastAsia="zh-TW" w:bidi="zh-TW"/>
    </w:rPr>
  </w:style>
  <w:style w:type="paragraph" w:customStyle="1" w:styleId="26">
    <w:name w:val="WPSOffice手动目录 1"/>
    <w:qFormat/>
    <w:uiPriority w:val="0"/>
    <w:pPr>
      <w:ind w:leftChars="0"/>
    </w:pPr>
    <w:rPr>
      <w:rFonts w:asciiTheme="minorHAnsi" w:hAnsiTheme="minorHAnsi" w:eastAsiaTheme="minorEastAsia" w:cstheme="minorBidi"/>
      <w:sz w:val="20"/>
      <w:szCs w:val="20"/>
    </w:rPr>
  </w:style>
  <w:style w:type="paragraph" w:customStyle="1" w:styleId="27">
    <w:name w:val="WPSOffice手动目录 2"/>
    <w:qFormat/>
    <w:uiPriority w:val="0"/>
    <w:pPr>
      <w:ind w:leftChars="200"/>
    </w:pPr>
    <w:rPr>
      <w:rFonts w:asciiTheme="minorHAnsi" w:hAnsiTheme="minorHAnsi" w:eastAsiaTheme="minorEastAsia" w:cstheme="minorBidi"/>
      <w:sz w:val="20"/>
      <w:szCs w:val="20"/>
    </w:rPr>
  </w:style>
  <w:style w:type="paragraph" w:customStyle="1" w:styleId="28">
    <w:name w:val="WPSOffice手动目录 3"/>
    <w:qFormat/>
    <w:uiPriority w:val="0"/>
    <w:pPr>
      <w:ind w:leftChars="400"/>
    </w:pPr>
    <w:rPr>
      <w:rFonts w:asciiTheme="minorHAnsi" w:hAnsiTheme="minorHAnsi" w:eastAsiaTheme="minorEastAsia" w:cstheme="minorBidi"/>
      <w:sz w:val="20"/>
      <w:szCs w:val="20"/>
    </w:rPr>
  </w:style>
  <w:style w:type="character" w:customStyle="1" w:styleId="29">
    <w:name w:val="标题 1 Char1"/>
    <w:link w:val="2"/>
    <w:qFormat/>
    <w:uiPriority w:val="0"/>
    <w:rPr>
      <w:rFonts w:ascii="Times New Roman" w:hAnsi="Times New Roman" w:eastAsia="宋体" w:cs="Times New Roman"/>
      <w:b/>
      <w:color w:val="000000"/>
      <w:kern w:val="44"/>
      <w:sz w:val="32"/>
      <w:shd w:val="clear" w:color="auto" w:fill="auto"/>
      <w:lang w:eastAsia="en-US" w:bidi="en-US"/>
    </w:rPr>
  </w:style>
  <w:style w:type="paragraph" w:customStyle="1" w:styleId="30">
    <w:name w:val="Table Paragraph"/>
    <w:basedOn w:val="1"/>
    <w:qFormat/>
    <w:uiPriority w:val="1"/>
  </w:style>
  <w:style w:type="table" w:customStyle="1" w:styleId="31">
    <w:name w:val="Table Normal"/>
    <w:semiHidden/>
    <w:unhideWhenUsed/>
    <w:qFormat/>
    <w:uiPriority w:val="2"/>
    <w:tblPr>
      <w:tblCellMar>
        <w:top w:w="0" w:type="dxa"/>
        <w:left w:w="0" w:type="dxa"/>
        <w:bottom w:w="0" w:type="dxa"/>
        <w:right w:w="0" w:type="dxa"/>
      </w:tblCellMar>
    </w:tblPr>
  </w:style>
  <w:style w:type="character" w:customStyle="1" w:styleId="32">
    <w:name w:val="标题 4 Char"/>
    <w:link w:val="5"/>
    <w:qFormat/>
    <w:uiPriority w:val="0"/>
    <w:rPr>
      <w:rFonts w:ascii="Arial" w:hAnsi="Arial" w:eastAsia="宋体"/>
      <w:b/>
      <w:sz w:val="28"/>
    </w:rPr>
  </w:style>
  <w:style w:type="character" w:customStyle="1" w:styleId="33">
    <w:name w:val="标题 5 Char"/>
    <w:link w:val="6"/>
    <w:qFormat/>
    <w:uiPriority w:val="0"/>
    <w:rPr>
      <w:b/>
      <w:sz w:val="28"/>
    </w:rPr>
  </w:style>
  <w:style w:type="character" w:customStyle="1" w:styleId="34">
    <w:name w:val="font31"/>
    <w:basedOn w:val="24"/>
    <w:qFormat/>
    <w:uiPriority w:val="0"/>
    <w:rPr>
      <w:rFonts w:hint="eastAsia" w:ascii="宋体" w:hAnsi="宋体" w:eastAsia="宋体" w:cs="宋体"/>
      <w:color w:val="000000"/>
      <w:sz w:val="20"/>
      <w:szCs w:val="20"/>
      <w:u w:val="none"/>
    </w:rPr>
  </w:style>
  <w:style w:type="character" w:customStyle="1" w:styleId="35">
    <w:name w:val="font41"/>
    <w:basedOn w:val="24"/>
    <w:qFormat/>
    <w:uiPriority w:val="0"/>
    <w:rPr>
      <w:rFonts w:hint="eastAsia" w:ascii="宋体" w:hAnsi="宋体" w:eastAsia="宋体" w:cs="宋体"/>
      <w:color w:val="000000"/>
      <w:sz w:val="20"/>
      <w:szCs w:val="20"/>
      <w:u w:val="none"/>
    </w:rPr>
  </w:style>
  <w:style w:type="character" w:customStyle="1" w:styleId="36">
    <w:name w:val="font21"/>
    <w:basedOn w:val="24"/>
    <w:qFormat/>
    <w:uiPriority w:val="0"/>
    <w:rPr>
      <w:rFonts w:hint="eastAsia" w:ascii="宋体" w:hAnsi="宋体" w:eastAsia="宋体" w:cs="宋体"/>
      <w:color w:val="000000"/>
      <w:sz w:val="20"/>
      <w:szCs w:val="20"/>
      <w:u w:val="none"/>
    </w:rPr>
  </w:style>
  <w:style w:type="character" w:customStyle="1" w:styleId="37">
    <w:name w:val="font11"/>
    <w:basedOn w:val="24"/>
    <w:qFormat/>
    <w:uiPriority w:val="0"/>
    <w:rPr>
      <w:rFonts w:hint="eastAsia" w:ascii="宋体" w:hAnsi="宋体" w:eastAsia="宋体" w:cs="宋体"/>
      <w:color w:val="000000"/>
      <w:sz w:val="15"/>
      <w:szCs w:val="15"/>
      <w:u w:val="none"/>
    </w:rPr>
  </w:style>
  <w:style w:type="paragraph" w:customStyle="1" w:styleId="38">
    <w:name w:val="标书正文1"/>
    <w:basedOn w:val="1"/>
    <w:qFormat/>
    <w:uiPriority w:val="99"/>
    <w:pPr>
      <w:spacing w:line="520" w:lineRule="exact"/>
      <w:ind w:firstLine="640" w:firstLineChars="200"/>
    </w:pPr>
    <w:rPr>
      <w:rFonts w:ascii="Times New Roman" w:hAnsi="Times New Roman" w:cs="宋体"/>
    </w:rPr>
  </w:style>
  <w:style w:type="paragraph" w:customStyle="1" w:styleId="39">
    <w:name w:val="p15"/>
    <w:basedOn w:val="1"/>
    <w:qFormat/>
    <w:uiPriority w:val="0"/>
    <w:pPr>
      <w:widowControl/>
    </w:pPr>
    <w:rPr>
      <w:kern w:val="0"/>
      <w:szCs w:val="21"/>
    </w:rPr>
  </w:style>
  <w:style w:type="paragraph" w:customStyle="1" w:styleId="40">
    <w:name w:val="Table Text"/>
    <w:basedOn w:val="1"/>
    <w:semiHidden/>
    <w:qFormat/>
    <w:uiPriority w:val="0"/>
    <w:rPr>
      <w:rFonts w:ascii="宋体" w:hAnsi="宋体" w:eastAsia="宋体" w:cs="宋体"/>
      <w:sz w:val="13"/>
      <w:szCs w:val="13"/>
      <w:lang w:val="en-US" w:eastAsia="en-US" w:bidi="ar-SA"/>
    </w:rPr>
  </w:style>
  <w:style w:type="paragraph" w:customStyle="1" w:styleId="41">
    <w:name w:val="首行缩进"/>
    <w:basedOn w:val="1"/>
    <w:qFormat/>
    <w:uiPriority w:val="0"/>
    <w:pPr>
      <w:ind w:firstLine="480" w:firstLineChars="200"/>
    </w:pPr>
    <w:rPr>
      <w:lang w:val="zh-CN"/>
    </w:rPr>
  </w:style>
  <w:style w:type="character" w:customStyle="1" w:styleId="42">
    <w:name w:val="标题 2 Char"/>
    <w:link w:val="3"/>
    <w:qFormat/>
    <w:uiPriority w:val="0"/>
    <w:rPr>
      <w:rFonts w:ascii="Arial" w:hAnsi="Arial"/>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8911</Words>
  <Characters>9843</Characters>
  <TotalTime>49</TotalTime>
  <ScaleCrop>false</ScaleCrop>
  <LinksUpToDate>false</LinksUpToDate>
  <CharactersWithSpaces>10039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2022-07-27T07:10:00Z</dcterms:created>
  <dc:creator>openxml-sdk </dc:creator>
  <dc:description>openxml-sdk, CCi Textin Word Converter, JL</dc:description>
  <cp:keywords>CCi</cp:keywords>
  <cp:lastModifiedBy>我就呵呵不说话</cp:lastModifiedBy>
  <cp:lastPrinted>2022-11-10T00:11:00Z</cp:lastPrinted>
  <dcterms:modified xsi:type="dcterms:W3CDTF">2025-12-26T03:16:43Z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FD8B192119BD4C66918B76A63131E778</vt:lpwstr>
  </property>
  <property fmtid="{D5CDD505-2E9C-101B-9397-08002B2CF9AE}" pid="4" name="KSOTemplateDocerSaveRecord">
    <vt:lpwstr>eyJoZGlkIjoiODBlNzk2NWVhZWYyMjhmYWMyMDEwZWRmYzA3ODkzMDUiLCJ1c2VySWQiOiIzMjIwMjgxNjIifQ==</vt:lpwstr>
  </property>
</Properties>
</file>