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CA94C">
      <w:pPr>
        <w:widowControl/>
        <w:spacing w:line="7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kern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kern w:val="0"/>
          <w:sz w:val="40"/>
          <w:szCs w:val="40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kern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kern w:val="0"/>
          <w:sz w:val="40"/>
          <w:szCs w:val="40"/>
          <w:lang w:eastAsia="zh-CN"/>
        </w:rPr>
        <w:t>三门峡市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kern w:val="0"/>
          <w:sz w:val="40"/>
          <w:szCs w:val="40"/>
        </w:rPr>
        <w:t>陕州区国民经济和社会发展</w:t>
      </w:r>
    </w:p>
    <w:p w14:paraId="6FA8391C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1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kern w:val="0"/>
          <w:sz w:val="40"/>
          <w:szCs w:val="40"/>
        </w:rPr>
        <w:t>统计公报</w:t>
      </w:r>
    </w:p>
    <w:p w14:paraId="1559E544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10"/>
          <w:kern w:val="0"/>
          <w:sz w:val="40"/>
          <w:szCs w:val="40"/>
        </w:rPr>
      </w:pPr>
    </w:p>
    <w:p w14:paraId="6F4106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050AF49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jc w:val="both"/>
        <w:textAlignment w:val="baseline"/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202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年，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eastAsia="zh-CN"/>
        </w:rPr>
        <w:t>陕州区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坚持以习近平新时代中国特色社会主义思想为指导，深入学习贯彻党的二十大和二十届二中、三中全会精神，认真落实中央、省委、市委和区委决策部署，深入实施“工业强区”战略，持续攻坚“十大战役”，全区经济社会发展和党的建设取得新进展新成效</w:t>
      </w:r>
      <w:r>
        <w:rPr>
          <w:rFonts w:hint="eastAsia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中国式现代化建设陕州实践迈出坚实步伐。</w:t>
      </w:r>
    </w:p>
    <w:p w14:paraId="7A926C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一、综合</w:t>
      </w:r>
    </w:p>
    <w:p w14:paraId="653669B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jc w:val="both"/>
        <w:textAlignment w:val="baseline"/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初步核算，全年全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eastAsia="zh-CN"/>
        </w:rPr>
        <w:t>区地区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生产总值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269.8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亿元，按可比价格计算，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增长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5.0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%。其中：第一产业增加值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31.0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亿元，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增长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3.0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%；第二产业增加值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128.7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亿元，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增长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6.7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%；第三产业增加值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110.1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亿元，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增长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3.8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%。三次产业结构为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11.49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: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47.7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: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40.8</w:t>
      </w:r>
      <w:r>
        <w:rPr>
          <w:rFonts w:hint="eastAsia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。</w:t>
      </w:r>
    </w:p>
    <w:p w14:paraId="45D5647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jc w:val="both"/>
        <w:textAlignment w:val="baseline"/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年末全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常住人口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28.33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万人，其中城镇常住人口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15.69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万人，乡村常住人口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12.64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万人；常住人口城镇化率为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55.37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%，比上年末提高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1.51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个百分点。全年人口出生率为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5.99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‰；人口死亡率为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6.69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‰；自然增长率为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-0.7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‰。</w:t>
      </w:r>
    </w:p>
    <w:p w14:paraId="1C3372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二、农业</w:t>
      </w:r>
    </w:p>
    <w:p w14:paraId="3792F98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jc w:val="both"/>
        <w:textAlignment w:val="baseline"/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全年全区粮食播种面积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28003.99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公顷，同比增长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-0.63%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。其中，小麦播种面积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13504.03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公顷，同比增长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-0.78%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；玉米播种面积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10210.14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公顷，同比增长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0.46%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；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油料种植面积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2003.67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公顷，同比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eastAsia="zh-CN"/>
        </w:rPr>
        <w:t>增长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1.2%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；烟叶种植面积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991.47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公顷，同比增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eastAsia="zh-CN"/>
        </w:rPr>
        <w:t>长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-11.16%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；蔬菜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及食用菌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种植面积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4988.03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公顷，同比增长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6.68%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。</w:t>
      </w:r>
    </w:p>
    <w:p w14:paraId="5211670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jc w:val="both"/>
        <w:textAlignment w:val="baseline"/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yellow"/>
          <w:u w:val="none"/>
        </w:rPr>
      </w:pP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全年粮食产量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122311.41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吨，同比增长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-0.77%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。其中：夏粮产量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59923.36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吨，同比增长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4.61%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；秋粮产量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62388.05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吨，同比增长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-5.43%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。小麦产量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59923.36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吨，同比增长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4.61%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；玉米产量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49030.94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吨，同比增长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-2.09%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；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油料产量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4744.79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吨，同比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eastAsia="zh-CN"/>
        </w:rPr>
        <w:t>增长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3.57%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；烟叶产量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2540.22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吨</w:t>
      </w:r>
      <w:r>
        <w:rPr>
          <w:rFonts w:hint="eastAsia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同比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eastAsia="zh-CN"/>
        </w:rPr>
        <w:t>增长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-8.43%</w:t>
      </w:r>
      <w:r>
        <w:rPr>
          <w:rFonts w:hint="eastAsia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蔬菜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及食用菌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产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量196062.38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吨</w:t>
      </w:r>
      <w:r>
        <w:rPr>
          <w:rFonts w:hint="eastAsia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</w:rPr>
        <w:t>同比增长</w:t>
      </w:r>
      <w:r>
        <w:rPr>
          <w:rFonts w:hint="eastAsia" w:ascii="Times New Roman" w:hAnsi="Times New Roman" w:eastAsia="仿宋_GB2312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4.48%</w:t>
      </w:r>
      <w:r>
        <w:rPr>
          <w:rFonts w:hint="eastAsia" w:cs="宋体"/>
          <w:color w:val="000000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猪牛羊禽肉总产量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21635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吨，同比增长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-5.93%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；禽蛋产量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11100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吨，同比增长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-5.13%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；牛奶产量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22000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吨，同比增长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宋体"/>
          <w:color w:val="auto"/>
          <w:spacing w:val="6"/>
          <w:w w:val="97"/>
          <w:kern w:val="0"/>
          <w:sz w:val="32"/>
          <w:szCs w:val="32"/>
          <w:highlight w:val="none"/>
          <w:u w:val="none"/>
        </w:rPr>
        <w:t>%。</w:t>
      </w:r>
    </w:p>
    <w:p w14:paraId="7A16F7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600" w:lineRule="exact"/>
        <w:ind w:firstLine="0"/>
        <w:jc w:val="center"/>
        <w:textAlignment w:val="auto"/>
        <w:rPr>
          <w:rFonts w:hint="eastAsia" w:ascii="仿宋_GB2312" w:hAnsi="????_GB2312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highlight w:val="none"/>
        </w:rPr>
        <w:t>表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1: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highlight w:val="none"/>
        </w:rPr>
        <w:t>20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highlight w:val="none"/>
        </w:rPr>
        <w:t>年主要农产品产量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563"/>
        <w:gridCol w:w="2564"/>
      </w:tblGrid>
      <w:tr w14:paraId="177B1F1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5A64">
            <w:pPr>
              <w:widowControl/>
              <w:spacing w:before="100" w:beforeAutospacing="1" w:after="100" w:afterAutospacing="1" w:line="352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1"/>
                <w:highlight w:val="none"/>
              </w:rPr>
              <w:t>产品名称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A32D">
            <w:pPr>
              <w:widowControl/>
              <w:spacing w:before="100" w:beforeAutospacing="1" w:after="100" w:afterAutospacing="1" w:line="352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1"/>
                <w:highlight w:val="none"/>
              </w:rPr>
              <w:t>产量（吨）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277D28C">
            <w:pPr>
              <w:widowControl/>
              <w:spacing w:before="100" w:beforeAutospacing="1" w:after="100" w:afterAutospacing="1" w:line="352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1"/>
                <w:highlight w:val="none"/>
              </w:rPr>
              <w:t>比上年增长（%）</w:t>
            </w:r>
          </w:p>
        </w:tc>
      </w:tr>
      <w:tr w14:paraId="22B6F3F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BE2E9">
            <w:pPr>
              <w:widowControl/>
              <w:spacing w:before="100" w:beforeAutospacing="1" w:after="100" w:afterAutospacing="1" w:line="352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</w:rPr>
              <w:t>粮食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B70AF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122311.41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D69ABAE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</w:rPr>
              <w:t>-0.77</w:t>
            </w:r>
          </w:p>
        </w:tc>
      </w:tr>
      <w:tr w14:paraId="1638D90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EDF7">
            <w:pPr>
              <w:widowControl/>
              <w:spacing w:before="100" w:beforeAutospacing="1" w:after="100" w:afterAutospacing="1" w:line="352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</w:rPr>
              <w:t>夏粮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669A9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59923.36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162E989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4.61</w:t>
            </w:r>
          </w:p>
        </w:tc>
      </w:tr>
      <w:tr w14:paraId="540ABCF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48F9">
            <w:pPr>
              <w:widowControl/>
              <w:spacing w:before="100" w:beforeAutospacing="1" w:after="100" w:afterAutospacing="1" w:line="352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</w:rPr>
              <w:t>秋粮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D67F4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62388.05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2735D2C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</w:rPr>
              <w:t>-5.43</w:t>
            </w:r>
          </w:p>
        </w:tc>
      </w:tr>
      <w:tr w14:paraId="184CC58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B1B0">
            <w:pPr>
              <w:widowControl/>
              <w:spacing w:before="100" w:beforeAutospacing="1" w:after="100" w:afterAutospacing="1" w:line="352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highlight w:val="none"/>
              </w:rPr>
              <w:t>油料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0ED5C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4744.79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783331B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3.57</w:t>
            </w:r>
          </w:p>
        </w:tc>
      </w:tr>
      <w:tr w14:paraId="29B8829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676D">
            <w:pPr>
              <w:widowControl/>
              <w:spacing w:before="100" w:beforeAutospacing="1" w:after="100" w:afterAutospacing="1" w:line="352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highlight w:val="none"/>
              </w:rPr>
              <w:t>#花生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359C1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759.51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DFF0C74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4.19</w:t>
            </w:r>
          </w:p>
        </w:tc>
      </w:tr>
      <w:tr w14:paraId="7A335F8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AD6D">
            <w:pPr>
              <w:widowControl/>
              <w:spacing w:before="100" w:beforeAutospacing="1" w:after="100" w:afterAutospacing="1" w:line="352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highlight w:val="none"/>
              </w:rPr>
              <w:t>烟叶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F3D76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2540.22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217592A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-8.43</w:t>
            </w:r>
          </w:p>
        </w:tc>
      </w:tr>
      <w:tr w14:paraId="5FA0D03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6BB4">
            <w:pPr>
              <w:widowControl/>
              <w:spacing w:before="100" w:beforeAutospacing="1" w:after="100" w:afterAutospacing="1" w:line="352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highlight w:val="none"/>
              </w:rPr>
              <w:t>蔬菜类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highlight w:val="none"/>
                <w:lang w:eastAsia="zh-CN"/>
              </w:rPr>
              <w:t>及食用菌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5E01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196062.38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821851E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4.48</w:t>
            </w:r>
          </w:p>
        </w:tc>
      </w:tr>
      <w:tr w14:paraId="6EEF857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DD8CF">
            <w:pPr>
              <w:widowControl/>
              <w:spacing w:before="100" w:beforeAutospacing="1" w:after="100" w:afterAutospacing="1" w:line="352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highlight w:val="none"/>
                <w:lang w:val="en-US" w:eastAsia="zh-CN"/>
              </w:rPr>
              <w:t>园林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highlight w:val="none"/>
              </w:rPr>
              <w:t>水果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highlight w:val="none"/>
                <w:lang w:val="en-US" w:eastAsia="zh-CN"/>
              </w:rPr>
              <w:t>产量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E217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622396.97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E424A75">
            <w:pPr>
              <w:widowControl/>
              <w:spacing w:before="100" w:beforeAutospacing="1" w:after="100" w:afterAutospacing="1" w:line="352" w:lineRule="atLeast"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2.34</w:t>
            </w:r>
          </w:p>
        </w:tc>
      </w:tr>
    </w:tbl>
    <w:p w14:paraId="74870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三、工业和建筑业</w:t>
      </w:r>
    </w:p>
    <w:p w14:paraId="5AC3EF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6" w:firstLineChars="200"/>
        <w:jc w:val="left"/>
        <w:textAlignment w:val="auto"/>
        <w:outlineLvl w:val="9"/>
        <w:rPr>
          <w:rFonts w:hint="eastAsia" w:ascii="仿宋_GB2312" w:eastAsia="仿宋_GB2312" w:cs="宋体"/>
          <w:b w:val="0"/>
          <w:bCs/>
          <w:color w:val="auto"/>
          <w:spacing w:val="4"/>
          <w:w w:val="97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b w:val="0"/>
          <w:bCs/>
          <w:color w:val="auto"/>
          <w:spacing w:val="4"/>
          <w:w w:val="97"/>
          <w:kern w:val="0"/>
          <w:sz w:val="32"/>
          <w:szCs w:val="32"/>
          <w:highlight w:val="none"/>
          <w:lang w:val="en-US" w:eastAsia="zh-CN"/>
        </w:rPr>
        <w:t>全年全区规模以上工业增加值同比增长8.8%，其中，轻工业增加值同比增长41.3%，重工业增加值同比增长7.9%，轻、重工业比例3.6:96.4，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产品销售率94.8%。</w:t>
      </w:r>
    </w:p>
    <w:p w14:paraId="2D60BB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6" w:firstLineChars="200"/>
        <w:jc w:val="left"/>
        <w:textAlignment w:val="auto"/>
        <w:outlineLvl w:val="9"/>
        <w:rPr>
          <w:rFonts w:hint="eastAsia" w:ascii="仿宋_GB2312" w:hAnsi="????_GB2312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全年规模以上工业18个行业大类中，从增加值占比看居前5位的行业：有色金属冶炼和压延加工业占比42.2%，同比增长25.5%；非金属矿物制品业占比18.7%，同比增长37.9%；煤炭开采和洗选业占比10.3%，同比下降19.4%；汽车制造业占比6.8%，同比增长0.5%；电力、热力生产和供应业占比5.8%，同比下降1%。</w:t>
      </w:r>
    </w:p>
    <w:p w14:paraId="7824EC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line="600" w:lineRule="exact"/>
        <w:jc w:val="center"/>
        <w:textAlignment w:val="auto"/>
        <w:rPr>
          <w:rFonts w:hint="eastAsia" w:ascii="仿宋_GB2312" w:hAnsi="????_GB2312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highlight w:val="none"/>
        </w:rPr>
        <w:t>表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2: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highlight w:val="none"/>
        </w:rPr>
        <w:t>20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highlight w:val="none"/>
        </w:rPr>
        <w:t>年规模以上工业主要产品产量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1"/>
        <w:gridCol w:w="1591"/>
        <w:gridCol w:w="1678"/>
        <w:gridCol w:w="1910"/>
      </w:tblGrid>
      <w:tr w14:paraId="10B6ADE1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21" w:type="dxa"/>
            <w:tcBorders>
              <w:tl2br w:val="nil"/>
              <w:tr2bl w:val="nil"/>
            </w:tcBorders>
            <w:noWrap w:val="0"/>
            <w:vAlign w:val="center"/>
          </w:tcPr>
          <w:p w14:paraId="34CED7C7">
            <w:pPr>
              <w:widowControl/>
              <w:spacing w:before="100" w:beforeAutospacing="1" w:after="100" w:afterAutospacing="1" w:line="352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1"/>
                <w:highlight w:val="none"/>
              </w:rPr>
              <w:t>产品名称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 w14:paraId="3329EA14">
            <w:pPr>
              <w:widowControl/>
              <w:spacing w:before="100" w:beforeAutospacing="1" w:after="100" w:afterAutospacing="1" w:line="352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1"/>
                <w:highlight w:val="none"/>
              </w:rPr>
              <w:t>单  位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24704602">
            <w:pPr>
              <w:widowControl/>
              <w:spacing w:before="100" w:beforeAutospacing="1" w:after="100" w:afterAutospacing="1" w:line="352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1"/>
                <w:highlight w:val="none"/>
              </w:rPr>
              <w:t>产  量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noWrap w:val="0"/>
            <w:vAlign w:val="center"/>
          </w:tcPr>
          <w:p w14:paraId="6950CD85">
            <w:pPr>
              <w:widowControl/>
              <w:spacing w:before="100" w:beforeAutospacing="1" w:after="100" w:afterAutospacing="1" w:line="352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1"/>
                <w:highlight w:val="none"/>
              </w:rPr>
              <w:t>比上年增长（%）</w:t>
            </w:r>
          </w:p>
        </w:tc>
      </w:tr>
      <w:tr w14:paraId="1AEF75F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21" w:type="dxa"/>
            <w:tcBorders>
              <w:tl2br w:val="nil"/>
              <w:tr2bl w:val="nil"/>
            </w:tcBorders>
            <w:noWrap/>
            <w:vAlign w:val="center"/>
          </w:tcPr>
          <w:p w14:paraId="3BFD5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石灰石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/>
            <w:vAlign w:val="center"/>
          </w:tcPr>
          <w:p w14:paraId="1877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/>
            <w:vAlign w:val="center"/>
          </w:tcPr>
          <w:p w14:paraId="2538F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6690981.97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noWrap/>
            <w:vAlign w:val="center"/>
          </w:tcPr>
          <w:p w14:paraId="308B0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95.48</w:t>
            </w:r>
          </w:p>
        </w:tc>
      </w:tr>
      <w:tr w14:paraId="1C05218D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21" w:type="dxa"/>
            <w:tcBorders>
              <w:tl2br w:val="nil"/>
              <w:tr2bl w:val="nil"/>
            </w:tcBorders>
            <w:noWrap/>
            <w:vAlign w:val="center"/>
          </w:tcPr>
          <w:p w14:paraId="1479F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建筑用天然石料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/>
            <w:vAlign w:val="center"/>
          </w:tcPr>
          <w:p w14:paraId="78DA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/>
            <w:vAlign w:val="center"/>
          </w:tcPr>
          <w:p w14:paraId="08C4D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174326.52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noWrap/>
            <w:vAlign w:val="center"/>
          </w:tcPr>
          <w:p w14:paraId="41BBD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-74.95</w:t>
            </w:r>
          </w:p>
        </w:tc>
      </w:tr>
      <w:tr w14:paraId="5CF5A351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21" w:type="dxa"/>
            <w:tcBorders>
              <w:tl2br w:val="nil"/>
              <w:tr2bl w:val="nil"/>
            </w:tcBorders>
            <w:noWrap/>
            <w:vAlign w:val="center"/>
          </w:tcPr>
          <w:p w14:paraId="378D6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/>
            <w:vAlign w:val="center"/>
          </w:tcPr>
          <w:p w14:paraId="5E0F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/>
            <w:vAlign w:val="center"/>
          </w:tcPr>
          <w:p w14:paraId="1CBDF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40450.38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noWrap/>
            <w:vAlign w:val="center"/>
          </w:tcPr>
          <w:p w14:paraId="24710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-6.99</w:t>
            </w:r>
          </w:p>
        </w:tc>
      </w:tr>
      <w:tr w14:paraId="36FFFCC6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21" w:type="dxa"/>
            <w:tcBorders>
              <w:tl2br w:val="nil"/>
              <w:tr2bl w:val="nil"/>
            </w:tcBorders>
            <w:noWrap/>
            <w:vAlign w:val="center"/>
          </w:tcPr>
          <w:p w14:paraId="5FC92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水泥◇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/>
            <w:vAlign w:val="center"/>
          </w:tcPr>
          <w:p w14:paraId="2D5B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/>
            <w:vAlign w:val="center"/>
          </w:tcPr>
          <w:p w14:paraId="789FD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3520783.04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noWrap/>
            <w:vAlign w:val="center"/>
          </w:tcPr>
          <w:p w14:paraId="78E5E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-11.28</w:t>
            </w:r>
          </w:p>
        </w:tc>
      </w:tr>
      <w:tr w14:paraId="372D90F5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21" w:type="dxa"/>
            <w:tcBorders>
              <w:tl2br w:val="nil"/>
              <w:tr2bl w:val="nil"/>
            </w:tcBorders>
            <w:noWrap/>
            <w:vAlign w:val="center"/>
          </w:tcPr>
          <w:p w14:paraId="5A404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石墨及碳素制品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/>
            <w:vAlign w:val="center"/>
          </w:tcPr>
          <w:p w14:paraId="74A9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/>
            <w:vAlign w:val="center"/>
          </w:tcPr>
          <w:p w14:paraId="7F4DC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162125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noWrap/>
            <w:vAlign w:val="center"/>
          </w:tcPr>
          <w:p w14:paraId="70931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10.07</w:t>
            </w:r>
          </w:p>
        </w:tc>
      </w:tr>
      <w:tr w14:paraId="28D6EA48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21" w:type="dxa"/>
            <w:tcBorders>
              <w:tl2br w:val="nil"/>
              <w:tr2bl w:val="nil"/>
            </w:tcBorders>
            <w:noWrap/>
            <w:vAlign w:val="center"/>
          </w:tcPr>
          <w:p w14:paraId="5CB36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氧化铝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/>
            <w:vAlign w:val="center"/>
          </w:tcPr>
          <w:p w14:paraId="1F4C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/>
            <w:vAlign w:val="center"/>
          </w:tcPr>
          <w:p w14:paraId="4C08A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2252558.12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noWrap/>
            <w:vAlign w:val="center"/>
          </w:tcPr>
          <w:p w14:paraId="45068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19.02</w:t>
            </w:r>
          </w:p>
        </w:tc>
      </w:tr>
      <w:tr w14:paraId="457CCC00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21" w:type="dxa"/>
            <w:tcBorders>
              <w:tl2br w:val="nil"/>
              <w:tr2bl w:val="nil"/>
            </w:tcBorders>
            <w:noWrap/>
            <w:vAlign w:val="center"/>
          </w:tcPr>
          <w:p w14:paraId="6BDE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黄金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/>
            <w:vAlign w:val="center"/>
          </w:tcPr>
          <w:p w14:paraId="581A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千克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/>
            <w:vAlign w:val="center"/>
          </w:tcPr>
          <w:p w14:paraId="175FB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48.61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noWrap/>
            <w:vAlign w:val="center"/>
          </w:tcPr>
          <w:p w14:paraId="59CC2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-23.21</w:t>
            </w:r>
          </w:p>
        </w:tc>
      </w:tr>
      <w:tr w14:paraId="2C8AC985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21" w:type="dxa"/>
            <w:tcBorders>
              <w:tl2br w:val="nil"/>
              <w:tr2bl w:val="nil"/>
            </w:tcBorders>
            <w:noWrap/>
            <w:vAlign w:val="center"/>
          </w:tcPr>
          <w:p w14:paraId="1DDFD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改装汽车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/>
            <w:vAlign w:val="center"/>
          </w:tcPr>
          <w:p w14:paraId="5C26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/>
            <w:vAlign w:val="center"/>
          </w:tcPr>
          <w:p w14:paraId="074DFD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20716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noWrap/>
            <w:vAlign w:val="center"/>
          </w:tcPr>
          <w:p w14:paraId="71DA2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6.76</w:t>
            </w:r>
          </w:p>
        </w:tc>
      </w:tr>
    </w:tbl>
    <w:p w14:paraId="37F6F2C8">
      <w:pPr>
        <w:keepNext w:val="0"/>
        <w:keepLines w:val="0"/>
        <w:pageBreakBefore w:val="0"/>
        <w:widowControl/>
        <w:kinsoku/>
        <w:wordWrap/>
        <w:topLinePunct w:val="0"/>
        <w:autoSpaceDE/>
        <w:bidi w:val="0"/>
        <w:spacing w:beforeAutospacing="0" w:afterAutospacing="0" w:line="600" w:lineRule="exact"/>
        <w:ind w:firstLine="636" w:firstLineChars="200"/>
        <w:jc w:val="left"/>
        <w:rPr>
          <w:rFonts w:hint="eastAsia" w:ascii="仿宋_GB2312" w:eastAsia="仿宋_GB2312" w:cs="仿宋_GB2312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</w:rPr>
        <w:t>全年全区规模以上工业企业营业收入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224.1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</w:rPr>
        <w:t>亿元，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同比上涨18.5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</w:rPr>
        <w:t>%；利润总额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56.2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</w:rPr>
        <w:t>亿元，同比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eastAsia="zh-CN"/>
        </w:rPr>
        <w:t>增长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174.2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</w:rPr>
        <w:t>%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</w:rPr>
        <w:t>税金总额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1.7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</w:rPr>
        <w:t>亿元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</w:rPr>
        <w:t>同比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上涨15.7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</w:rPr>
        <w:t>%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eastAsia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eastAsia="zh-CN"/>
        </w:rPr>
        <w:t>全年三门峡市陕州区先进制造业开发区</w:t>
      </w:r>
      <w:r>
        <w:rPr>
          <w:rFonts w:hint="eastAsia" w:ascii="仿宋_GB2312" w:eastAsia="仿宋_GB2312" w:cs="仿宋_GB2312"/>
          <w:color w:val="auto"/>
          <w:spacing w:val="4"/>
          <w:w w:val="97"/>
          <w:kern w:val="0"/>
          <w:sz w:val="32"/>
          <w:szCs w:val="32"/>
          <w:highlight w:val="none"/>
        </w:rPr>
        <w:t>规模以上工业增加值</w:t>
      </w:r>
      <w:r>
        <w:rPr>
          <w:rFonts w:hint="eastAsia" w:ascii="仿宋_GB2312" w:eastAsia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val="en-US" w:eastAsia="zh-CN"/>
        </w:rPr>
        <w:t>下降2.1</w:t>
      </w:r>
      <w:r>
        <w:rPr>
          <w:rFonts w:hint="eastAsia" w:ascii="仿宋_GB2312" w:eastAsia="仿宋_GB2312" w:cs="仿宋_GB2312"/>
          <w:color w:val="auto"/>
          <w:spacing w:val="4"/>
          <w:w w:val="97"/>
          <w:kern w:val="0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 w14:paraId="3186D2F7">
      <w:pPr>
        <w:pStyle w:val="13"/>
        <w:keepNext w:val="0"/>
        <w:keepLines w:val="0"/>
        <w:pageBreakBefore w:val="0"/>
        <w:kinsoku/>
        <w:wordWrap/>
        <w:topLinePunct w:val="0"/>
        <w:autoSpaceDE/>
        <w:bidi w:val="0"/>
        <w:spacing w:beforeAutospacing="0" w:afterAutospacing="0" w:line="600" w:lineRule="exact"/>
        <w:rPr>
          <w:rFonts w:hint="eastAsia" w:ascii="仿宋_GB2312" w:eastAsia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全年全区建筑业总产值同比增长</w:t>
      </w:r>
      <w:r>
        <w:rPr>
          <w:rFonts w:hint="eastAsia" w:ascii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10.2</w:t>
      </w:r>
      <w:r>
        <w:rPr>
          <w:rFonts w:hint="eastAsia" w:ascii="仿宋_GB2312" w:eastAsia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%。202</w:t>
      </w:r>
      <w:r>
        <w:rPr>
          <w:rFonts w:hint="eastAsia" w:ascii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_GB2312" w:eastAsia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年，资质内建筑企业1</w:t>
      </w:r>
      <w:r>
        <w:rPr>
          <w:rFonts w:hint="eastAsia" w:ascii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仿宋_GB2312" w:eastAsia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家，比上年</w:t>
      </w:r>
      <w:r>
        <w:rPr>
          <w:rFonts w:hint="eastAsia" w:ascii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减少</w:t>
      </w:r>
      <w:r>
        <w:rPr>
          <w:rFonts w:hint="eastAsia" w:ascii="仿宋_GB2312" w:eastAsia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1家。建筑业企业本年新签合同额</w:t>
      </w:r>
      <w:r>
        <w:rPr>
          <w:rFonts w:hint="eastAsia" w:ascii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eastAsia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.6亿元，增长</w:t>
      </w:r>
      <w:r>
        <w:rPr>
          <w:rFonts w:hint="eastAsia" w:ascii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38.2</w:t>
      </w:r>
      <w:r>
        <w:rPr>
          <w:rFonts w:hint="eastAsia" w:ascii="仿宋_GB2312" w:eastAsia="仿宋_GB2312" w:cs="仿宋_GB2312"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%。</w:t>
      </w:r>
    </w:p>
    <w:p w14:paraId="09E42F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四、固定资产投资</w:t>
      </w:r>
    </w:p>
    <w:p w14:paraId="3425DBF0">
      <w:pPr>
        <w:keepNext w:val="0"/>
        <w:keepLines w:val="0"/>
        <w:pageBreakBefore w:val="0"/>
        <w:widowControl/>
        <w:kinsoku/>
        <w:wordWrap/>
        <w:topLinePunct w:val="0"/>
        <w:autoSpaceDE/>
        <w:bidi w:val="0"/>
        <w:spacing w:beforeAutospacing="0" w:afterAutospacing="0" w:line="600" w:lineRule="exact"/>
        <w:ind w:firstLine="640"/>
        <w:jc w:val="both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全年全区固定资产投资（不含农户，下同）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增长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7.3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%，其中民间投资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增长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12.4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%。分三次产业看，第一产业投资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增长-5.5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%，第二产业投资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增长-12.8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%，第三产业投资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增长22.4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%。全年全区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先进制造业开发区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固定资产投资同比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增长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-21.5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%</w:t>
      </w:r>
    </w:p>
    <w:p w14:paraId="5601D1BF">
      <w:pPr>
        <w:keepNext w:val="0"/>
        <w:keepLines w:val="0"/>
        <w:pageBreakBefore w:val="0"/>
        <w:widowControl/>
        <w:kinsoku/>
        <w:wordWrap/>
        <w:topLinePunct w:val="0"/>
        <w:autoSpaceDE/>
        <w:bidi w:val="0"/>
        <w:spacing w:beforeAutospacing="0" w:afterAutospacing="0" w:line="600" w:lineRule="exact"/>
        <w:ind w:firstLine="640"/>
        <w:jc w:val="both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yellow"/>
          <w:u w:val="single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全年全区房地产开发投资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增长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-52.6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%，其中住宅投资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增长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-49.8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%。房屋施工面积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50.24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万平方米，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增长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-49.2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%。其中，住宅施工面积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36.72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万平方米，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同比增长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-50.6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%。商品房销售面积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8.99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万平方米，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增长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20.3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%；商品房销售额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4.09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亿元，</w:t>
      </w:r>
      <w:r>
        <w:rPr>
          <w:rFonts w:hint="eastAsia" w:ascii="仿宋_GB2312" w:eastAsia="仿宋_GB2312" w:cs="宋体"/>
          <w:color w:val="auto"/>
          <w:spacing w:val="4"/>
          <w:w w:val="97"/>
          <w:kern w:val="0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增长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12.7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%。</w:t>
      </w:r>
    </w:p>
    <w:p w14:paraId="399FB5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五、市场贸易和对外经济</w:t>
      </w:r>
    </w:p>
    <w:p w14:paraId="60FBCF76">
      <w:pPr>
        <w:keepNext w:val="0"/>
        <w:keepLines w:val="0"/>
        <w:pageBreakBefore w:val="0"/>
        <w:widowControl/>
        <w:kinsoku/>
        <w:wordWrap/>
        <w:topLinePunct w:val="0"/>
        <w:autoSpaceDE/>
        <w:bidi w:val="0"/>
        <w:spacing w:beforeAutospacing="0" w:afterAutospacing="0" w:line="600" w:lineRule="exact"/>
        <w:ind w:firstLine="640"/>
        <w:jc w:val="both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全年全区社会消费品零售总额65.22亿元，同比增长6.4%。分销售地区看，城镇消费品零售额54.02亿元，同比增长7.5%；乡村消费品零售额11.20亿元，同比增长1.1%。分行业看，零售业零售额37.55亿元，同比增长12.5%；住宿业零售额2.84亿元，同比增长0.4%；餐饮业零售额24.83亿元，同比下降1.1%。</w:t>
      </w:r>
    </w:p>
    <w:p w14:paraId="76E6D087">
      <w:pPr>
        <w:keepNext w:val="0"/>
        <w:keepLines w:val="0"/>
        <w:pageBreakBefore w:val="0"/>
        <w:widowControl/>
        <w:kinsoku/>
        <w:wordWrap/>
        <w:topLinePunct w:val="0"/>
        <w:autoSpaceDE/>
        <w:bidi w:val="0"/>
        <w:spacing w:beforeAutospacing="0" w:afterAutospacing="0" w:line="600" w:lineRule="exact"/>
        <w:ind w:firstLine="640"/>
        <w:jc w:val="both"/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全年全区批发和零售业、住宿和餐饮业共实现销售额（营业额）114.28亿元，同比增长0.9%。其中，批发业销售额累计完成78.47亿元，同比下降1.9%；零售业销售额累计完成31.35亿元，同比增长8.4%，住宿业营业额完成0.92亿元，同比增长1.9%；餐饮业营业额完成3.54亿元，同比增长2.3%。</w:t>
      </w:r>
    </w:p>
    <w:p w14:paraId="1135F4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六、运输、邮电和旅游</w:t>
      </w:r>
    </w:p>
    <w:p w14:paraId="237418EA">
      <w:pPr>
        <w:keepNext w:val="0"/>
        <w:keepLines w:val="0"/>
        <w:pageBreakBefore w:val="0"/>
        <w:widowControl/>
        <w:kinsoku/>
        <w:wordWrap/>
        <w:topLinePunct w:val="0"/>
        <w:autoSpaceDE/>
        <w:bidi w:val="0"/>
        <w:spacing w:beforeAutospacing="0" w:afterAutospacing="0"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全年全区交通运输、仓储和邮政业完成增加值14.42亿元</w:t>
      </w:r>
      <w:r>
        <w:rPr>
          <w:rFonts w:hint="eastAsi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同比增长8.8%。</w:t>
      </w:r>
    </w:p>
    <w:p w14:paraId="3F47768F">
      <w:pPr>
        <w:keepNext w:val="0"/>
        <w:keepLines w:val="0"/>
        <w:pageBreakBefore w:val="0"/>
        <w:widowControl/>
        <w:kinsoku/>
        <w:wordWrap/>
        <w:topLinePunct w:val="0"/>
        <w:autoSpaceDE/>
        <w:bidi w:val="0"/>
        <w:spacing w:beforeAutospacing="0" w:afterAutospacing="0"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邮电业务快速增长。全年完成邮电业务总量36738万元，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比上年增长8.22%。其中，邮政业务总量10069万元，比上年增长26.6%；电信业务总量26669万元，比上年增长14.1%。年末全区拥有世界文化遗产1处，全国重点文物保护单位3处，省级文物保护单位10处，市级文物保护单位10处、区级文物保护单位107处；列入国家、省、市、区四级的非物质文化遗产项目共有146项。其中国家级非物质文化遗产项目2项，省级非物质文化遗产项目12项，市级非物质文化遗产项目31项，区级非物质文化遗产项目101项；现有国家、省、市、区非物质文化遗产项目代表性传承人336名。其中国家级1人，省级传承人13名，市级93名，县级239名。</w:t>
      </w:r>
    </w:p>
    <w:p w14:paraId="7F2EFF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七、财政和金融</w:t>
      </w:r>
    </w:p>
    <w:p w14:paraId="0549019B">
      <w:pPr>
        <w:pStyle w:val="13"/>
        <w:keepNext w:val="0"/>
        <w:keepLines w:val="0"/>
        <w:pageBreakBefore w:val="0"/>
        <w:kinsoku/>
        <w:wordWrap/>
        <w:topLinePunct w:val="0"/>
        <w:autoSpaceDE/>
        <w:bidi w:val="0"/>
        <w:spacing w:beforeAutospacing="0" w:afterAutospacing="0" w:line="600" w:lineRule="exact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全年陕州区财政一般公共预算收入完成</w:t>
      </w:r>
      <w:r>
        <w:rPr>
          <w:rFonts w:hint="eastAsia" w:ascii="Times New Roman" w:hAnsi="Times New Roman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18.55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亿元，同比</w:t>
      </w:r>
      <w:r>
        <w:rPr>
          <w:rFonts w:hint="eastAsia" w:ascii="Times New Roman" w:hAnsi="Times New Roman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下降9.9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%。全区财政一般公共预算支出</w:t>
      </w:r>
      <w:r>
        <w:rPr>
          <w:rFonts w:hint="eastAsia" w:ascii="Times New Roman" w:hAnsi="Times New Roman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29.46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亿元，同比增长</w:t>
      </w:r>
      <w:r>
        <w:rPr>
          <w:rFonts w:hint="eastAsia" w:ascii="Times New Roman" w:hAnsi="Times New Roman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4.2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%。</w:t>
      </w:r>
    </w:p>
    <w:p w14:paraId="65E6F8D4">
      <w:pPr>
        <w:pStyle w:val="13"/>
        <w:keepNext w:val="0"/>
        <w:keepLines w:val="0"/>
        <w:pageBreakBefore w:val="0"/>
        <w:kinsoku/>
        <w:wordWrap/>
        <w:topLinePunct w:val="0"/>
        <w:autoSpaceDE/>
        <w:bidi w:val="0"/>
        <w:spacing w:beforeAutospacing="0" w:afterAutospacing="0" w:line="600" w:lineRule="exact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年末，陕州区金融机构各项存款余额</w:t>
      </w:r>
      <w:r>
        <w:rPr>
          <w:rFonts w:hint="eastAsia" w:ascii="Times New Roman" w:hAnsi="Times New Roman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237.36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亿元，比年初净增</w:t>
      </w:r>
      <w:r>
        <w:rPr>
          <w:rFonts w:hint="eastAsia" w:ascii="Times New Roman" w:hAnsi="Times New Roman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10.71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亿元，同比增长</w:t>
      </w:r>
      <w:r>
        <w:rPr>
          <w:rFonts w:hint="eastAsia" w:ascii="Times New Roman" w:hAnsi="Times New Roman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4.73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%。金融机构各项贷款余额</w:t>
      </w:r>
      <w:r>
        <w:rPr>
          <w:rFonts w:hint="eastAsia" w:ascii="Times New Roman" w:hAnsi="Times New Roman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180.41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亿元，比年初净增</w:t>
      </w:r>
      <w:r>
        <w:rPr>
          <w:rFonts w:hint="eastAsia" w:ascii="Times New Roman" w:hAnsi="Times New Roman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21.49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亿元，同比增长</w:t>
      </w:r>
      <w:r>
        <w:rPr>
          <w:rFonts w:hint="eastAsia" w:ascii="Times New Roman" w:hAnsi="Times New Roman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13.52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%。</w:t>
      </w:r>
    </w:p>
    <w:p w14:paraId="3A4B2E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八、教育和卫生</w:t>
      </w:r>
    </w:p>
    <w:p w14:paraId="570F306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全区现有中小学校42所，其中：完全中学3所、中专1所、初中9所、九年一贯制学校7所、十二年一贯制学校1所、特殊教育学校1所、小学20所，另有教学点15个。开学统计全区在校学生总计28152人，其中：普通高中5212人、初中7862人、小学13325人、特校145人、中专1608人。义务教育阶段合计21332人（中小学特校）。</w:t>
      </w:r>
    </w:p>
    <w:p w14:paraId="07E9E0D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年末全区共有卫生机构357个。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其中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所区级公立医院（区人民医院和区第一人民医院）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个公共卫生机构〔疾病预防控制中心（卫生监督所）〕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所妇幼保健院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17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所乡镇（街道）卫生院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256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个村卫生室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80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个个体诊所。卫生机构床位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1209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张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执业（助理）医师共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858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人，注册护士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848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卫生专业技术人员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605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其中：陕州区第一人民医院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115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人、陕州区人民医院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138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人、疾病预防控制中心（卫生监督所）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人、妇幼保健院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人等。</w:t>
      </w:r>
    </w:p>
    <w:p w14:paraId="7DAD10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auto"/>
          <w:spacing w:val="4"/>
          <w:w w:val="97"/>
          <w:kern w:val="0"/>
          <w:sz w:val="32"/>
          <w:szCs w:val="32"/>
          <w:highlight w:val="none"/>
          <w:lang w:val="en-US" w:eastAsia="zh-CN" w:bidi="ar-SA"/>
        </w:rPr>
        <w:t>九、人民生活、社会民生事业</w:t>
      </w:r>
    </w:p>
    <w:p w14:paraId="1EAA8B69">
      <w:pPr>
        <w:keepNext w:val="0"/>
        <w:keepLines w:val="0"/>
        <w:pageBreakBefore w:val="0"/>
        <w:widowControl/>
        <w:kinsoku/>
        <w:wordWrap/>
        <w:topLinePunct w:val="0"/>
        <w:autoSpaceDE/>
        <w:bidi w:val="0"/>
        <w:spacing w:beforeAutospacing="0" w:afterAutospacing="0" w:line="600" w:lineRule="exact"/>
        <w:ind w:firstLine="640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城乡居民收入继续增加。全年全区居民人均可支配收入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27444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元，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比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上年增长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5.4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%。按常住地分，城镇居民人均可支配收入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36848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元，同比增长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3.4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%。农村居民人均可支配收入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20198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元，同比增长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7.8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%。</w:t>
      </w:r>
    </w:p>
    <w:p w14:paraId="4B632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2024年陕州区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持续深化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四下基层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，认真做好省、市、区重点民生实事工程。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完善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1+13+N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零工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市场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服务体系，新增城镇就业5200人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、农村劳动力转移就业2000人以上。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拓展区、乡、村（社区）三级养老服务体系，新建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（社区）老年助餐场所16个，推动3家养老机构转型为康养医养机构。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highlight w:val="none"/>
          <w:lang w:val="en-US" w:eastAsia="zh-CN"/>
        </w:rPr>
        <w:t>实施第五小学、西张村镇初级中学等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highlight w:val="none"/>
          <w:lang w:val="en-US" w:eastAsia="zh-CN"/>
        </w:rPr>
        <w:t>基础设施提升改造，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新增公办学位300个。持续实施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文化惠民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工程，全年开展送戏下乡、非遗展演等系列文化活动200场次以上。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坚持和发展新时代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枫桥经验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，持续推进基层治理体系和治理能力现代化，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积极预防化解各类矛盾纠纷，严防极端事件发生。健全完善社会治安防控体系，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常态化推进扫黑除恶，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依法严惩各类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highlight w:val="none"/>
          <w:lang w:val="en-US" w:eastAsia="zh-CN"/>
        </w:rPr>
        <w:t>违法犯罪活动，全力维护社会大局和谐稳定。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F597F"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B0694"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FB0694">
                    <w:pPr>
                      <w:pStyle w:val="6"/>
                      <w:rPr>
                        <w:rStyle w:val="11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1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1"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78E12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78AD72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6050E"/>
    <w:rsid w:val="05E72FE2"/>
    <w:rsid w:val="073F14CA"/>
    <w:rsid w:val="0A6D57DB"/>
    <w:rsid w:val="0C557699"/>
    <w:rsid w:val="0DFF3D23"/>
    <w:rsid w:val="128959F9"/>
    <w:rsid w:val="15677572"/>
    <w:rsid w:val="15997F47"/>
    <w:rsid w:val="1E7A22F1"/>
    <w:rsid w:val="21AF0D0A"/>
    <w:rsid w:val="24EF17A6"/>
    <w:rsid w:val="27E0716B"/>
    <w:rsid w:val="2CEB4BC0"/>
    <w:rsid w:val="2D93157F"/>
    <w:rsid w:val="312928DF"/>
    <w:rsid w:val="329305F2"/>
    <w:rsid w:val="35D62DFE"/>
    <w:rsid w:val="374B5AF8"/>
    <w:rsid w:val="3C277E24"/>
    <w:rsid w:val="3DAB17BA"/>
    <w:rsid w:val="41D86799"/>
    <w:rsid w:val="49E41B54"/>
    <w:rsid w:val="4E4D50F7"/>
    <w:rsid w:val="4EB757CD"/>
    <w:rsid w:val="5697709C"/>
    <w:rsid w:val="5A38216E"/>
    <w:rsid w:val="5C841F73"/>
    <w:rsid w:val="5F276DA9"/>
    <w:rsid w:val="610C028A"/>
    <w:rsid w:val="62F77414"/>
    <w:rsid w:val="63165200"/>
    <w:rsid w:val="6589065C"/>
    <w:rsid w:val="66680A54"/>
    <w:rsid w:val="68D75A1D"/>
    <w:rsid w:val="70340726"/>
    <w:rsid w:val="73317DD8"/>
    <w:rsid w:val="747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0" w:afterAutospacing="0" w:line="560" w:lineRule="exact"/>
      <w:ind w:firstLine="880" w:firstLineChars="200"/>
      <w:jc w:val="left"/>
      <w:outlineLvl w:val="1"/>
    </w:pPr>
    <w:rPr>
      <w:rFonts w:hint="eastAsia" w:ascii="宋体" w:hAnsi="宋体" w:eastAsia="黑体" w:cs="宋体"/>
      <w:bCs/>
      <w:kern w:val="0"/>
      <w:szCs w:val="36"/>
      <w:lang w:bidi="ar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spacing w:beforeAutospacing="0" w:afterAutospacing="0" w:line="560" w:lineRule="exact"/>
      <w:ind w:firstLine="880" w:firstLineChars="200"/>
      <w:jc w:val="left"/>
      <w:outlineLvl w:val="2"/>
    </w:pPr>
    <w:rPr>
      <w:rFonts w:hint="eastAsia" w:ascii="宋体" w:hAnsi="宋体" w:eastAsia="楷体_GB2312" w:cs="宋体"/>
      <w:b/>
      <w:bCs/>
      <w:kern w:val="0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3"/>
    </w:pPr>
    <w:rPr>
      <w:b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宋体" w:hAnsi="宋体" w:eastAsia="宋体"/>
      <w:sz w:val="28"/>
      <w:szCs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 3 Char"/>
    <w:link w:val="4"/>
    <w:qFormat/>
    <w:uiPriority w:val="0"/>
    <w:rPr>
      <w:rFonts w:hint="eastAsia" w:ascii="宋体" w:hAnsi="宋体" w:eastAsia="楷体_GB2312" w:cs="宋体"/>
      <w:b/>
      <w:bCs/>
      <w:kern w:val="0"/>
      <w:sz w:val="32"/>
      <w:szCs w:val="27"/>
      <w:lang w:val="en-US" w:eastAsia="zh-CN" w:bidi="ar"/>
    </w:rPr>
  </w:style>
  <w:style w:type="paragraph" w:customStyle="1" w:styleId="13">
    <w:name w:val="_Style 1"/>
    <w:basedOn w:val="1"/>
    <w:qFormat/>
    <w:uiPriority w:val="99"/>
    <w:pPr>
      <w:spacing w:line="481" w:lineRule="atLeast"/>
      <w:ind w:firstLine="623"/>
      <w:textAlignment w:val="baseline"/>
    </w:pPr>
    <w:rPr>
      <w:rFonts w:eastAsia="仿宋_GB2312"/>
      <w:color w:val="000000"/>
      <w:sz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2733</Words>
  <Characters>3596</Characters>
  <Lines>0</Lines>
  <Paragraphs>0</Paragraphs>
  <TotalTime>9</TotalTime>
  <ScaleCrop>false</ScaleCrop>
  <LinksUpToDate>false</LinksUpToDate>
  <CharactersWithSpaces>3600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2025-05-14T01:57:00Z</dcterms:created>
  <dc:creator>32712</dc:creator>
  <cp:lastModifiedBy>为谁流下潇湘去</cp:lastModifiedBy>
  <cp:lastPrinted>2025-07-02T03:19:00Z</cp:lastPrinted>
  <dcterms:modified xsi:type="dcterms:W3CDTF">2025-08-28T02:32:26Z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9DFB3F0CDA67418D8680AD1F6AE1DDAB_13</vt:lpwstr>
  </property>
  <property fmtid="{D5CDD505-2E9C-101B-9397-08002B2CF9AE}" pid="4" name="KSOTemplateDocerSaveRecord">
    <vt:lpwstr>eyJoZGlkIjoiZmYzNjc0ZTYxZTg1ZDEzMWVhN2JiOTVlNzg0MGZlMzUiLCJ1c2VySWQiOiI0NjU0NzMwNDEifQ==</vt:lpwstr>
  </property>
</Properties>
</file>