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94659D">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大标宋_GBK" w:cs="Times New Roman"/>
          <w:b w:val="0"/>
          <w:bCs w:val="0"/>
          <w:i w:val="0"/>
          <w:iCs w:val="0"/>
          <w:caps w:val="0"/>
          <w:color w:val="000000"/>
          <w:spacing w:val="0"/>
          <w:sz w:val="44"/>
          <w:szCs w:val="44"/>
        </w:rPr>
      </w:pPr>
      <w:r>
        <w:rPr>
          <w:rFonts w:hint="default" w:ascii="Times New Roman" w:hAnsi="Times New Roman" w:eastAsia="方正大标宋_GBK" w:cs="Times New Roman"/>
          <w:b w:val="0"/>
          <w:bCs w:val="0"/>
          <w:i w:val="0"/>
          <w:iCs w:val="0"/>
          <w:caps w:val="0"/>
          <w:color w:val="000000"/>
          <w:spacing w:val="0"/>
          <w:sz w:val="44"/>
          <w:szCs w:val="44"/>
        </w:rPr>
        <w:t>三门峡市</w:t>
      </w:r>
      <w:r>
        <w:rPr>
          <w:rFonts w:hint="default" w:ascii="Times New Roman" w:hAnsi="Times New Roman" w:eastAsia="方正大标宋_GBK" w:cs="Times New Roman"/>
          <w:b w:val="0"/>
          <w:bCs w:val="0"/>
          <w:i w:val="0"/>
          <w:iCs w:val="0"/>
          <w:caps w:val="0"/>
          <w:color w:val="000000"/>
          <w:spacing w:val="0"/>
          <w:sz w:val="44"/>
          <w:szCs w:val="44"/>
          <w:lang w:val="en-US" w:eastAsia="zh-CN"/>
        </w:rPr>
        <w:t>陕州区</w:t>
      </w:r>
      <w:r>
        <w:rPr>
          <w:rFonts w:hint="default" w:ascii="Times New Roman" w:hAnsi="Times New Roman" w:eastAsia="方正大标宋_GBK" w:cs="Times New Roman"/>
          <w:b w:val="0"/>
          <w:bCs w:val="0"/>
          <w:i w:val="0"/>
          <w:iCs w:val="0"/>
          <w:caps w:val="0"/>
          <w:color w:val="000000"/>
          <w:spacing w:val="0"/>
          <w:sz w:val="44"/>
          <w:szCs w:val="44"/>
        </w:rPr>
        <w:t>第五次全国经济普查公报</w:t>
      </w:r>
    </w:p>
    <w:p w14:paraId="79870467">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大标宋_GBK" w:cs="Times New Roman"/>
          <w:bCs/>
          <w:color w:val="000000"/>
          <w:spacing w:val="0"/>
          <w:kern w:val="0"/>
          <w:sz w:val="44"/>
          <w:szCs w:val="44"/>
          <w:shd w:val="clear" w:color="auto" w:fill="FFFFFF"/>
          <w:lang w:val="en-US" w:eastAsia="zh-CN" w:bidi="ar"/>
        </w:rPr>
      </w:pPr>
      <w:r>
        <w:rPr>
          <w:rFonts w:hint="default" w:ascii="Times New Roman" w:hAnsi="Times New Roman" w:eastAsia="方正大标宋_GBK" w:cs="Times New Roman"/>
          <w:bCs/>
          <w:color w:val="000000"/>
          <w:spacing w:val="0"/>
          <w:kern w:val="0"/>
          <w:sz w:val="44"/>
          <w:szCs w:val="44"/>
          <w:shd w:val="clear" w:color="auto" w:fill="FFFFFF"/>
          <w:lang w:val="en-US" w:eastAsia="zh-CN" w:bidi="ar"/>
        </w:rPr>
        <w:t>（第五号）</w:t>
      </w:r>
      <w:r>
        <w:rPr>
          <w:rFonts w:hint="eastAsia" w:ascii="微软雅黑" w:hAnsi="微软雅黑" w:eastAsia="微软雅黑" w:cs="微软雅黑"/>
          <w:b w:val="0"/>
          <w:bCs/>
          <w:color w:val="auto"/>
          <w:spacing w:val="0"/>
          <w:kern w:val="0"/>
          <w:sz w:val="44"/>
          <w:szCs w:val="44"/>
          <w:shd w:val="clear" w:color="auto" w:fill="FFFFFF"/>
          <w:lang w:val="en-US" w:eastAsia="zh-CN" w:bidi="ar"/>
        </w:rPr>
        <w:t>——</w:t>
      </w:r>
      <w:r>
        <w:rPr>
          <w:rFonts w:hint="default" w:ascii="Times New Roman" w:hAnsi="Times New Roman" w:eastAsia="方正大标宋_GBK" w:cs="Times New Roman"/>
          <w:bCs/>
          <w:color w:val="000000"/>
          <w:spacing w:val="0"/>
          <w:kern w:val="0"/>
          <w:sz w:val="44"/>
          <w:szCs w:val="44"/>
          <w:shd w:val="clear" w:color="auto" w:fill="FFFFFF"/>
          <w:lang w:val="en-US" w:eastAsia="zh-CN" w:bidi="ar"/>
        </w:rPr>
        <w:t>第三产业基本情况之二</w:t>
      </w:r>
    </w:p>
    <w:p w14:paraId="3D189C8A">
      <w:pPr>
        <w:keepNext w:val="0"/>
        <w:keepLines w:val="0"/>
        <w:pageBreakBefore w:val="0"/>
        <w:widowControl w:val="0"/>
        <w:kinsoku/>
        <w:wordWrap/>
        <w:overflowPunct/>
        <w:topLinePunct w:val="0"/>
        <w:autoSpaceDE/>
        <w:autoSpaceDN/>
        <w:bidi w:val="0"/>
        <w:adjustRightInd w:val="0"/>
        <w:snapToGrid w:val="0"/>
        <w:spacing w:afterAutospacing="0" w:line="500" w:lineRule="exact"/>
        <w:ind w:left="0" w:leftChars="0" w:firstLine="0" w:firstLineChars="0"/>
        <w:jc w:val="center"/>
        <w:textAlignment w:val="auto"/>
        <w:rPr>
          <w:rFonts w:hint="default" w:ascii="Times New Roman" w:hAnsi="Times New Roman" w:eastAsia="方正楷体_GBK" w:cs="Times New Roman"/>
          <w:color w:val="000000"/>
          <w:spacing w:val="0"/>
          <w:kern w:val="2"/>
          <w:sz w:val="32"/>
          <w:szCs w:val="32"/>
          <w:lang w:val="en-US" w:eastAsia="zh-CN" w:bidi="ar-SA"/>
        </w:rPr>
      </w:pPr>
    </w:p>
    <w:p w14:paraId="2755365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三门峡市</w:t>
      </w:r>
      <w:r>
        <w:rPr>
          <w:rFonts w:hint="default" w:ascii="Times New Roman" w:hAnsi="Times New Roman" w:eastAsia="仿宋_GB2312" w:cs="Times New Roman"/>
          <w:i w:val="0"/>
          <w:iCs w:val="0"/>
          <w:caps w:val="0"/>
          <w:color w:val="000000"/>
          <w:spacing w:val="0"/>
          <w:sz w:val="32"/>
          <w:szCs w:val="32"/>
          <w:lang w:val="en-US" w:eastAsia="zh-CN"/>
        </w:rPr>
        <w:t>陕州区</w:t>
      </w:r>
      <w:r>
        <w:rPr>
          <w:rFonts w:hint="default" w:ascii="Times New Roman" w:hAnsi="Times New Roman" w:eastAsia="仿宋_GB2312" w:cs="Times New Roman"/>
          <w:i w:val="0"/>
          <w:iCs w:val="0"/>
          <w:caps w:val="0"/>
          <w:color w:val="000000"/>
          <w:spacing w:val="0"/>
          <w:sz w:val="32"/>
          <w:szCs w:val="32"/>
        </w:rPr>
        <w:t>统计局</w:t>
      </w:r>
    </w:p>
    <w:p w14:paraId="669C6F4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三门峡市</w:t>
      </w:r>
      <w:r>
        <w:rPr>
          <w:rFonts w:hint="default" w:ascii="Times New Roman" w:hAnsi="Times New Roman" w:eastAsia="仿宋_GB2312" w:cs="Times New Roman"/>
          <w:i w:val="0"/>
          <w:iCs w:val="0"/>
          <w:caps w:val="0"/>
          <w:color w:val="000000"/>
          <w:spacing w:val="0"/>
          <w:sz w:val="32"/>
          <w:szCs w:val="32"/>
          <w:lang w:val="en-US" w:eastAsia="zh-CN"/>
        </w:rPr>
        <w:t>陕州区</w:t>
      </w:r>
      <w:r>
        <w:rPr>
          <w:rFonts w:hint="default" w:ascii="Times New Roman" w:hAnsi="Times New Roman" w:eastAsia="仿宋_GB2312" w:cs="Times New Roman"/>
          <w:i w:val="0"/>
          <w:iCs w:val="0"/>
          <w:caps w:val="0"/>
          <w:color w:val="000000"/>
          <w:spacing w:val="0"/>
          <w:sz w:val="32"/>
          <w:szCs w:val="32"/>
        </w:rPr>
        <w:t>第五次全国经济普查领导小组办公室</w:t>
      </w:r>
    </w:p>
    <w:p w14:paraId="5A8DEEF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（2025年</w:t>
      </w:r>
      <w:r>
        <w:rPr>
          <w:rFonts w:hint="default" w:ascii="Times New Roman" w:hAnsi="Times New Roman" w:eastAsia="仿宋_GB2312" w:cs="Times New Roman"/>
          <w:i w:val="0"/>
          <w:iCs w:val="0"/>
          <w:caps w:val="0"/>
          <w:color w:val="000000"/>
          <w:spacing w:val="0"/>
          <w:sz w:val="32"/>
          <w:szCs w:val="32"/>
          <w:lang w:val="en-US" w:eastAsia="zh-CN"/>
        </w:rPr>
        <w:t>7</w:t>
      </w:r>
      <w:r>
        <w:rPr>
          <w:rFonts w:hint="default" w:ascii="Times New Roman" w:hAnsi="Times New Roman" w:eastAsia="仿宋_GB2312" w:cs="Times New Roman"/>
          <w:i w:val="0"/>
          <w:iCs w:val="0"/>
          <w:caps w:val="0"/>
          <w:color w:val="000000"/>
          <w:spacing w:val="0"/>
          <w:sz w:val="32"/>
          <w:szCs w:val="32"/>
        </w:rPr>
        <w:t>月</w:t>
      </w:r>
      <w:r>
        <w:rPr>
          <w:rFonts w:hint="eastAsia" w:ascii="Times New Roman" w:hAnsi="Times New Roman" w:eastAsia="仿宋_GB2312" w:cs="Times New Roman"/>
          <w:i w:val="0"/>
          <w:iCs w:val="0"/>
          <w:caps w:val="0"/>
          <w:color w:val="000000"/>
          <w:spacing w:val="0"/>
          <w:sz w:val="32"/>
          <w:szCs w:val="32"/>
          <w:lang w:val="en-US" w:eastAsia="zh-CN"/>
        </w:rPr>
        <w:t>24</w:t>
      </w:r>
      <w:r>
        <w:rPr>
          <w:rFonts w:hint="default" w:ascii="Times New Roman" w:hAnsi="Times New Roman" w:eastAsia="仿宋_GB2312" w:cs="Times New Roman"/>
          <w:i w:val="0"/>
          <w:iCs w:val="0"/>
          <w:caps w:val="0"/>
          <w:color w:val="000000"/>
          <w:spacing w:val="0"/>
          <w:sz w:val="32"/>
          <w:szCs w:val="32"/>
        </w:rPr>
        <w:t>日）</w:t>
      </w:r>
    </w:p>
    <w:p w14:paraId="1702FC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0" w:firstLineChars="0"/>
        <w:jc w:val="both"/>
        <w:textAlignment w:val="auto"/>
        <w:rPr>
          <w:rFonts w:hint="default" w:ascii="Times New Roman" w:hAnsi="Times New Roman" w:cs="Times New Roman"/>
          <w:color w:val="000000"/>
          <w:spacing w:val="0"/>
          <w:kern w:val="2"/>
          <w:sz w:val="36"/>
          <w:szCs w:val="36"/>
          <w:u w:val="none"/>
          <w:lang w:val="en-US" w:eastAsia="zh-CN" w:bidi="ar-SA"/>
        </w:rPr>
      </w:pPr>
    </w:p>
    <w:p w14:paraId="7E38D9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spacing w:val="0"/>
          <w:kern w:val="2"/>
          <w:sz w:val="32"/>
          <w:szCs w:val="32"/>
          <w:u w:val="none"/>
          <w:lang w:val="en-US" w:eastAsia="zh-CN" w:bidi="ar-SA"/>
        </w:rPr>
      </w:pPr>
      <w:r>
        <w:rPr>
          <w:rFonts w:hint="default" w:ascii="Times New Roman" w:hAnsi="Times New Roman" w:eastAsia="仿宋_GB2312" w:cs="Times New Roman"/>
          <w:color w:val="auto"/>
          <w:spacing w:val="0"/>
          <w:kern w:val="0"/>
          <w:sz w:val="32"/>
          <w:szCs w:val="32"/>
          <w:lang w:val="en-US" w:eastAsia="zh-CN" w:bidi="ar"/>
        </w:rPr>
        <w:t>根据</w:t>
      </w:r>
      <w:r>
        <w:rPr>
          <w:rFonts w:hint="default" w:ascii="Times New Roman" w:hAnsi="Times New Roman" w:eastAsia="仿宋_GB2312" w:cs="Times New Roman"/>
          <w:i w:val="0"/>
          <w:iCs w:val="0"/>
          <w:caps w:val="0"/>
          <w:color w:val="000000"/>
          <w:spacing w:val="0"/>
          <w:sz w:val="32"/>
          <w:szCs w:val="32"/>
        </w:rPr>
        <w:t>三门峡市</w:t>
      </w:r>
      <w:r>
        <w:rPr>
          <w:rFonts w:hint="default" w:ascii="Times New Roman" w:hAnsi="Times New Roman" w:eastAsia="仿宋_GB2312" w:cs="Times New Roman"/>
          <w:i w:val="0"/>
          <w:iCs w:val="0"/>
          <w:caps w:val="0"/>
          <w:color w:val="000000"/>
          <w:spacing w:val="0"/>
          <w:sz w:val="32"/>
          <w:szCs w:val="32"/>
          <w:lang w:val="en-US" w:eastAsia="zh-CN"/>
        </w:rPr>
        <w:t>陕州区</w:t>
      </w:r>
      <w:r>
        <w:rPr>
          <w:rFonts w:hint="default" w:ascii="Times New Roman" w:hAnsi="Times New Roman" w:eastAsia="仿宋_GB2312" w:cs="Times New Roman"/>
          <w:i w:val="0"/>
          <w:iCs w:val="0"/>
          <w:caps w:val="0"/>
          <w:color w:val="000000"/>
          <w:spacing w:val="0"/>
          <w:sz w:val="32"/>
          <w:szCs w:val="32"/>
        </w:rPr>
        <w:t>第五次全国经济普查结果，</w:t>
      </w:r>
      <w:r>
        <w:rPr>
          <w:rFonts w:hint="default" w:ascii="Times New Roman" w:hAnsi="Times New Roman" w:eastAsia="仿宋_GB2312" w:cs="Times New Roman"/>
          <w:color w:val="000000"/>
          <w:spacing w:val="0"/>
          <w:kern w:val="2"/>
          <w:sz w:val="32"/>
          <w:szCs w:val="32"/>
          <w:u w:val="none"/>
          <w:lang w:val="en-US" w:eastAsia="zh-CN" w:bidi="ar-SA"/>
        </w:rPr>
        <w:t>现将我区第三产业中科学研究和技术服务业，水利、环境和公共设施管理业，居民服务、修理和其他服务业，教育，卫生和社会工作，文化、体育和娱乐业，公共管理、社会保障和社会组织的主要数据公布如下：</w:t>
      </w:r>
    </w:p>
    <w:p w14:paraId="112B66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1"/>
        <w:rPr>
          <w:rFonts w:hint="default" w:ascii="Times New Roman" w:hAnsi="Times New Roman" w:eastAsia="黑体" w:cs="Times New Roman"/>
          <w:color w:val="000000"/>
          <w:spacing w:val="0"/>
          <w:kern w:val="2"/>
          <w:sz w:val="32"/>
          <w:szCs w:val="32"/>
          <w:u w:val="none"/>
          <w:lang w:val="en-US" w:eastAsia="zh-CN" w:bidi="ar-SA"/>
        </w:rPr>
      </w:pPr>
      <w:r>
        <w:rPr>
          <w:rFonts w:hint="default" w:ascii="Times New Roman" w:hAnsi="Times New Roman" w:eastAsia="黑体" w:cs="Times New Roman"/>
          <w:color w:val="000000"/>
          <w:spacing w:val="0"/>
          <w:kern w:val="2"/>
          <w:sz w:val="32"/>
          <w:szCs w:val="32"/>
          <w:u w:val="none"/>
          <w:lang w:val="en-US" w:eastAsia="zh-CN" w:bidi="ar-SA"/>
        </w:rPr>
        <w:t>一、科学研究和技术服务业</w:t>
      </w:r>
    </w:p>
    <w:p w14:paraId="5E79581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outlineLvl w:val="2"/>
        <w:rPr>
          <w:rFonts w:hint="default" w:ascii="Times New Roman" w:hAnsi="Times New Roman" w:eastAsia="楷体" w:cs="Times New Roman"/>
          <w:b/>
          <w:bCs/>
          <w:color w:val="000000"/>
          <w:spacing w:val="0"/>
          <w:kern w:val="2"/>
          <w:sz w:val="32"/>
          <w:szCs w:val="32"/>
          <w:u w:val="none"/>
          <w:lang w:val="en-US" w:eastAsia="zh-CN" w:bidi="ar-SA"/>
        </w:rPr>
      </w:pPr>
      <w:r>
        <w:rPr>
          <w:rFonts w:hint="default" w:ascii="Times New Roman" w:hAnsi="Times New Roman" w:eastAsia="楷体" w:cs="Times New Roman"/>
          <w:b/>
          <w:bCs/>
          <w:color w:val="000000"/>
          <w:spacing w:val="0"/>
          <w:kern w:val="2"/>
          <w:sz w:val="32"/>
          <w:szCs w:val="32"/>
          <w:u w:val="none"/>
          <w:lang w:val="en-US" w:eastAsia="zh-CN" w:bidi="ar-SA"/>
        </w:rPr>
        <w:t>（一）法人单位数和从业人员</w:t>
      </w:r>
    </w:p>
    <w:p w14:paraId="0B8142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spacing w:val="0"/>
          <w:kern w:val="2"/>
          <w:sz w:val="32"/>
          <w:szCs w:val="32"/>
          <w:u w:val="none"/>
          <w:lang w:val="en-US" w:eastAsia="zh-CN" w:bidi="ar-SA"/>
        </w:rPr>
      </w:pPr>
      <w:r>
        <w:rPr>
          <w:rFonts w:hint="default" w:ascii="Times New Roman" w:hAnsi="Times New Roman" w:eastAsia="仿宋_GB2312" w:cs="Times New Roman"/>
          <w:color w:val="000000"/>
          <w:spacing w:val="0"/>
          <w:kern w:val="2"/>
          <w:sz w:val="32"/>
          <w:szCs w:val="32"/>
          <w:u w:val="none"/>
          <w:lang w:val="en-US" w:eastAsia="zh-CN" w:bidi="ar-SA"/>
        </w:rPr>
        <w:t>2023年末，全区共有科学研究和技术服务业法人单位163个，从业人员1240人，其中，企业法人单位</w:t>
      </w:r>
      <w:r>
        <w:rPr>
          <w:rFonts w:hint="default" w:ascii="Times New Roman" w:hAnsi="Times New Roman" w:eastAsia="仿宋_GB2312" w:cs="Times New Roman"/>
          <w:i w:val="0"/>
          <w:iCs w:val="0"/>
          <w:color w:val="000000"/>
          <w:spacing w:val="0"/>
          <w:kern w:val="0"/>
          <w:sz w:val="32"/>
          <w:szCs w:val="32"/>
          <w:u w:val="none"/>
          <w:lang w:val="en-US" w:eastAsia="zh-CN" w:bidi="ar"/>
        </w:rPr>
        <w:t>149</w:t>
      </w:r>
      <w:r>
        <w:rPr>
          <w:rFonts w:hint="default" w:ascii="Times New Roman" w:hAnsi="Times New Roman" w:eastAsia="仿宋_GB2312" w:cs="Times New Roman"/>
          <w:color w:val="000000"/>
          <w:spacing w:val="0"/>
          <w:kern w:val="2"/>
          <w:sz w:val="32"/>
          <w:szCs w:val="32"/>
          <w:u w:val="none"/>
          <w:lang w:val="en-US" w:eastAsia="zh-CN" w:bidi="ar-SA"/>
        </w:rPr>
        <w:t>个，从业人员1174人（详见表5-1）。</w:t>
      </w:r>
    </w:p>
    <w:p w14:paraId="003619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Autospacing="0" w:line="320" w:lineRule="exact"/>
        <w:ind w:left="0" w:right="0" w:firstLine="0" w:firstLineChars="0"/>
        <w:jc w:val="center"/>
        <w:textAlignment w:val="auto"/>
        <w:rPr>
          <w:rFonts w:hint="default" w:ascii="Times New Roman" w:hAnsi="Times New Roman" w:eastAsia="宋体" w:cs="Times New Roman"/>
          <w:b/>
          <w:i w:val="0"/>
          <w:caps w:val="0"/>
          <w:color w:val="000000"/>
          <w:spacing w:val="0"/>
          <w:kern w:val="0"/>
          <w:sz w:val="24"/>
          <w:szCs w:val="24"/>
          <w:highlight w:val="none"/>
          <w:lang w:val="en-US" w:eastAsia="zh-CN" w:bidi="ar"/>
        </w:rPr>
      </w:pPr>
      <w:r>
        <w:rPr>
          <w:rFonts w:hint="default" w:ascii="Times New Roman" w:hAnsi="Times New Roman" w:eastAsia="宋体" w:cs="Times New Roman"/>
          <w:b/>
          <w:i w:val="0"/>
          <w:caps w:val="0"/>
          <w:color w:val="000000"/>
          <w:spacing w:val="0"/>
          <w:kern w:val="0"/>
          <w:sz w:val="24"/>
          <w:szCs w:val="24"/>
          <w:highlight w:val="none"/>
          <w:lang w:val="en-US" w:eastAsia="zh-CN" w:bidi="ar"/>
        </w:rPr>
        <w:t>表5-1　按行业大类分组的科学研究和技术服务业</w:t>
      </w:r>
    </w:p>
    <w:p w14:paraId="724FCB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right="0" w:firstLine="0" w:firstLineChars="0"/>
        <w:jc w:val="center"/>
        <w:textAlignment w:val="auto"/>
        <w:rPr>
          <w:rFonts w:hint="default" w:ascii="Times New Roman" w:hAnsi="Times New Roman" w:eastAsia="宋体" w:cs="Times New Roman"/>
          <w:b/>
          <w:i w:val="0"/>
          <w:caps w:val="0"/>
          <w:color w:val="000000"/>
          <w:spacing w:val="0"/>
          <w:kern w:val="0"/>
          <w:sz w:val="28"/>
          <w:szCs w:val="28"/>
          <w:highlight w:val="none"/>
          <w:lang w:val="en-US" w:eastAsia="zh-CN" w:bidi="ar"/>
        </w:rPr>
      </w:pPr>
      <w:r>
        <w:rPr>
          <w:rFonts w:hint="default" w:ascii="Times New Roman" w:hAnsi="Times New Roman" w:eastAsia="宋体" w:cs="Times New Roman"/>
          <w:b/>
          <w:i w:val="0"/>
          <w:caps w:val="0"/>
          <w:color w:val="000000"/>
          <w:spacing w:val="0"/>
          <w:kern w:val="0"/>
          <w:sz w:val="24"/>
          <w:szCs w:val="24"/>
          <w:highlight w:val="none"/>
          <w:lang w:val="en-US" w:eastAsia="zh-CN" w:bidi="ar"/>
        </w:rPr>
        <w:t>企业法人单位数和从业人员</w:t>
      </w:r>
    </w:p>
    <w:tbl>
      <w:tblPr>
        <w:tblStyle w:val="12"/>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2896"/>
        <w:gridCol w:w="2960"/>
        <w:gridCol w:w="2450"/>
      </w:tblGrid>
      <w:tr w14:paraId="626C465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94" w:hRule="atLeast"/>
          <w:jc w:val="center"/>
        </w:trPr>
        <w:tc>
          <w:tcPr>
            <w:tcW w:w="2896" w:type="dxa"/>
            <w:tcBorders>
              <w:top w:val="single" w:color="auto" w:sz="12" w:space="0"/>
              <w:left w:val="nil"/>
              <w:bottom w:val="single" w:color="auto" w:sz="4" w:space="0"/>
              <w:right w:val="single" w:color="auto" w:sz="4" w:space="0"/>
            </w:tcBorders>
            <w:noWrap w:val="0"/>
            <w:vAlign w:val="center"/>
          </w:tcPr>
          <w:p w14:paraId="4076653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color w:val="000000"/>
                <w:spacing w:val="0"/>
                <w:sz w:val="21"/>
                <w:szCs w:val="21"/>
                <w:highlight w:val="none"/>
              </w:rPr>
            </w:pPr>
          </w:p>
        </w:tc>
        <w:tc>
          <w:tcPr>
            <w:tcW w:w="2960" w:type="dxa"/>
            <w:tcBorders>
              <w:top w:val="single" w:color="auto" w:sz="12" w:space="0"/>
              <w:left w:val="single" w:color="auto" w:sz="4" w:space="0"/>
              <w:bottom w:val="single" w:color="auto" w:sz="4" w:space="0"/>
              <w:right w:val="single" w:color="auto" w:sz="4" w:space="0"/>
            </w:tcBorders>
            <w:noWrap w:val="0"/>
            <w:vAlign w:val="center"/>
          </w:tcPr>
          <w:p w14:paraId="1B0297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b/>
                <w:bCs/>
                <w:color w:val="000000"/>
                <w:spacing w:val="0"/>
                <w:kern w:val="0"/>
                <w:sz w:val="21"/>
                <w:szCs w:val="21"/>
                <w:highlight w:val="none"/>
                <w:lang w:val="en-US" w:eastAsia="zh-CN" w:bidi="ar"/>
              </w:rPr>
            </w:pPr>
            <w:r>
              <w:rPr>
                <w:rFonts w:hint="default" w:ascii="Times New Roman" w:hAnsi="Times New Roman" w:eastAsia="宋体" w:cs="Times New Roman"/>
                <w:b/>
                <w:bCs/>
                <w:color w:val="000000"/>
                <w:spacing w:val="0"/>
                <w:kern w:val="0"/>
                <w:sz w:val="21"/>
                <w:szCs w:val="21"/>
                <w:highlight w:val="none"/>
                <w:lang w:val="en-US" w:eastAsia="zh-CN" w:bidi="ar"/>
              </w:rPr>
              <w:t>企业法人单位</w:t>
            </w:r>
          </w:p>
          <w:p w14:paraId="76287FE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b/>
                <w:bCs/>
                <w:color w:val="000000"/>
                <w:spacing w:val="0"/>
                <w:sz w:val="21"/>
                <w:szCs w:val="21"/>
                <w:highlight w:val="none"/>
              </w:rPr>
            </w:pPr>
            <w:r>
              <w:rPr>
                <w:rFonts w:hint="default" w:ascii="Times New Roman" w:hAnsi="Times New Roman" w:eastAsia="宋体" w:cs="Times New Roman"/>
                <w:b/>
                <w:bCs/>
                <w:color w:val="000000"/>
                <w:spacing w:val="0"/>
                <w:kern w:val="0"/>
                <w:sz w:val="21"/>
                <w:szCs w:val="21"/>
                <w:highlight w:val="none"/>
                <w:lang w:val="en-US" w:eastAsia="zh-CN" w:bidi="ar"/>
              </w:rPr>
              <w:t>（个）</w:t>
            </w:r>
          </w:p>
        </w:tc>
        <w:tc>
          <w:tcPr>
            <w:tcW w:w="2450" w:type="dxa"/>
            <w:tcBorders>
              <w:top w:val="single" w:color="auto" w:sz="12" w:space="0"/>
              <w:left w:val="single" w:color="auto" w:sz="4" w:space="0"/>
              <w:bottom w:val="single" w:color="auto" w:sz="4" w:space="0"/>
              <w:right w:val="nil"/>
            </w:tcBorders>
            <w:noWrap w:val="0"/>
            <w:vAlign w:val="center"/>
          </w:tcPr>
          <w:p w14:paraId="59ADD95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b/>
                <w:bCs/>
                <w:color w:val="000000"/>
                <w:spacing w:val="0"/>
                <w:kern w:val="0"/>
                <w:sz w:val="21"/>
                <w:szCs w:val="21"/>
                <w:highlight w:val="none"/>
                <w:lang w:val="en-US" w:eastAsia="zh-CN" w:bidi="ar"/>
              </w:rPr>
            </w:pPr>
            <w:r>
              <w:rPr>
                <w:rFonts w:hint="default" w:ascii="Times New Roman" w:hAnsi="Times New Roman" w:eastAsia="宋体" w:cs="Times New Roman"/>
                <w:b/>
                <w:bCs/>
                <w:color w:val="000000"/>
                <w:spacing w:val="0"/>
                <w:kern w:val="0"/>
                <w:sz w:val="21"/>
                <w:szCs w:val="21"/>
                <w:highlight w:val="none"/>
                <w:lang w:val="en-US" w:eastAsia="zh-CN" w:bidi="ar"/>
              </w:rPr>
              <w:t>从业人员</w:t>
            </w:r>
          </w:p>
          <w:p w14:paraId="27B3FF3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b/>
                <w:bCs/>
                <w:color w:val="000000"/>
                <w:spacing w:val="0"/>
                <w:sz w:val="21"/>
                <w:szCs w:val="21"/>
                <w:highlight w:val="none"/>
              </w:rPr>
            </w:pPr>
            <w:r>
              <w:rPr>
                <w:rFonts w:hint="default" w:ascii="Times New Roman" w:hAnsi="Times New Roman" w:eastAsia="宋体" w:cs="Times New Roman"/>
                <w:b/>
                <w:bCs/>
                <w:color w:val="000000"/>
                <w:spacing w:val="0"/>
                <w:kern w:val="0"/>
                <w:sz w:val="21"/>
                <w:szCs w:val="21"/>
                <w:highlight w:val="none"/>
                <w:lang w:val="en-US" w:eastAsia="zh-CN" w:bidi="ar"/>
              </w:rPr>
              <w:t>（人）</w:t>
            </w:r>
          </w:p>
        </w:tc>
      </w:tr>
      <w:tr w14:paraId="25486C3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20" w:hRule="atLeast"/>
          <w:jc w:val="center"/>
        </w:trPr>
        <w:tc>
          <w:tcPr>
            <w:tcW w:w="2896" w:type="dxa"/>
            <w:tcBorders>
              <w:top w:val="single" w:color="auto" w:sz="4" w:space="0"/>
              <w:left w:val="nil"/>
              <w:bottom w:val="nil"/>
              <w:right w:val="single" w:color="auto" w:sz="4" w:space="0"/>
            </w:tcBorders>
            <w:noWrap w:val="0"/>
            <w:vAlign w:val="center"/>
          </w:tcPr>
          <w:p w14:paraId="3A07EFB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center"/>
              <w:textAlignment w:val="auto"/>
              <w:rPr>
                <w:rFonts w:hint="default" w:ascii="Times New Roman" w:hAnsi="Times New Roman" w:eastAsia="宋体" w:cs="Times New Roman"/>
                <w:color w:val="000000"/>
                <w:spacing w:val="0"/>
                <w:sz w:val="21"/>
                <w:szCs w:val="21"/>
                <w:highlight w:val="none"/>
              </w:rPr>
            </w:pPr>
            <w:r>
              <w:rPr>
                <w:rFonts w:hint="default" w:ascii="Times New Roman" w:hAnsi="Times New Roman" w:eastAsia="宋体" w:cs="Times New Roman"/>
                <w:b/>
                <w:color w:val="000000"/>
                <w:spacing w:val="0"/>
                <w:kern w:val="0"/>
                <w:sz w:val="21"/>
                <w:szCs w:val="21"/>
                <w:highlight w:val="none"/>
                <w:lang w:val="en-US" w:eastAsia="zh-CN" w:bidi="ar"/>
              </w:rPr>
              <w:t>合　计</w:t>
            </w:r>
          </w:p>
        </w:tc>
        <w:tc>
          <w:tcPr>
            <w:tcW w:w="2960" w:type="dxa"/>
            <w:tcBorders>
              <w:top w:val="single" w:color="auto" w:sz="4" w:space="0"/>
              <w:left w:val="single" w:color="auto" w:sz="4" w:space="0"/>
              <w:bottom w:val="nil"/>
              <w:right w:val="single" w:color="auto" w:sz="4" w:space="0"/>
            </w:tcBorders>
            <w:shd w:val="clear" w:color="auto" w:fill="auto"/>
            <w:noWrap w:val="0"/>
            <w:vAlign w:val="center"/>
          </w:tcPr>
          <w:p w14:paraId="7872BD62">
            <w:pPr>
              <w:keepNext w:val="0"/>
              <w:keepLines w:val="0"/>
              <w:widowControl/>
              <w:suppressLineNumbers w:val="0"/>
              <w:jc w:val="right"/>
              <w:textAlignment w:val="center"/>
              <w:rPr>
                <w:rFonts w:hint="default" w:ascii="Times New Roman" w:hAnsi="Times New Roman" w:eastAsia="宋体" w:cs="Times New Roman"/>
                <w:b/>
                <w:bCs/>
                <w:i w:val="0"/>
                <w:iCs w:val="0"/>
                <w:color w:val="000000"/>
                <w:spacing w:val="0"/>
                <w:kern w:val="2"/>
                <w:sz w:val="22"/>
                <w:szCs w:val="22"/>
                <w:u w:val="none"/>
                <w:lang w:val="en" w:eastAsia="zh-CN" w:bidi="ar-SA"/>
              </w:rPr>
            </w:pPr>
            <w:r>
              <w:rPr>
                <w:rFonts w:hint="default" w:ascii="Times New Roman" w:hAnsi="Times New Roman" w:eastAsia="宋体" w:cs="Times New Roman"/>
                <w:b/>
                <w:bCs/>
                <w:i w:val="0"/>
                <w:iCs w:val="0"/>
                <w:color w:val="000000"/>
                <w:spacing w:val="0"/>
                <w:kern w:val="0"/>
                <w:sz w:val="22"/>
                <w:szCs w:val="22"/>
                <w:u w:val="none"/>
                <w:lang w:val="en-US" w:eastAsia="zh-CN" w:bidi="ar"/>
              </w:rPr>
              <w:t xml:space="preserve">149 </w:t>
            </w:r>
          </w:p>
        </w:tc>
        <w:tc>
          <w:tcPr>
            <w:tcW w:w="2450" w:type="dxa"/>
            <w:tcBorders>
              <w:top w:val="single" w:color="auto" w:sz="4" w:space="0"/>
              <w:left w:val="single" w:color="auto" w:sz="4" w:space="0"/>
              <w:bottom w:val="nil"/>
              <w:right w:val="nil"/>
            </w:tcBorders>
            <w:shd w:val="clear" w:color="auto" w:fill="auto"/>
            <w:noWrap w:val="0"/>
            <w:vAlign w:val="center"/>
          </w:tcPr>
          <w:p w14:paraId="756A1954">
            <w:pPr>
              <w:keepNext w:val="0"/>
              <w:keepLines w:val="0"/>
              <w:widowControl/>
              <w:suppressLineNumbers w:val="0"/>
              <w:jc w:val="right"/>
              <w:textAlignment w:val="center"/>
              <w:rPr>
                <w:rFonts w:hint="default" w:ascii="Times New Roman" w:hAnsi="Times New Roman" w:eastAsia="宋体" w:cs="Times New Roman"/>
                <w:b/>
                <w:bCs/>
                <w:i w:val="0"/>
                <w:iCs w:val="0"/>
                <w:color w:val="000000"/>
                <w:spacing w:val="0"/>
                <w:kern w:val="2"/>
                <w:sz w:val="22"/>
                <w:szCs w:val="22"/>
                <w:u w:val="none"/>
                <w:lang w:val="en" w:eastAsia="zh-CN" w:bidi="ar-SA"/>
              </w:rPr>
            </w:pPr>
            <w:r>
              <w:rPr>
                <w:rFonts w:hint="default" w:ascii="Times New Roman" w:hAnsi="Times New Roman" w:cs="Times New Roman"/>
                <w:b/>
                <w:bCs/>
                <w:i w:val="0"/>
                <w:iCs w:val="0"/>
                <w:color w:val="000000"/>
                <w:spacing w:val="0"/>
                <w:kern w:val="0"/>
                <w:sz w:val="22"/>
                <w:szCs w:val="22"/>
                <w:u w:val="none"/>
                <w:lang w:val="en-US" w:eastAsia="zh-CN" w:bidi="ar"/>
              </w:rPr>
              <w:t>1174</w:t>
            </w:r>
            <w:r>
              <w:rPr>
                <w:rFonts w:hint="default" w:ascii="Times New Roman" w:hAnsi="Times New Roman" w:eastAsia="宋体" w:cs="Times New Roman"/>
                <w:b/>
                <w:bCs/>
                <w:i w:val="0"/>
                <w:iCs w:val="0"/>
                <w:color w:val="000000"/>
                <w:spacing w:val="0"/>
                <w:kern w:val="0"/>
                <w:sz w:val="22"/>
                <w:szCs w:val="22"/>
                <w:u w:val="none"/>
                <w:lang w:val="en-US" w:eastAsia="zh-CN" w:bidi="ar"/>
              </w:rPr>
              <w:t xml:space="preserve"> </w:t>
            </w:r>
          </w:p>
        </w:tc>
      </w:tr>
      <w:tr w14:paraId="4A06C3A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20" w:hRule="atLeast"/>
          <w:jc w:val="center"/>
        </w:trPr>
        <w:tc>
          <w:tcPr>
            <w:tcW w:w="2896" w:type="dxa"/>
            <w:tcBorders>
              <w:top w:val="nil"/>
              <w:left w:val="nil"/>
              <w:bottom w:val="nil"/>
              <w:right w:val="single" w:color="auto" w:sz="4" w:space="0"/>
            </w:tcBorders>
            <w:noWrap w:val="0"/>
            <w:vAlign w:val="center"/>
          </w:tcPr>
          <w:p w14:paraId="03968A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default" w:ascii="Times New Roman" w:hAnsi="Times New Roman" w:eastAsia="宋体" w:cs="Times New Roman"/>
                <w:color w:val="000000"/>
                <w:spacing w:val="0"/>
                <w:sz w:val="21"/>
                <w:szCs w:val="21"/>
                <w:highlight w:val="none"/>
              </w:rPr>
            </w:pPr>
            <w:r>
              <w:rPr>
                <w:rFonts w:hint="default" w:ascii="Times New Roman" w:hAnsi="Times New Roman" w:eastAsia="宋体" w:cs="Times New Roman"/>
                <w:color w:val="000000"/>
                <w:spacing w:val="0"/>
                <w:kern w:val="0"/>
                <w:sz w:val="21"/>
                <w:szCs w:val="21"/>
                <w:highlight w:val="none"/>
                <w:lang w:val="en-US" w:eastAsia="zh-CN" w:bidi="ar"/>
              </w:rPr>
              <w:t>研究和试验发展</w:t>
            </w:r>
          </w:p>
        </w:tc>
        <w:tc>
          <w:tcPr>
            <w:tcW w:w="2960" w:type="dxa"/>
            <w:tcBorders>
              <w:top w:val="nil"/>
              <w:left w:val="single" w:color="auto" w:sz="4" w:space="0"/>
              <w:bottom w:val="nil"/>
              <w:right w:val="single" w:color="auto" w:sz="4" w:space="0"/>
            </w:tcBorders>
            <w:shd w:val="clear" w:color="auto" w:fill="auto"/>
            <w:noWrap w:val="0"/>
            <w:vAlign w:val="center"/>
          </w:tcPr>
          <w:p w14:paraId="689BE557">
            <w:pPr>
              <w:keepNext w:val="0"/>
              <w:keepLines w:val="0"/>
              <w:widowControl/>
              <w:suppressLineNumbers w:val="0"/>
              <w:jc w:val="right"/>
              <w:textAlignment w:val="center"/>
              <w:rPr>
                <w:rFonts w:hint="default" w:ascii="Times New Roman" w:hAnsi="Times New Roman" w:eastAsia="宋体" w:cs="Times New Roman"/>
                <w:i w:val="0"/>
                <w:iCs w:val="0"/>
                <w:color w:val="000000"/>
                <w:spacing w:val="0"/>
                <w:kern w:val="2"/>
                <w:sz w:val="22"/>
                <w:szCs w:val="22"/>
                <w:u w:val="none"/>
                <w:lang w:val="en" w:eastAsia="zh-CN" w:bidi="ar-SA"/>
              </w:rPr>
            </w:pPr>
            <w:r>
              <w:rPr>
                <w:rFonts w:hint="default" w:ascii="Times New Roman" w:hAnsi="Times New Roman" w:eastAsia="宋体" w:cs="Times New Roman"/>
                <w:i w:val="0"/>
                <w:iCs w:val="0"/>
                <w:color w:val="000000"/>
                <w:spacing w:val="0"/>
                <w:kern w:val="0"/>
                <w:sz w:val="22"/>
                <w:szCs w:val="22"/>
                <w:u w:val="none"/>
                <w:lang w:val="en-US" w:eastAsia="zh-CN" w:bidi="ar"/>
              </w:rPr>
              <w:t xml:space="preserve">16 </w:t>
            </w:r>
          </w:p>
        </w:tc>
        <w:tc>
          <w:tcPr>
            <w:tcW w:w="2450" w:type="dxa"/>
            <w:tcBorders>
              <w:top w:val="nil"/>
              <w:left w:val="single" w:color="auto" w:sz="4" w:space="0"/>
              <w:bottom w:val="nil"/>
              <w:right w:val="nil"/>
            </w:tcBorders>
            <w:noWrap w:val="0"/>
            <w:vAlign w:val="center"/>
          </w:tcPr>
          <w:p w14:paraId="2979AEC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Times New Roman"/>
                <w:color w:val="000000"/>
                <w:spacing w:val="0"/>
                <w:kern w:val="2"/>
                <w:sz w:val="21"/>
                <w:szCs w:val="21"/>
                <w:highlight w:val="none"/>
                <w:lang w:val="en" w:eastAsia="zh-CN" w:bidi="ar-SA"/>
              </w:rPr>
            </w:pPr>
            <w:r>
              <w:rPr>
                <w:rFonts w:hint="default" w:ascii="Times New Roman" w:hAnsi="Times New Roman" w:eastAsia="宋体" w:cs="Times New Roman"/>
                <w:color w:val="000000"/>
                <w:spacing w:val="0"/>
                <w:kern w:val="2"/>
                <w:sz w:val="21"/>
                <w:szCs w:val="21"/>
                <w:highlight w:val="none"/>
                <w:lang w:val="en" w:eastAsia="zh-CN" w:bidi="ar-SA"/>
              </w:rPr>
              <w:t xml:space="preserve">129 </w:t>
            </w:r>
          </w:p>
        </w:tc>
      </w:tr>
      <w:tr w14:paraId="3C603DE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20" w:hRule="atLeast"/>
          <w:jc w:val="center"/>
        </w:trPr>
        <w:tc>
          <w:tcPr>
            <w:tcW w:w="2896" w:type="dxa"/>
            <w:tcBorders>
              <w:top w:val="nil"/>
              <w:left w:val="nil"/>
              <w:bottom w:val="nil"/>
              <w:right w:val="single" w:color="auto" w:sz="4" w:space="0"/>
            </w:tcBorders>
            <w:noWrap w:val="0"/>
            <w:vAlign w:val="center"/>
          </w:tcPr>
          <w:p w14:paraId="23DFA1A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default" w:ascii="Times New Roman" w:hAnsi="Times New Roman" w:eastAsia="宋体" w:cs="Times New Roman"/>
                <w:color w:val="000000"/>
                <w:spacing w:val="0"/>
                <w:sz w:val="21"/>
                <w:szCs w:val="21"/>
                <w:highlight w:val="none"/>
              </w:rPr>
            </w:pPr>
            <w:r>
              <w:rPr>
                <w:rFonts w:hint="default" w:ascii="Times New Roman" w:hAnsi="Times New Roman" w:eastAsia="宋体" w:cs="Times New Roman"/>
                <w:color w:val="000000"/>
                <w:spacing w:val="0"/>
                <w:kern w:val="0"/>
                <w:sz w:val="21"/>
                <w:szCs w:val="21"/>
                <w:highlight w:val="none"/>
                <w:lang w:val="en-US" w:eastAsia="zh-CN" w:bidi="ar"/>
              </w:rPr>
              <w:t>专业技术服务业</w:t>
            </w:r>
          </w:p>
        </w:tc>
        <w:tc>
          <w:tcPr>
            <w:tcW w:w="2960" w:type="dxa"/>
            <w:tcBorders>
              <w:top w:val="nil"/>
              <w:left w:val="single" w:color="auto" w:sz="4" w:space="0"/>
              <w:bottom w:val="nil"/>
              <w:right w:val="single" w:color="auto" w:sz="4" w:space="0"/>
            </w:tcBorders>
            <w:shd w:val="clear" w:color="auto" w:fill="auto"/>
            <w:noWrap w:val="0"/>
            <w:vAlign w:val="center"/>
          </w:tcPr>
          <w:p w14:paraId="57B23631">
            <w:pPr>
              <w:keepNext w:val="0"/>
              <w:keepLines w:val="0"/>
              <w:widowControl/>
              <w:suppressLineNumbers w:val="0"/>
              <w:jc w:val="right"/>
              <w:textAlignment w:val="center"/>
              <w:rPr>
                <w:rFonts w:hint="default" w:ascii="Times New Roman" w:hAnsi="Times New Roman" w:eastAsia="宋体" w:cs="Times New Roman"/>
                <w:i w:val="0"/>
                <w:iCs w:val="0"/>
                <w:color w:val="000000"/>
                <w:spacing w:val="0"/>
                <w:kern w:val="2"/>
                <w:sz w:val="22"/>
                <w:szCs w:val="22"/>
                <w:u w:val="none"/>
                <w:lang w:val="en" w:eastAsia="zh-CN" w:bidi="ar-SA"/>
              </w:rPr>
            </w:pPr>
            <w:r>
              <w:rPr>
                <w:rFonts w:hint="default" w:ascii="Times New Roman" w:hAnsi="Times New Roman" w:eastAsia="宋体" w:cs="Times New Roman"/>
                <w:i w:val="0"/>
                <w:iCs w:val="0"/>
                <w:color w:val="000000"/>
                <w:spacing w:val="0"/>
                <w:kern w:val="0"/>
                <w:sz w:val="22"/>
                <w:szCs w:val="22"/>
                <w:u w:val="none"/>
                <w:lang w:val="en-US" w:eastAsia="zh-CN" w:bidi="ar"/>
              </w:rPr>
              <w:t xml:space="preserve">75 </w:t>
            </w:r>
          </w:p>
        </w:tc>
        <w:tc>
          <w:tcPr>
            <w:tcW w:w="2450" w:type="dxa"/>
            <w:tcBorders>
              <w:top w:val="nil"/>
              <w:left w:val="single" w:color="auto" w:sz="4" w:space="0"/>
              <w:bottom w:val="nil"/>
              <w:right w:val="nil"/>
            </w:tcBorders>
            <w:noWrap w:val="0"/>
            <w:vAlign w:val="center"/>
          </w:tcPr>
          <w:p w14:paraId="704A595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Times New Roman"/>
                <w:color w:val="000000"/>
                <w:spacing w:val="0"/>
                <w:kern w:val="2"/>
                <w:sz w:val="21"/>
                <w:szCs w:val="21"/>
                <w:highlight w:val="none"/>
                <w:lang w:val="en" w:eastAsia="zh-CN" w:bidi="ar-SA"/>
              </w:rPr>
            </w:pPr>
            <w:r>
              <w:rPr>
                <w:rFonts w:hint="default" w:ascii="Times New Roman" w:hAnsi="Times New Roman" w:eastAsia="宋体" w:cs="Times New Roman"/>
                <w:color w:val="000000"/>
                <w:spacing w:val="0"/>
                <w:kern w:val="2"/>
                <w:sz w:val="21"/>
                <w:szCs w:val="21"/>
                <w:highlight w:val="none"/>
                <w:lang w:val="en" w:eastAsia="zh-CN" w:bidi="ar-SA"/>
              </w:rPr>
              <w:t>710</w:t>
            </w:r>
          </w:p>
        </w:tc>
      </w:tr>
      <w:tr w14:paraId="1399030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20" w:hRule="atLeast"/>
          <w:jc w:val="center"/>
        </w:trPr>
        <w:tc>
          <w:tcPr>
            <w:tcW w:w="2896" w:type="dxa"/>
            <w:tcBorders>
              <w:top w:val="nil"/>
              <w:left w:val="nil"/>
              <w:bottom w:val="single" w:color="auto" w:sz="12" w:space="0"/>
              <w:right w:val="single" w:color="auto" w:sz="4" w:space="0"/>
            </w:tcBorders>
            <w:noWrap w:val="0"/>
            <w:vAlign w:val="center"/>
          </w:tcPr>
          <w:p w14:paraId="5C639A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default" w:ascii="Times New Roman" w:hAnsi="Times New Roman" w:eastAsia="宋体" w:cs="Times New Roman"/>
                <w:color w:val="000000"/>
                <w:spacing w:val="0"/>
                <w:sz w:val="21"/>
                <w:szCs w:val="21"/>
                <w:highlight w:val="none"/>
              </w:rPr>
            </w:pPr>
            <w:r>
              <w:rPr>
                <w:rFonts w:hint="default" w:ascii="Times New Roman" w:hAnsi="Times New Roman" w:eastAsia="宋体" w:cs="Times New Roman"/>
                <w:color w:val="000000"/>
                <w:spacing w:val="0"/>
                <w:kern w:val="0"/>
                <w:sz w:val="21"/>
                <w:szCs w:val="21"/>
                <w:highlight w:val="none"/>
                <w:lang w:val="en-US" w:eastAsia="zh-CN" w:bidi="ar"/>
              </w:rPr>
              <w:t>科技推广和应用服务业</w:t>
            </w:r>
          </w:p>
        </w:tc>
        <w:tc>
          <w:tcPr>
            <w:tcW w:w="2960" w:type="dxa"/>
            <w:tcBorders>
              <w:top w:val="nil"/>
              <w:left w:val="single" w:color="auto" w:sz="4" w:space="0"/>
              <w:bottom w:val="single" w:color="auto" w:sz="12" w:space="0"/>
              <w:right w:val="single" w:color="auto" w:sz="4" w:space="0"/>
            </w:tcBorders>
            <w:shd w:val="clear" w:color="auto" w:fill="auto"/>
            <w:noWrap w:val="0"/>
            <w:vAlign w:val="center"/>
          </w:tcPr>
          <w:p w14:paraId="7534FBE6">
            <w:pPr>
              <w:keepNext w:val="0"/>
              <w:keepLines w:val="0"/>
              <w:widowControl/>
              <w:suppressLineNumbers w:val="0"/>
              <w:jc w:val="right"/>
              <w:textAlignment w:val="center"/>
              <w:rPr>
                <w:rFonts w:hint="default" w:ascii="Times New Roman" w:hAnsi="Times New Roman" w:eastAsia="宋体" w:cs="Times New Roman"/>
                <w:i w:val="0"/>
                <w:iCs w:val="0"/>
                <w:color w:val="000000"/>
                <w:spacing w:val="0"/>
                <w:kern w:val="2"/>
                <w:sz w:val="22"/>
                <w:szCs w:val="22"/>
                <w:u w:val="none"/>
                <w:lang w:val="en" w:eastAsia="zh-CN" w:bidi="ar-SA"/>
              </w:rPr>
            </w:pPr>
            <w:r>
              <w:rPr>
                <w:rFonts w:hint="default" w:ascii="Times New Roman" w:hAnsi="Times New Roman" w:eastAsia="宋体" w:cs="Times New Roman"/>
                <w:i w:val="0"/>
                <w:iCs w:val="0"/>
                <w:color w:val="000000"/>
                <w:spacing w:val="0"/>
                <w:kern w:val="0"/>
                <w:sz w:val="22"/>
                <w:szCs w:val="22"/>
                <w:u w:val="none"/>
                <w:lang w:val="en-US" w:eastAsia="zh-CN" w:bidi="ar"/>
              </w:rPr>
              <w:t xml:space="preserve">58 </w:t>
            </w:r>
          </w:p>
        </w:tc>
        <w:tc>
          <w:tcPr>
            <w:tcW w:w="2450" w:type="dxa"/>
            <w:tcBorders>
              <w:top w:val="nil"/>
              <w:left w:val="single" w:color="auto" w:sz="4" w:space="0"/>
              <w:bottom w:val="single" w:color="auto" w:sz="12" w:space="0"/>
              <w:right w:val="nil"/>
            </w:tcBorders>
            <w:shd w:val="clear" w:color="auto" w:fill="auto"/>
            <w:noWrap w:val="0"/>
            <w:vAlign w:val="center"/>
          </w:tcPr>
          <w:p w14:paraId="56C55A9C">
            <w:pPr>
              <w:keepNext w:val="0"/>
              <w:keepLines w:val="0"/>
              <w:widowControl/>
              <w:suppressLineNumbers w:val="0"/>
              <w:jc w:val="right"/>
              <w:textAlignment w:val="center"/>
              <w:rPr>
                <w:rFonts w:hint="default" w:ascii="Times New Roman" w:hAnsi="Times New Roman" w:eastAsia="宋体" w:cs="Times New Roman"/>
                <w:i w:val="0"/>
                <w:iCs w:val="0"/>
                <w:color w:val="000000"/>
                <w:spacing w:val="0"/>
                <w:kern w:val="2"/>
                <w:sz w:val="22"/>
                <w:szCs w:val="22"/>
                <w:u w:val="none"/>
                <w:lang w:val="en" w:eastAsia="zh-CN" w:bidi="ar-SA"/>
              </w:rPr>
            </w:pPr>
            <w:r>
              <w:rPr>
                <w:rFonts w:hint="default" w:ascii="Times New Roman" w:hAnsi="Times New Roman" w:eastAsia="宋体" w:cs="Times New Roman"/>
                <w:i w:val="0"/>
                <w:iCs w:val="0"/>
                <w:color w:val="000000"/>
                <w:spacing w:val="0"/>
                <w:kern w:val="0"/>
                <w:sz w:val="22"/>
                <w:szCs w:val="22"/>
                <w:u w:val="none"/>
                <w:lang w:val="en-US" w:eastAsia="zh-CN" w:bidi="ar"/>
              </w:rPr>
              <w:t xml:space="preserve">335 </w:t>
            </w:r>
          </w:p>
        </w:tc>
      </w:tr>
    </w:tbl>
    <w:p w14:paraId="03B2BB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spacing w:val="0"/>
          <w:kern w:val="2"/>
          <w:sz w:val="32"/>
          <w:szCs w:val="32"/>
          <w:u w:val="none"/>
          <w:lang w:val="en-US" w:eastAsia="zh-CN" w:bidi="ar-SA"/>
        </w:rPr>
      </w:pPr>
      <w:r>
        <w:rPr>
          <w:rFonts w:hint="default" w:ascii="Times New Roman" w:hAnsi="Times New Roman" w:eastAsia="仿宋_GB2312" w:cs="Times New Roman"/>
          <w:color w:val="000000"/>
          <w:spacing w:val="0"/>
          <w:kern w:val="2"/>
          <w:sz w:val="32"/>
          <w:szCs w:val="32"/>
          <w:u w:val="none"/>
          <w:lang w:val="en-US" w:eastAsia="zh-CN" w:bidi="ar-SA"/>
        </w:rPr>
        <w:t>在科学研究和技术服务业企业法人单位中，内资企业</w:t>
      </w:r>
      <w:r>
        <w:rPr>
          <w:rFonts w:hint="eastAsia" w:ascii="Times New Roman" w:hAnsi="Times New Roman" w:eastAsia="仿宋_GB2312" w:cs="Times New Roman"/>
          <w:color w:val="000000"/>
          <w:spacing w:val="0"/>
          <w:kern w:val="2"/>
          <w:sz w:val="32"/>
          <w:szCs w:val="32"/>
          <w:u w:val="none"/>
          <w:lang w:val="en-US" w:eastAsia="zh-CN" w:bidi="ar-SA"/>
        </w:rPr>
        <w:t>145个，</w:t>
      </w:r>
      <w:r>
        <w:rPr>
          <w:rFonts w:hint="default" w:ascii="Times New Roman" w:hAnsi="Times New Roman" w:eastAsia="仿宋_GB2312" w:cs="Times New Roman"/>
          <w:color w:val="000000"/>
          <w:spacing w:val="0"/>
          <w:kern w:val="2"/>
          <w:sz w:val="32"/>
          <w:szCs w:val="32"/>
          <w:u w:val="none"/>
          <w:lang w:val="en-US" w:eastAsia="zh-CN" w:bidi="ar-SA"/>
        </w:rPr>
        <w:t>占97.3%</w:t>
      </w:r>
      <w:r>
        <w:rPr>
          <w:rFonts w:hint="eastAsia" w:ascii="Times New Roman" w:hAnsi="Times New Roman" w:eastAsia="仿宋_GB2312" w:cs="Times New Roman"/>
          <w:color w:val="000000"/>
          <w:spacing w:val="0"/>
          <w:kern w:val="2"/>
          <w:sz w:val="32"/>
          <w:szCs w:val="32"/>
          <w:u w:val="none"/>
          <w:lang w:val="en-US" w:eastAsia="zh-CN" w:bidi="ar-SA"/>
        </w:rPr>
        <w:t>；其他统计类别4个，占2.7%。</w:t>
      </w:r>
    </w:p>
    <w:p w14:paraId="6D1EA2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spacing w:val="0"/>
          <w:kern w:val="2"/>
          <w:sz w:val="32"/>
          <w:szCs w:val="32"/>
          <w:u w:val="none"/>
          <w:lang w:val="en-US" w:eastAsia="zh-CN" w:bidi="ar-SA"/>
        </w:rPr>
      </w:pPr>
      <w:r>
        <w:rPr>
          <w:rFonts w:hint="default" w:ascii="Times New Roman" w:hAnsi="Times New Roman" w:eastAsia="仿宋_GB2312" w:cs="Times New Roman"/>
          <w:color w:val="000000"/>
          <w:spacing w:val="0"/>
          <w:kern w:val="2"/>
          <w:sz w:val="32"/>
          <w:szCs w:val="32"/>
          <w:u w:val="none"/>
          <w:lang w:val="en-US" w:eastAsia="zh-CN" w:bidi="ar-SA"/>
        </w:rPr>
        <w:t>在科学研究和技术服务业企业法人单位从业人员中，内资企业</w:t>
      </w:r>
      <w:r>
        <w:rPr>
          <w:rFonts w:hint="eastAsia" w:ascii="Times New Roman" w:hAnsi="Times New Roman" w:eastAsia="仿宋_GB2312" w:cs="Times New Roman"/>
          <w:color w:val="000000"/>
          <w:spacing w:val="0"/>
          <w:kern w:val="2"/>
          <w:sz w:val="32"/>
          <w:szCs w:val="32"/>
          <w:u w:val="none"/>
          <w:lang w:val="en-US" w:eastAsia="zh-CN" w:bidi="ar-SA"/>
        </w:rPr>
        <w:t>1154人，</w:t>
      </w:r>
      <w:r>
        <w:rPr>
          <w:rFonts w:hint="default" w:ascii="Times New Roman" w:hAnsi="Times New Roman" w:eastAsia="仿宋_GB2312" w:cs="Times New Roman"/>
          <w:color w:val="000000"/>
          <w:spacing w:val="0"/>
          <w:kern w:val="2"/>
          <w:sz w:val="32"/>
          <w:szCs w:val="32"/>
          <w:u w:val="none"/>
          <w:lang w:val="en-US" w:eastAsia="zh-CN" w:bidi="ar-SA"/>
        </w:rPr>
        <w:t>占</w:t>
      </w:r>
      <w:r>
        <w:rPr>
          <w:rFonts w:hint="eastAsia" w:ascii="Times New Roman" w:hAnsi="Times New Roman" w:eastAsia="仿宋_GB2312" w:cs="Times New Roman"/>
          <w:color w:val="000000"/>
          <w:spacing w:val="0"/>
          <w:kern w:val="2"/>
          <w:sz w:val="32"/>
          <w:szCs w:val="32"/>
          <w:u w:val="none"/>
          <w:lang w:val="en-US" w:eastAsia="zh-CN" w:bidi="ar-SA"/>
        </w:rPr>
        <w:t>98.3</w:t>
      </w:r>
      <w:r>
        <w:rPr>
          <w:rFonts w:hint="default" w:ascii="Times New Roman" w:hAnsi="Times New Roman" w:eastAsia="仿宋_GB2312" w:cs="Times New Roman"/>
          <w:color w:val="000000"/>
          <w:spacing w:val="0"/>
          <w:kern w:val="2"/>
          <w:sz w:val="32"/>
          <w:szCs w:val="32"/>
          <w:u w:val="none"/>
          <w:lang w:val="en-US" w:eastAsia="zh-CN" w:bidi="ar-SA"/>
        </w:rPr>
        <w:t>%</w:t>
      </w:r>
      <w:r>
        <w:rPr>
          <w:rFonts w:hint="eastAsia" w:ascii="Times New Roman" w:hAnsi="Times New Roman" w:eastAsia="仿宋_GB2312" w:cs="Times New Roman"/>
          <w:color w:val="000000"/>
          <w:spacing w:val="0"/>
          <w:kern w:val="2"/>
          <w:sz w:val="32"/>
          <w:szCs w:val="32"/>
          <w:u w:val="none"/>
          <w:lang w:val="en-US" w:eastAsia="zh-CN" w:bidi="ar-SA"/>
        </w:rPr>
        <w:t>；其他统计类别20人，占1.7%</w:t>
      </w:r>
      <w:r>
        <w:rPr>
          <w:rFonts w:hint="default" w:ascii="Times New Roman" w:hAnsi="Times New Roman" w:eastAsia="仿宋_GB2312" w:cs="Times New Roman"/>
          <w:color w:val="000000"/>
          <w:spacing w:val="0"/>
          <w:kern w:val="2"/>
          <w:sz w:val="32"/>
          <w:szCs w:val="32"/>
          <w:u w:val="none"/>
          <w:lang w:val="en-US" w:eastAsia="zh-CN" w:bidi="ar-SA"/>
        </w:rPr>
        <w:t>（详见表5-2）。</w:t>
      </w:r>
    </w:p>
    <w:p w14:paraId="03DFC4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Autospacing="0" w:line="320" w:lineRule="exact"/>
        <w:ind w:left="0" w:right="0" w:firstLine="0" w:firstLineChars="0"/>
        <w:jc w:val="center"/>
        <w:textAlignment w:val="auto"/>
        <w:rPr>
          <w:rFonts w:hint="default" w:ascii="Times New Roman" w:hAnsi="Times New Roman" w:eastAsia="宋体" w:cs="Times New Roman"/>
          <w:b/>
          <w:i w:val="0"/>
          <w:caps w:val="0"/>
          <w:color w:val="000000"/>
          <w:spacing w:val="0"/>
          <w:kern w:val="0"/>
          <w:sz w:val="24"/>
          <w:szCs w:val="24"/>
          <w:highlight w:val="none"/>
          <w:lang w:val="en-US" w:eastAsia="zh-CN" w:bidi="ar"/>
        </w:rPr>
      </w:pPr>
      <w:r>
        <w:rPr>
          <w:rFonts w:hint="default" w:ascii="Times New Roman" w:hAnsi="Times New Roman" w:eastAsia="宋体" w:cs="Times New Roman"/>
          <w:b/>
          <w:i w:val="0"/>
          <w:caps w:val="0"/>
          <w:color w:val="000000"/>
          <w:spacing w:val="0"/>
          <w:kern w:val="0"/>
          <w:sz w:val="24"/>
          <w:szCs w:val="24"/>
          <w:highlight w:val="none"/>
          <w:lang w:val="en-US" w:eastAsia="zh-CN" w:bidi="ar"/>
        </w:rPr>
        <w:t>表5-2　按登记注册统计类别分组的科学研究和技术服务业</w:t>
      </w:r>
    </w:p>
    <w:p w14:paraId="2DFFAC5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center"/>
        <w:textAlignment w:val="auto"/>
        <w:rPr>
          <w:rFonts w:hint="default" w:ascii="Times New Roman" w:hAnsi="Times New Roman" w:eastAsia="宋体" w:cs="Times New Roman"/>
          <w:b/>
          <w:i w:val="0"/>
          <w:caps w:val="0"/>
          <w:color w:val="000000"/>
          <w:spacing w:val="0"/>
          <w:kern w:val="0"/>
          <w:sz w:val="24"/>
          <w:szCs w:val="24"/>
          <w:highlight w:val="none"/>
          <w:lang w:val="en-US" w:eastAsia="zh-CN" w:bidi="ar"/>
        </w:rPr>
      </w:pPr>
      <w:r>
        <w:rPr>
          <w:rFonts w:hint="default" w:ascii="Times New Roman" w:hAnsi="Times New Roman" w:eastAsia="宋体" w:cs="Times New Roman"/>
          <w:b/>
          <w:i w:val="0"/>
          <w:caps w:val="0"/>
          <w:color w:val="000000"/>
          <w:spacing w:val="0"/>
          <w:kern w:val="0"/>
          <w:sz w:val="24"/>
          <w:szCs w:val="24"/>
          <w:highlight w:val="none"/>
          <w:lang w:val="en-US" w:eastAsia="zh-CN" w:bidi="ar"/>
        </w:rPr>
        <w:t>企业法人单位数和从业人员</w:t>
      </w:r>
    </w:p>
    <w:tbl>
      <w:tblPr>
        <w:tblStyle w:val="12"/>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415"/>
        <w:gridCol w:w="2988"/>
        <w:gridCol w:w="2437"/>
      </w:tblGrid>
      <w:tr w14:paraId="1313BFD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94" w:hRule="atLeast"/>
          <w:jc w:val="center"/>
        </w:trPr>
        <w:tc>
          <w:tcPr>
            <w:tcW w:w="1931" w:type="pct"/>
            <w:tcBorders>
              <w:top w:val="single" w:color="auto" w:sz="12" w:space="0"/>
              <w:left w:val="nil"/>
              <w:bottom w:val="single" w:color="auto" w:sz="4" w:space="0"/>
              <w:right w:val="single" w:color="auto" w:sz="4" w:space="0"/>
            </w:tcBorders>
            <w:noWrap w:val="0"/>
            <w:vAlign w:val="center"/>
          </w:tcPr>
          <w:p w14:paraId="57C66A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57" w:right="57" w:firstLine="0" w:firstLineChars="0"/>
              <w:jc w:val="center"/>
              <w:textAlignment w:val="auto"/>
              <w:rPr>
                <w:rFonts w:hint="default" w:ascii="Times New Roman" w:hAnsi="Times New Roman" w:eastAsia="宋体" w:cs="Times New Roman"/>
                <w:color w:val="000000"/>
                <w:spacing w:val="0"/>
                <w:sz w:val="21"/>
                <w:szCs w:val="21"/>
                <w:highlight w:val="none"/>
              </w:rPr>
            </w:pPr>
          </w:p>
        </w:tc>
        <w:tc>
          <w:tcPr>
            <w:tcW w:w="1689" w:type="pct"/>
            <w:tcBorders>
              <w:top w:val="single" w:color="auto" w:sz="12" w:space="0"/>
              <w:left w:val="single" w:color="auto" w:sz="4" w:space="0"/>
              <w:bottom w:val="single" w:color="auto" w:sz="4" w:space="0"/>
              <w:right w:val="single" w:color="auto" w:sz="4" w:space="0"/>
            </w:tcBorders>
            <w:noWrap w:val="0"/>
            <w:vAlign w:val="center"/>
          </w:tcPr>
          <w:p w14:paraId="77040E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57" w:right="57" w:firstLine="0" w:firstLineChars="0"/>
              <w:jc w:val="center"/>
              <w:textAlignment w:val="auto"/>
              <w:rPr>
                <w:rFonts w:hint="default" w:ascii="Times New Roman" w:hAnsi="Times New Roman" w:eastAsia="宋体" w:cs="Times New Roman"/>
                <w:b/>
                <w:bCs/>
                <w:color w:val="000000"/>
                <w:spacing w:val="0"/>
                <w:kern w:val="0"/>
                <w:sz w:val="21"/>
                <w:szCs w:val="21"/>
                <w:highlight w:val="none"/>
                <w:lang w:val="en-US" w:eastAsia="zh-CN" w:bidi="ar"/>
              </w:rPr>
            </w:pPr>
            <w:r>
              <w:rPr>
                <w:rFonts w:hint="default" w:ascii="Times New Roman" w:hAnsi="Times New Roman" w:eastAsia="宋体" w:cs="Times New Roman"/>
                <w:b/>
                <w:bCs/>
                <w:color w:val="000000"/>
                <w:spacing w:val="0"/>
                <w:kern w:val="0"/>
                <w:sz w:val="21"/>
                <w:szCs w:val="21"/>
                <w:highlight w:val="none"/>
                <w:lang w:val="en-US" w:eastAsia="zh-CN" w:bidi="ar"/>
              </w:rPr>
              <w:t>企业法人单位</w:t>
            </w:r>
          </w:p>
          <w:p w14:paraId="4806A6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57" w:right="57" w:firstLine="0" w:firstLineChars="0"/>
              <w:jc w:val="center"/>
              <w:textAlignment w:val="auto"/>
              <w:rPr>
                <w:rFonts w:hint="default" w:ascii="Times New Roman" w:hAnsi="Times New Roman" w:eastAsia="宋体" w:cs="Times New Roman"/>
                <w:b/>
                <w:bCs/>
                <w:color w:val="000000"/>
                <w:spacing w:val="0"/>
                <w:sz w:val="21"/>
                <w:szCs w:val="21"/>
                <w:highlight w:val="none"/>
              </w:rPr>
            </w:pPr>
            <w:r>
              <w:rPr>
                <w:rFonts w:hint="default" w:ascii="Times New Roman" w:hAnsi="Times New Roman" w:eastAsia="宋体" w:cs="Times New Roman"/>
                <w:b/>
                <w:bCs/>
                <w:color w:val="000000"/>
                <w:spacing w:val="0"/>
                <w:kern w:val="0"/>
                <w:sz w:val="21"/>
                <w:szCs w:val="21"/>
                <w:highlight w:val="none"/>
                <w:lang w:val="en-US" w:eastAsia="zh-CN" w:bidi="ar"/>
              </w:rPr>
              <w:t>（个）</w:t>
            </w:r>
          </w:p>
        </w:tc>
        <w:tc>
          <w:tcPr>
            <w:tcW w:w="1378" w:type="pct"/>
            <w:tcBorders>
              <w:top w:val="single" w:color="auto" w:sz="12" w:space="0"/>
              <w:left w:val="single" w:color="auto" w:sz="4" w:space="0"/>
              <w:bottom w:val="single" w:color="auto" w:sz="4" w:space="0"/>
              <w:right w:val="nil"/>
            </w:tcBorders>
            <w:noWrap w:val="0"/>
            <w:vAlign w:val="center"/>
          </w:tcPr>
          <w:p w14:paraId="18F449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57" w:right="57" w:firstLine="0" w:firstLineChars="0"/>
              <w:jc w:val="center"/>
              <w:textAlignment w:val="auto"/>
              <w:rPr>
                <w:rFonts w:hint="default" w:ascii="Times New Roman" w:hAnsi="Times New Roman" w:eastAsia="宋体" w:cs="Times New Roman"/>
                <w:b/>
                <w:bCs/>
                <w:color w:val="000000"/>
                <w:spacing w:val="0"/>
                <w:kern w:val="0"/>
                <w:sz w:val="21"/>
                <w:szCs w:val="21"/>
                <w:highlight w:val="none"/>
                <w:lang w:val="en-US" w:eastAsia="zh-CN" w:bidi="ar"/>
              </w:rPr>
            </w:pPr>
            <w:r>
              <w:rPr>
                <w:rFonts w:hint="default" w:ascii="Times New Roman" w:hAnsi="Times New Roman" w:eastAsia="宋体" w:cs="Times New Roman"/>
                <w:b/>
                <w:bCs/>
                <w:color w:val="000000"/>
                <w:spacing w:val="0"/>
                <w:kern w:val="0"/>
                <w:sz w:val="21"/>
                <w:szCs w:val="21"/>
                <w:highlight w:val="none"/>
                <w:lang w:val="en-US" w:eastAsia="zh-CN" w:bidi="ar"/>
              </w:rPr>
              <w:t>从业人员</w:t>
            </w:r>
          </w:p>
          <w:p w14:paraId="1FA2D5C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57" w:right="57" w:firstLine="0" w:firstLineChars="0"/>
              <w:jc w:val="center"/>
              <w:textAlignment w:val="auto"/>
              <w:rPr>
                <w:rFonts w:hint="default" w:ascii="Times New Roman" w:hAnsi="Times New Roman" w:eastAsia="宋体" w:cs="Times New Roman"/>
                <w:b/>
                <w:bCs/>
                <w:color w:val="000000"/>
                <w:spacing w:val="0"/>
                <w:sz w:val="21"/>
                <w:szCs w:val="21"/>
                <w:highlight w:val="none"/>
              </w:rPr>
            </w:pPr>
            <w:r>
              <w:rPr>
                <w:rFonts w:hint="default" w:ascii="Times New Roman" w:hAnsi="Times New Roman" w:eastAsia="宋体" w:cs="Times New Roman"/>
                <w:b/>
                <w:bCs/>
                <w:color w:val="000000"/>
                <w:spacing w:val="0"/>
                <w:kern w:val="0"/>
                <w:sz w:val="21"/>
                <w:szCs w:val="21"/>
                <w:highlight w:val="none"/>
                <w:lang w:val="en-US" w:eastAsia="zh-CN" w:bidi="ar"/>
              </w:rPr>
              <w:t>（人）</w:t>
            </w:r>
          </w:p>
        </w:tc>
      </w:tr>
      <w:tr w14:paraId="37B1C71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20" w:hRule="atLeast"/>
          <w:jc w:val="center"/>
        </w:trPr>
        <w:tc>
          <w:tcPr>
            <w:tcW w:w="1931" w:type="pct"/>
            <w:tcBorders>
              <w:top w:val="single" w:color="auto" w:sz="4" w:space="0"/>
              <w:left w:val="nil"/>
              <w:bottom w:val="nil"/>
              <w:right w:val="single" w:color="auto" w:sz="4" w:space="0"/>
            </w:tcBorders>
            <w:noWrap w:val="0"/>
            <w:vAlign w:val="center"/>
          </w:tcPr>
          <w:p w14:paraId="51C417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right="57" w:firstLine="0" w:firstLineChars="0"/>
              <w:jc w:val="center"/>
              <w:textAlignment w:val="auto"/>
              <w:rPr>
                <w:rFonts w:hint="default" w:ascii="Times New Roman" w:hAnsi="Times New Roman" w:eastAsia="宋体" w:cs="Times New Roman"/>
                <w:color w:val="000000"/>
                <w:spacing w:val="0"/>
                <w:sz w:val="21"/>
                <w:szCs w:val="21"/>
                <w:highlight w:val="none"/>
              </w:rPr>
            </w:pPr>
            <w:r>
              <w:rPr>
                <w:rFonts w:hint="default" w:ascii="Times New Roman" w:hAnsi="Times New Roman" w:eastAsia="宋体" w:cs="Times New Roman"/>
                <w:b/>
                <w:color w:val="000000"/>
                <w:spacing w:val="0"/>
                <w:kern w:val="0"/>
                <w:sz w:val="21"/>
                <w:szCs w:val="21"/>
                <w:highlight w:val="none"/>
                <w:lang w:val="en-US" w:eastAsia="zh-CN" w:bidi="ar"/>
              </w:rPr>
              <w:t>合　计</w:t>
            </w:r>
          </w:p>
        </w:tc>
        <w:tc>
          <w:tcPr>
            <w:tcW w:w="1689" w:type="pct"/>
            <w:tcBorders>
              <w:top w:val="single" w:color="auto" w:sz="4" w:space="0"/>
              <w:left w:val="single" w:color="auto" w:sz="4" w:space="0"/>
              <w:bottom w:val="nil"/>
              <w:right w:val="single" w:color="auto" w:sz="4" w:space="0"/>
            </w:tcBorders>
            <w:shd w:val="clear" w:color="auto" w:fill="auto"/>
            <w:noWrap w:val="0"/>
            <w:vAlign w:val="center"/>
          </w:tcPr>
          <w:p w14:paraId="1B9A57E6">
            <w:pPr>
              <w:keepNext w:val="0"/>
              <w:keepLines w:val="0"/>
              <w:widowControl/>
              <w:suppressLineNumbers w:val="0"/>
              <w:jc w:val="right"/>
              <w:textAlignment w:val="center"/>
              <w:rPr>
                <w:rFonts w:hint="default" w:ascii="Times New Roman" w:hAnsi="Times New Roman" w:eastAsia="宋体" w:cs="Times New Roman"/>
                <w:b/>
                <w:bCs/>
                <w:i w:val="0"/>
                <w:iCs w:val="0"/>
                <w:color w:val="000000"/>
                <w:spacing w:val="0"/>
                <w:kern w:val="2"/>
                <w:sz w:val="22"/>
                <w:szCs w:val="22"/>
                <w:u w:val="none"/>
                <w:lang w:val="en" w:eastAsia="zh-CN" w:bidi="ar-SA"/>
              </w:rPr>
            </w:pPr>
            <w:r>
              <w:rPr>
                <w:rFonts w:hint="default" w:ascii="Times New Roman" w:hAnsi="Times New Roman" w:eastAsia="宋体" w:cs="Times New Roman"/>
                <w:b/>
                <w:bCs/>
                <w:i w:val="0"/>
                <w:iCs w:val="0"/>
                <w:color w:val="000000"/>
                <w:spacing w:val="0"/>
                <w:kern w:val="0"/>
                <w:sz w:val="22"/>
                <w:szCs w:val="22"/>
                <w:u w:val="none"/>
                <w:lang w:val="en-US" w:eastAsia="zh-CN" w:bidi="ar"/>
              </w:rPr>
              <w:t xml:space="preserve">149 </w:t>
            </w:r>
          </w:p>
        </w:tc>
        <w:tc>
          <w:tcPr>
            <w:tcW w:w="1378" w:type="pct"/>
            <w:tcBorders>
              <w:top w:val="single" w:color="auto" w:sz="4" w:space="0"/>
              <w:left w:val="single" w:color="auto" w:sz="4" w:space="0"/>
              <w:bottom w:val="nil"/>
              <w:right w:val="nil"/>
            </w:tcBorders>
            <w:shd w:val="clear" w:color="auto" w:fill="auto"/>
            <w:noWrap w:val="0"/>
            <w:vAlign w:val="center"/>
          </w:tcPr>
          <w:p w14:paraId="6C25EAC0">
            <w:pPr>
              <w:keepNext w:val="0"/>
              <w:keepLines w:val="0"/>
              <w:widowControl/>
              <w:suppressLineNumbers w:val="0"/>
              <w:jc w:val="right"/>
              <w:textAlignment w:val="center"/>
              <w:rPr>
                <w:rFonts w:hint="default" w:ascii="Times New Roman" w:hAnsi="Times New Roman" w:eastAsia="宋体" w:cs="Times New Roman"/>
                <w:b/>
                <w:bCs/>
                <w:i w:val="0"/>
                <w:iCs w:val="0"/>
                <w:color w:val="000000"/>
                <w:spacing w:val="0"/>
                <w:kern w:val="2"/>
                <w:sz w:val="22"/>
                <w:szCs w:val="22"/>
                <w:u w:val="none"/>
                <w:lang w:val="en" w:eastAsia="zh-CN" w:bidi="ar-SA"/>
              </w:rPr>
            </w:pPr>
            <w:r>
              <w:rPr>
                <w:rFonts w:hint="default" w:ascii="Times New Roman" w:hAnsi="Times New Roman" w:eastAsia="宋体" w:cs="Times New Roman"/>
                <w:b/>
                <w:bCs/>
                <w:i w:val="0"/>
                <w:iCs w:val="0"/>
                <w:color w:val="000000"/>
                <w:spacing w:val="0"/>
                <w:kern w:val="0"/>
                <w:sz w:val="22"/>
                <w:szCs w:val="22"/>
                <w:u w:val="none"/>
                <w:lang w:val="en-US" w:eastAsia="zh-CN" w:bidi="ar"/>
              </w:rPr>
              <w:t xml:space="preserve">1174 </w:t>
            </w:r>
          </w:p>
        </w:tc>
      </w:tr>
      <w:tr w14:paraId="09D1394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20" w:hRule="atLeast"/>
          <w:jc w:val="center"/>
        </w:trPr>
        <w:tc>
          <w:tcPr>
            <w:tcW w:w="1931" w:type="pct"/>
            <w:tcBorders>
              <w:top w:val="nil"/>
              <w:left w:val="nil"/>
              <w:bottom w:val="nil"/>
              <w:right w:val="single" w:color="auto" w:sz="4" w:space="0"/>
            </w:tcBorders>
            <w:noWrap w:val="0"/>
            <w:vAlign w:val="center"/>
          </w:tcPr>
          <w:p w14:paraId="34C5A8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right="57" w:firstLine="0" w:firstLineChars="0"/>
              <w:jc w:val="left"/>
              <w:textAlignment w:val="auto"/>
              <w:rPr>
                <w:rFonts w:hint="default" w:ascii="Times New Roman" w:hAnsi="Times New Roman" w:eastAsia="宋体" w:cs="Times New Roman"/>
                <w:b w:val="0"/>
                <w:bCs/>
                <w:color w:val="000000"/>
                <w:spacing w:val="0"/>
                <w:sz w:val="21"/>
                <w:szCs w:val="21"/>
                <w:highlight w:val="none"/>
              </w:rPr>
            </w:pPr>
            <w:r>
              <w:rPr>
                <w:rFonts w:hint="default" w:ascii="Times New Roman" w:hAnsi="Times New Roman" w:eastAsia="宋体" w:cs="Times New Roman"/>
                <w:b w:val="0"/>
                <w:bCs/>
                <w:color w:val="000000"/>
                <w:spacing w:val="0"/>
                <w:kern w:val="0"/>
                <w:sz w:val="21"/>
                <w:szCs w:val="21"/>
                <w:highlight w:val="none"/>
                <w:lang w:val="en-US" w:eastAsia="zh-CN" w:bidi="ar"/>
              </w:rPr>
              <w:t>内资企业</w:t>
            </w:r>
          </w:p>
        </w:tc>
        <w:tc>
          <w:tcPr>
            <w:tcW w:w="1689" w:type="pct"/>
            <w:tcBorders>
              <w:top w:val="nil"/>
              <w:left w:val="single" w:color="auto" w:sz="4" w:space="0"/>
              <w:bottom w:val="nil"/>
              <w:right w:val="single" w:color="auto" w:sz="4" w:space="0"/>
            </w:tcBorders>
            <w:shd w:val="clear" w:color="auto" w:fill="auto"/>
            <w:noWrap w:val="0"/>
            <w:vAlign w:val="center"/>
          </w:tcPr>
          <w:p w14:paraId="06A4F381">
            <w:pPr>
              <w:keepNext w:val="0"/>
              <w:keepLines w:val="0"/>
              <w:widowControl/>
              <w:suppressLineNumbers w:val="0"/>
              <w:jc w:val="right"/>
              <w:textAlignment w:val="center"/>
              <w:rPr>
                <w:rFonts w:hint="default" w:ascii="Times New Roman" w:hAnsi="Times New Roman" w:eastAsia="宋体" w:cs="Times New Roman"/>
                <w:i w:val="0"/>
                <w:iCs w:val="0"/>
                <w:color w:val="000000"/>
                <w:spacing w:val="0"/>
                <w:kern w:val="2"/>
                <w:sz w:val="22"/>
                <w:szCs w:val="22"/>
                <w:u w:val="none"/>
                <w:lang w:val="en-US" w:eastAsia="zh-CN" w:bidi="ar-SA"/>
              </w:rPr>
            </w:pPr>
            <w:r>
              <w:rPr>
                <w:rFonts w:hint="default" w:ascii="Times New Roman" w:hAnsi="Times New Roman" w:eastAsia="宋体" w:cs="Times New Roman"/>
                <w:i w:val="0"/>
                <w:iCs w:val="0"/>
                <w:color w:val="000000"/>
                <w:spacing w:val="0"/>
                <w:kern w:val="0"/>
                <w:sz w:val="22"/>
                <w:szCs w:val="22"/>
                <w:u w:val="none"/>
                <w:lang w:val="en-US" w:eastAsia="zh-CN" w:bidi="ar"/>
              </w:rPr>
              <w:t xml:space="preserve">145 </w:t>
            </w:r>
          </w:p>
        </w:tc>
        <w:tc>
          <w:tcPr>
            <w:tcW w:w="1378" w:type="pct"/>
            <w:tcBorders>
              <w:top w:val="nil"/>
              <w:left w:val="single" w:color="auto" w:sz="4" w:space="0"/>
              <w:bottom w:val="nil"/>
              <w:right w:val="nil"/>
            </w:tcBorders>
            <w:shd w:val="clear" w:color="auto" w:fill="auto"/>
            <w:noWrap w:val="0"/>
            <w:vAlign w:val="center"/>
          </w:tcPr>
          <w:p w14:paraId="44187A2A">
            <w:pPr>
              <w:keepNext w:val="0"/>
              <w:keepLines w:val="0"/>
              <w:widowControl/>
              <w:suppressLineNumbers w:val="0"/>
              <w:jc w:val="right"/>
              <w:textAlignment w:val="center"/>
              <w:rPr>
                <w:rFonts w:hint="default" w:ascii="Times New Roman" w:hAnsi="Times New Roman" w:eastAsia="宋体" w:cs="Times New Roman"/>
                <w:i w:val="0"/>
                <w:iCs w:val="0"/>
                <w:color w:val="000000"/>
                <w:spacing w:val="0"/>
                <w:kern w:val="2"/>
                <w:sz w:val="22"/>
                <w:szCs w:val="22"/>
                <w:u w:val="none"/>
                <w:lang w:val="en-US" w:eastAsia="zh-CN" w:bidi="ar-SA"/>
              </w:rPr>
            </w:pPr>
            <w:r>
              <w:rPr>
                <w:rFonts w:hint="default" w:ascii="Times New Roman" w:hAnsi="Times New Roman" w:cs="Times New Roman"/>
                <w:i w:val="0"/>
                <w:iCs w:val="0"/>
                <w:color w:val="000000"/>
                <w:spacing w:val="0"/>
                <w:kern w:val="0"/>
                <w:sz w:val="22"/>
                <w:szCs w:val="22"/>
                <w:u w:val="none"/>
                <w:lang w:val="en-US" w:eastAsia="zh-CN" w:bidi="ar"/>
              </w:rPr>
              <w:t>1154</w:t>
            </w:r>
            <w:r>
              <w:rPr>
                <w:rFonts w:hint="default" w:ascii="Times New Roman" w:hAnsi="Times New Roman" w:eastAsia="宋体" w:cs="Times New Roman"/>
                <w:i w:val="0"/>
                <w:iCs w:val="0"/>
                <w:color w:val="000000"/>
                <w:spacing w:val="0"/>
                <w:kern w:val="0"/>
                <w:sz w:val="22"/>
                <w:szCs w:val="22"/>
                <w:u w:val="none"/>
                <w:lang w:val="en-US" w:eastAsia="zh-CN" w:bidi="ar"/>
              </w:rPr>
              <w:t xml:space="preserve"> </w:t>
            </w:r>
          </w:p>
        </w:tc>
      </w:tr>
      <w:tr w14:paraId="5AC72D2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20" w:hRule="atLeast"/>
          <w:jc w:val="center"/>
        </w:trPr>
        <w:tc>
          <w:tcPr>
            <w:tcW w:w="1931" w:type="pct"/>
            <w:tcBorders>
              <w:top w:val="nil"/>
              <w:left w:val="nil"/>
              <w:bottom w:val="single" w:color="auto" w:sz="12" w:space="0"/>
              <w:right w:val="single" w:color="auto" w:sz="4" w:space="0"/>
            </w:tcBorders>
            <w:noWrap w:val="0"/>
            <w:vAlign w:val="center"/>
          </w:tcPr>
          <w:p w14:paraId="4B5DC5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right="57" w:rightChars="0" w:firstLine="0" w:firstLineChars="0"/>
              <w:jc w:val="left"/>
              <w:textAlignment w:val="auto"/>
              <w:rPr>
                <w:rFonts w:hint="default" w:ascii="Times New Roman" w:hAnsi="Times New Roman" w:eastAsia="宋体" w:cs="Times New Roman"/>
                <w:b w:val="0"/>
                <w:bCs/>
                <w:color w:val="000000"/>
                <w:spacing w:val="0"/>
                <w:kern w:val="0"/>
                <w:sz w:val="21"/>
                <w:szCs w:val="21"/>
                <w:highlight w:val="none"/>
                <w:lang w:val="en-US" w:eastAsia="zh-CN" w:bidi="ar"/>
              </w:rPr>
            </w:pPr>
            <w:r>
              <w:rPr>
                <w:rFonts w:hint="default" w:ascii="Times New Roman" w:hAnsi="Times New Roman" w:eastAsia="宋体" w:cs="Times New Roman"/>
                <w:b w:val="0"/>
                <w:bCs/>
                <w:color w:val="000000"/>
                <w:spacing w:val="0"/>
                <w:kern w:val="0"/>
                <w:sz w:val="21"/>
                <w:szCs w:val="21"/>
                <w:highlight w:val="none"/>
                <w:lang w:val="en-US" w:eastAsia="zh-CN" w:bidi="ar"/>
              </w:rPr>
              <w:t>其他统计类别</w:t>
            </w:r>
          </w:p>
        </w:tc>
        <w:tc>
          <w:tcPr>
            <w:tcW w:w="1689" w:type="pct"/>
            <w:tcBorders>
              <w:top w:val="nil"/>
              <w:left w:val="single" w:color="auto" w:sz="4" w:space="0"/>
              <w:bottom w:val="single" w:color="auto" w:sz="12" w:space="0"/>
              <w:right w:val="single" w:color="auto" w:sz="4" w:space="0"/>
            </w:tcBorders>
            <w:shd w:val="clear" w:color="auto" w:fill="auto"/>
            <w:noWrap w:val="0"/>
            <w:vAlign w:val="center"/>
          </w:tcPr>
          <w:p w14:paraId="36F125BA">
            <w:pPr>
              <w:keepNext w:val="0"/>
              <w:keepLines w:val="0"/>
              <w:widowControl/>
              <w:suppressLineNumbers w:val="0"/>
              <w:jc w:val="right"/>
              <w:textAlignment w:val="center"/>
              <w:rPr>
                <w:rFonts w:hint="default" w:ascii="Times New Roman" w:hAnsi="Times New Roman" w:eastAsia="宋体" w:cs="Times New Roman"/>
                <w:i w:val="0"/>
                <w:iCs w:val="0"/>
                <w:color w:val="000000"/>
                <w:spacing w:val="0"/>
                <w:kern w:val="2"/>
                <w:sz w:val="22"/>
                <w:szCs w:val="22"/>
                <w:u w:val="none"/>
                <w:lang w:val="en-US" w:eastAsia="zh-CN" w:bidi="ar-SA"/>
              </w:rPr>
            </w:pPr>
            <w:r>
              <w:rPr>
                <w:rFonts w:hint="default" w:ascii="Times New Roman" w:hAnsi="Times New Roman" w:eastAsia="宋体" w:cs="Times New Roman"/>
                <w:i w:val="0"/>
                <w:iCs w:val="0"/>
                <w:color w:val="000000"/>
                <w:spacing w:val="0"/>
                <w:kern w:val="0"/>
                <w:sz w:val="22"/>
                <w:szCs w:val="22"/>
                <w:u w:val="none"/>
                <w:lang w:val="en-US" w:eastAsia="zh-CN" w:bidi="ar"/>
              </w:rPr>
              <w:t xml:space="preserve">4 </w:t>
            </w:r>
          </w:p>
        </w:tc>
        <w:tc>
          <w:tcPr>
            <w:tcW w:w="1378" w:type="pct"/>
            <w:tcBorders>
              <w:top w:val="nil"/>
              <w:left w:val="single" w:color="auto" w:sz="4" w:space="0"/>
              <w:bottom w:val="single" w:color="auto" w:sz="12" w:space="0"/>
              <w:right w:val="nil"/>
            </w:tcBorders>
            <w:noWrap w:val="0"/>
            <w:vAlign w:val="center"/>
          </w:tcPr>
          <w:p w14:paraId="281A8F8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Times New Roman"/>
                <w:color w:val="000000"/>
                <w:spacing w:val="0"/>
                <w:kern w:val="2"/>
                <w:sz w:val="21"/>
                <w:szCs w:val="21"/>
                <w:highlight w:val="none"/>
                <w:lang w:val="en-US" w:eastAsia="zh-CN" w:bidi="ar-SA"/>
              </w:rPr>
            </w:pPr>
            <w:r>
              <w:rPr>
                <w:rFonts w:hint="default" w:ascii="Times New Roman" w:hAnsi="Times New Roman" w:cs="Times New Roman"/>
                <w:color w:val="000000"/>
                <w:spacing w:val="0"/>
                <w:kern w:val="2"/>
                <w:sz w:val="21"/>
                <w:szCs w:val="21"/>
                <w:highlight w:val="none"/>
                <w:lang w:val="en-US" w:eastAsia="zh-CN" w:bidi="ar-SA"/>
              </w:rPr>
              <w:t>20</w:t>
            </w:r>
          </w:p>
        </w:tc>
      </w:tr>
    </w:tbl>
    <w:p w14:paraId="6C2E99A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outlineLvl w:val="2"/>
        <w:rPr>
          <w:rFonts w:hint="default" w:ascii="Times New Roman" w:hAnsi="Times New Roman" w:eastAsia="楷体_GB2312" w:cs="Times New Roman"/>
          <w:b/>
          <w:bCs/>
          <w:color w:val="000000"/>
          <w:spacing w:val="0"/>
          <w:kern w:val="2"/>
          <w:sz w:val="32"/>
          <w:szCs w:val="32"/>
          <w:u w:val="none"/>
          <w:lang w:val="en-US" w:eastAsia="zh-CN" w:bidi="ar-SA"/>
        </w:rPr>
      </w:pPr>
      <w:r>
        <w:rPr>
          <w:rFonts w:hint="default" w:ascii="Times New Roman" w:hAnsi="Times New Roman" w:eastAsia="楷体_GB2312" w:cs="Times New Roman"/>
          <w:b/>
          <w:bCs/>
          <w:color w:val="000000"/>
          <w:spacing w:val="0"/>
          <w:kern w:val="2"/>
          <w:sz w:val="32"/>
          <w:szCs w:val="32"/>
          <w:u w:val="none"/>
          <w:lang w:val="en-US" w:eastAsia="zh-CN" w:bidi="ar-SA"/>
        </w:rPr>
        <w:t>（二）主要经济指标</w:t>
      </w:r>
    </w:p>
    <w:p w14:paraId="18FF46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spacing w:val="0"/>
          <w:kern w:val="2"/>
          <w:sz w:val="32"/>
          <w:szCs w:val="32"/>
          <w:u w:val="none"/>
          <w:lang w:val="en-US" w:eastAsia="zh-CN" w:bidi="ar-SA"/>
        </w:rPr>
      </w:pPr>
      <w:r>
        <w:rPr>
          <w:rFonts w:hint="default" w:ascii="Times New Roman" w:hAnsi="Times New Roman" w:eastAsia="仿宋_GB2312" w:cs="Times New Roman"/>
          <w:color w:val="000000"/>
          <w:spacing w:val="0"/>
          <w:kern w:val="2"/>
          <w:sz w:val="32"/>
          <w:szCs w:val="32"/>
          <w:u w:val="none"/>
          <w:lang w:val="en-US" w:eastAsia="zh-CN" w:bidi="ar-SA"/>
        </w:rPr>
        <w:t>2023年末，全区科学研究和技术服务业企业法人单位资产总计26231.6万元；负债合计3672.9万元。</w:t>
      </w:r>
    </w:p>
    <w:p w14:paraId="6551BA5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spacing w:val="0"/>
          <w:kern w:val="2"/>
          <w:sz w:val="32"/>
          <w:szCs w:val="32"/>
          <w:u w:val="none"/>
          <w:lang w:val="en-US" w:eastAsia="zh-CN" w:bidi="ar-SA"/>
        </w:rPr>
      </w:pPr>
      <w:r>
        <w:rPr>
          <w:rFonts w:hint="default" w:ascii="Times New Roman" w:hAnsi="Times New Roman" w:eastAsia="仿宋_GB2312" w:cs="Times New Roman"/>
          <w:color w:val="000000"/>
          <w:spacing w:val="0"/>
          <w:kern w:val="2"/>
          <w:sz w:val="32"/>
          <w:szCs w:val="32"/>
          <w:u w:val="none"/>
          <w:lang w:val="en-US" w:eastAsia="zh-CN" w:bidi="ar-SA"/>
        </w:rPr>
        <w:t>2023年，全区科学研究和技术服务业企业法人单位全年实现营业收入41615.7万元（详见表5-3）。</w:t>
      </w:r>
    </w:p>
    <w:p w14:paraId="78EEFD7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Autospacing="0" w:line="320" w:lineRule="exact"/>
        <w:ind w:left="0" w:right="0" w:firstLine="0" w:firstLineChars="0"/>
        <w:jc w:val="center"/>
        <w:textAlignment w:val="auto"/>
        <w:rPr>
          <w:rFonts w:hint="default" w:ascii="Times New Roman" w:hAnsi="Times New Roman" w:eastAsia="宋体" w:cs="Times New Roman"/>
          <w:b/>
          <w:i w:val="0"/>
          <w:caps w:val="0"/>
          <w:color w:val="000000"/>
          <w:spacing w:val="0"/>
          <w:kern w:val="0"/>
          <w:sz w:val="24"/>
          <w:szCs w:val="24"/>
          <w:highlight w:val="none"/>
          <w:lang w:val="en-US" w:eastAsia="zh-CN" w:bidi="ar"/>
        </w:rPr>
      </w:pPr>
      <w:r>
        <w:rPr>
          <w:rFonts w:hint="default" w:ascii="Times New Roman" w:hAnsi="Times New Roman" w:eastAsia="宋体" w:cs="Times New Roman"/>
          <w:b/>
          <w:i w:val="0"/>
          <w:caps w:val="0"/>
          <w:color w:val="000000"/>
          <w:spacing w:val="0"/>
          <w:kern w:val="0"/>
          <w:sz w:val="24"/>
          <w:szCs w:val="24"/>
          <w:highlight w:val="none"/>
          <w:lang w:val="en-US" w:eastAsia="zh-CN" w:bidi="ar"/>
        </w:rPr>
        <w:t>表5-3　按行业大类分组的科学研究和技术服务业</w:t>
      </w:r>
    </w:p>
    <w:p w14:paraId="54A1CEC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center"/>
        <w:textAlignment w:val="auto"/>
        <w:rPr>
          <w:rFonts w:hint="default" w:ascii="Times New Roman" w:hAnsi="Times New Roman" w:eastAsia="宋体" w:cs="Times New Roman"/>
          <w:b/>
          <w:i w:val="0"/>
          <w:caps w:val="0"/>
          <w:color w:val="000000"/>
          <w:spacing w:val="0"/>
          <w:kern w:val="0"/>
          <w:sz w:val="24"/>
          <w:szCs w:val="24"/>
          <w:highlight w:val="none"/>
          <w:lang w:val="en-US" w:eastAsia="zh-CN" w:bidi="ar"/>
        </w:rPr>
      </w:pPr>
      <w:r>
        <w:rPr>
          <w:rFonts w:hint="default" w:ascii="Times New Roman" w:hAnsi="Times New Roman" w:eastAsia="宋体" w:cs="Times New Roman"/>
          <w:b/>
          <w:i w:val="0"/>
          <w:caps w:val="0"/>
          <w:color w:val="000000"/>
          <w:spacing w:val="0"/>
          <w:kern w:val="0"/>
          <w:sz w:val="24"/>
          <w:szCs w:val="24"/>
          <w:highlight w:val="none"/>
          <w:lang w:val="en-US" w:eastAsia="zh-CN" w:bidi="ar"/>
        </w:rPr>
        <w:t>企业法人单位主要经济指标</w:t>
      </w:r>
    </w:p>
    <w:tbl>
      <w:tblPr>
        <w:tblStyle w:val="12"/>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4041"/>
        <w:gridCol w:w="1564"/>
        <w:gridCol w:w="1564"/>
        <w:gridCol w:w="1563"/>
      </w:tblGrid>
      <w:tr w14:paraId="0480206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94" w:hRule="atLeast"/>
          <w:jc w:val="center"/>
        </w:trPr>
        <w:tc>
          <w:tcPr>
            <w:tcW w:w="4041" w:type="dxa"/>
            <w:tcBorders>
              <w:top w:val="single" w:color="auto" w:sz="12" w:space="0"/>
              <w:left w:val="nil"/>
              <w:bottom w:val="single" w:color="auto" w:sz="4" w:space="0"/>
              <w:right w:val="single" w:color="auto" w:sz="4" w:space="0"/>
            </w:tcBorders>
            <w:noWrap w:val="0"/>
            <w:vAlign w:val="center"/>
          </w:tcPr>
          <w:p w14:paraId="21513C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color w:val="000000"/>
                <w:spacing w:val="0"/>
                <w:sz w:val="21"/>
                <w:szCs w:val="21"/>
                <w:highlight w:val="none"/>
              </w:rPr>
            </w:pPr>
          </w:p>
        </w:tc>
        <w:tc>
          <w:tcPr>
            <w:tcW w:w="1564" w:type="dxa"/>
            <w:tcBorders>
              <w:top w:val="single" w:color="auto" w:sz="12" w:space="0"/>
              <w:left w:val="single" w:color="auto" w:sz="4" w:space="0"/>
              <w:bottom w:val="single" w:color="auto" w:sz="4" w:space="0"/>
              <w:right w:val="single" w:color="auto" w:sz="4" w:space="0"/>
            </w:tcBorders>
            <w:noWrap w:val="0"/>
            <w:vAlign w:val="center"/>
          </w:tcPr>
          <w:p w14:paraId="60CF07E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b/>
                <w:bCs/>
                <w:color w:val="000000"/>
                <w:spacing w:val="0"/>
                <w:sz w:val="21"/>
                <w:szCs w:val="21"/>
                <w:highlight w:val="none"/>
              </w:rPr>
            </w:pPr>
            <w:r>
              <w:rPr>
                <w:rFonts w:hint="default" w:ascii="Times New Roman" w:hAnsi="Times New Roman" w:eastAsia="宋体" w:cs="Times New Roman"/>
                <w:b/>
                <w:bCs/>
                <w:color w:val="000000"/>
                <w:spacing w:val="0"/>
                <w:kern w:val="0"/>
                <w:sz w:val="21"/>
                <w:szCs w:val="21"/>
                <w:highlight w:val="none"/>
                <w:lang w:val="en-US" w:eastAsia="zh-CN" w:bidi="ar"/>
              </w:rPr>
              <w:t>资产总计</w:t>
            </w:r>
          </w:p>
          <w:p w14:paraId="20B627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b/>
                <w:bCs/>
                <w:color w:val="000000"/>
                <w:spacing w:val="0"/>
                <w:sz w:val="21"/>
                <w:szCs w:val="21"/>
                <w:highlight w:val="none"/>
              </w:rPr>
            </w:pPr>
            <w:r>
              <w:rPr>
                <w:rFonts w:hint="default" w:ascii="Times New Roman" w:hAnsi="Times New Roman" w:eastAsia="宋体" w:cs="Times New Roman"/>
                <w:b/>
                <w:bCs/>
                <w:color w:val="000000"/>
                <w:spacing w:val="0"/>
                <w:kern w:val="0"/>
                <w:sz w:val="21"/>
                <w:szCs w:val="21"/>
                <w:highlight w:val="none"/>
                <w:lang w:val="en-US" w:eastAsia="zh-CN" w:bidi="ar"/>
              </w:rPr>
              <w:t>（</w:t>
            </w:r>
            <w:r>
              <w:rPr>
                <w:rFonts w:hint="default" w:ascii="Times New Roman" w:hAnsi="Times New Roman" w:cs="Times New Roman"/>
                <w:b/>
                <w:bCs/>
                <w:color w:val="000000"/>
                <w:spacing w:val="0"/>
                <w:kern w:val="0"/>
                <w:sz w:val="21"/>
                <w:szCs w:val="21"/>
                <w:highlight w:val="none"/>
                <w:lang w:val="en-US" w:eastAsia="zh-CN" w:bidi="ar"/>
              </w:rPr>
              <w:t>万元</w:t>
            </w:r>
            <w:r>
              <w:rPr>
                <w:rFonts w:hint="default" w:ascii="Times New Roman" w:hAnsi="Times New Roman" w:eastAsia="宋体" w:cs="Times New Roman"/>
                <w:b/>
                <w:bCs/>
                <w:color w:val="000000"/>
                <w:spacing w:val="0"/>
                <w:kern w:val="0"/>
                <w:sz w:val="21"/>
                <w:szCs w:val="21"/>
                <w:highlight w:val="none"/>
                <w:lang w:val="en-US" w:eastAsia="zh-CN" w:bidi="ar"/>
              </w:rPr>
              <w:t>）</w:t>
            </w:r>
          </w:p>
        </w:tc>
        <w:tc>
          <w:tcPr>
            <w:tcW w:w="1564" w:type="dxa"/>
            <w:tcBorders>
              <w:top w:val="single" w:color="auto" w:sz="12" w:space="0"/>
              <w:left w:val="single" w:color="auto" w:sz="4" w:space="0"/>
              <w:bottom w:val="single" w:color="auto" w:sz="4" w:space="0"/>
              <w:right w:val="single" w:color="auto" w:sz="4" w:space="0"/>
            </w:tcBorders>
            <w:noWrap w:val="0"/>
            <w:vAlign w:val="center"/>
          </w:tcPr>
          <w:p w14:paraId="5989E2E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b/>
                <w:bCs/>
                <w:color w:val="000000"/>
                <w:spacing w:val="0"/>
                <w:sz w:val="21"/>
                <w:szCs w:val="21"/>
                <w:highlight w:val="none"/>
              </w:rPr>
            </w:pPr>
            <w:r>
              <w:rPr>
                <w:rFonts w:hint="default" w:ascii="Times New Roman" w:hAnsi="Times New Roman" w:eastAsia="宋体" w:cs="Times New Roman"/>
                <w:b/>
                <w:bCs/>
                <w:color w:val="000000"/>
                <w:spacing w:val="0"/>
                <w:kern w:val="0"/>
                <w:sz w:val="21"/>
                <w:szCs w:val="21"/>
                <w:highlight w:val="none"/>
                <w:lang w:val="en-US" w:eastAsia="zh-CN" w:bidi="ar"/>
              </w:rPr>
              <w:t>负债合计</w:t>
            </w:r>
          </w:p>
          <w:p w14:paraId="6CF9C5D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b/>
                <w:bCs/>
                <w:color w:val="000000"/>
                <w:spacing w:val="0"/>
                <w:sz w:val="21"/>
                <w:szCs w:val="21"/>
                <w:highlight w:val="none"/>
              </w:rPr>
            </w:pPr>
            <w:r>
              <w:rPr>
                <w:rFonts w:hint="default" w:ascii="Times New Roman" w:hAnsi="Times New Roman" w:eastAsia="宋体" w:cs="Times New Roman"/>
                <w:b/>
                <w:bCs/>
                <w:color w:val="000000"/>
                <w:spacing w:val="0"/>
                <w:kern w:val="0"/>
                <w:sz w:val="21"/>
                <w:szCs w:val="21"/>
                <w:highlight w:val="none"/>
                <w:lang w:val="en-US" w:eastAsia="zh-CN" w:bidi="ar"/>
              </w:rPr>
              <w:t>（</w:t>
            </w:r>
            <w:r>
              <w:rPr>
                <w:rFonts w:hint="default" w:ascii="Times New Roman" w:hAnsi="Times New Roman" w:cs="Times New Roman"/>
                <w:b/>
                <w:bCs/>
                <w:color w:val="000000"/>
                <w:spacing w:val="0"/>
                <w:kern w:val="0"/>
                <w:sz w:val="21"/>
                <w:szCs w:val="21"/>
                <w:highlight w:val="none"/>
                <w:lang w:val="en-US" w:eastAsia="zh-CN" w:bidi="ar"/>
              </w:rPr>
              <w:t>万元</w:t>
            </w:r>
            <w:r>
              <w:rPr>
                <w:rFonts w:hint="default" w:ascii="Times New Roman" w:hAnsi="Times New Roman" w:eastAsia="宋体" w:cs="Times New Roman"/>
                <w:b/>
                <w:bCs/>
                <w:color w:val="000000"/>
                <w:spacing w:val="0"/>
                <w:kern w:val="0"/>
                <w:sz w:val="21"/>
                <w:szCs w:val="21"/>
                <w:highlight w:val="none"/>
                <w:lang w:val="en-US" w:eastAsia="zh-CN" w:bidi="ar"/>
              </w:rPr>
              <w:t>）</w:t>
            </w:r>
          </w:p>
        </w:tc>
        <w:tc>
          <w:tcPr>
            <w:tcW w:w="1563" w:type="dxa"/>
            <w:tcBorders>
              <w:top w:val="single" w:color="auto" w:sz="12" w:space="0"/>
              <w:left w:val="single" w:color="auto" w:sz="4" w:space="0"/>
              <w:bottom w:val="single" w:color="auto" w:sz="4" w:space="0"/>
              <w:right w:val="nil"/>
            </w:tcBorders>
            <w:noWrap w:val="0"/>
            <w:vAlign w:val="center"/>
          </w:tcPr>
          <w:p w14:paraId="1A569D8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b/>
                <w:bCs/>
                <w:color w:val="000000"/>
                <w:spacing w:val="0"/>
                <w:sz w:val="21"/>
                <w:szCs w:val="21"/>
                <w:highlight w:val="none"/>
              </w:rPr>
            </w:pPr>
            <w:r>
              <w:rPr>
                <w:rFonts w:hint="default" w:ascii="Times New Roman" w:hAnsi="Times New Roman" w:eastAsia="宋体" w:cs="Times New Roman"/>
                <w:b/>
                <w:bCs/>
                <w:color w:val="000000"/>
                <w:spacing w:val="0"/>
                <w:kern w:val="0"/>
                <w:sz w:val="21"/>
                <w:szCs w:val="21"/>
                <w:highlight w:val="none"/>
                <w:lang w:val="en-US" w:eastAsia="zh-CN" w:bidi="ar"/>
              </w:rPr>
              <w:t>营业收入</w:t>
            </w:r>
          </w:p>
          <w:p w14:paraId="5A1409D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b/>
                <w:bCs/>
                <w:color w:val="000000"/>
                <w:spacing w:val="0"/>
                <w:sz w:val="21"/>
                <w:szCs w:val="21"/>
                <w:highlight w:val="none"/>
              </w:rPr>
            </w:pPr>
            <w:r>
              <w:rPr>
                <w:rFonts w:hint="default" w:ascii="Times New Roman" w:hAnsi="Times New Roman" w:eastAsia="宋体" w:cs="Times New Roman"/>
                <w:b/>
                <w:bCs/>
                <w:color w:val="000000"/>
                <w:spacing w:val="0"/>
                <w:kern w:val="0"/>
                <w:sz w:val="21"/>
                <w:szCs w:val="21"/>
                <w:highlight w:val="none"/>
                <w:lang w:val="en-US" w:eastAsia="zh-CN" w:bidi="ar"/>
              </w:rPr>
              <w:t>（</w:t>
            </w:r>
            <w:r>
              <w:rPr>
                <w:rFonts w:hint="default" w:ascii="Times New Roman" w:hAnsi="Times New Roman" w:cs="Times New Roman"/>
                <w:b/>
                <w:bCs/>
                <w:color w:val="000000"/>
                <w:spacing w:val="0"/>
                <w:kern w:val="0"/>
                <w:sz w:val="21"/>
                <w:szCs w:val="21"/>
                <w:highlight w:val="none"/>
                <w:lang w:val="en-US" w:eastAsia="zh-CN" w:bidi="ar"/>
              </w:rPr>
              <w:t>万元</w:t>
            </w:r>
            <w:r>
              <w:rPr>
                <w:rFonts w:hint="default" w:ascii="Times New Roman" w:hAnsi="Times New Roman" w:eastAsia="宋体" w:cs="Times New Roman"/>
                <w:b/>
                <w:bCs/>
                <w:color w:val="000000"/>
                <w:spacing w:val="0"/>
                <w:kern w:val="0"/>
                <w:sz w:val="21"/>
                <w:szCs w:val="21"/>
                <w:highlight w:val="none"/>
                <w:lang w:val="en-US" w:eastAsia="zh-CN" w:bidi="ar"/>
              </w:rPr>
              <w:t>）</w:t>
            </w:r>
          </w:p>
        </w:tc>
      </w:tr>
      <w:tr w14:paraId="46C85CF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20" w:hRule="atLeast"/>
          <w:jc w:val="center"/>
        </w:trPr>
        <w:tc>
          <w:tcPr>
            <w:tcW w:w="4041" w:type="dxa"/>
            <w:tcBorders>
              <w:top w:val="single" w:color="auto" w:sz="4" w:space="0"/>
              <w:left w:val="nil"/>
              <w:bottom w:val="nil"/>
              <w:right w:val="single" w:color="auto" w:sz="4" w:space="0"/>
            </w:tcBorders>
            <w:noWrap w:val="0"/>
            <w:vAlign w:val="center"/>
          </w:tcPr>
          <w:p w14:paraId="3993578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center"/>
              <w:textAlignment w:val="auto"/>
              <w:rPr>
                <w:rFonts w:hint="default" w:ascii="Times New Roman" w:hAnsi="Times New Roman" w:eastAsia="宋体" w:cs="Times New Roman"/>
                <w:color w:val="000000"/>
                <w:spacing w:val="0"/>
                <w:sz w:val="21"/>
                <w:szCs w:val="21"/>
                <w:highlight w:val="none"/>
              </w:rPr>
            </w:pPr>
            <w:r>
              <w:rPr>
                <w:rFonts w:hint="default" w:ascii="Times New Roman" w:hAnsi="Times New Roman" w:eastAsia="宋体" w:cs="Times New Roman"/>
                <w:b/>
                <w:color w:val="000000"/>
                <w:spacing w:val="0"/>
                <w:kern w:val="0"/>
                <w:sz w:val="21"/>
                <w:szCs w:val="21"/>
                <w:highlight w:val="none"/>
                <w:lang w:val="en-US" w:eastAsia="zh-CN" w:bidi="ar"/>
              </w:rPr>
              <w:t>合　计</w:t>
            </w:r>
          </w:p>
        </w:tc>
        <w:tc>
          <w:tcPr>
            <w:tcW w:w="1564" w:type="dxa"/>
            <w:tcBorders>
              <w:top w:val="single" w:color="auto" w:sz="4" w:space="0"/>
              <w:left w:val="single" w:color="auto" w:sz="4" w:space="0"/>
              <w:bottom w:val="nil"/>
              <w:right w:val="single" w:color="auto" w:sz="4" w:space="0"/>
            </w:tcBorders>
            <w:noWrap w:val="0"/>
            <w:vAlign w:val="center"/>
          </w:tcPr>
          <w:p w14:paraId="1774ED6F">
            <w:pPr>
              <w:keepNext w:val="0"/>
              <w:keepLines w:val="0"/>
              <w:widowControl/>
              <w:suppressLineNumbers w:val="0"/>
              <w:jc w:val="right"/>
              <w:textAlignment w:val="center"/>
              <w:rPr>
                <w:rFonts w:hint="default" w:ascii="Times New Roman" w:hAnsi="Times New Roman" w:eastAsia="宋体" w:cs="Times New Roman"/>
                <w:b/>
                <w:bCs/>
                <w:color w:val="000000"/>
                <w:spacing w:val="0"/>
                <w:kern w:val="2"/>
                <w:sz w:val="21"/>
                <w:szCs w:val="21"/>
                <w:highlight w:val="none"/>
                <w:lang w:val="en" w:eastAsia="zh-CN" w:bidi="ar-SA"/>
              </w:rPr>
            </w:pPr>
            <w:r>
              <w:rPr>
                <w:rFonts w:hint="default" w:ascii="Times New Roman" w:hAnsi="Times New Roman" w:eastAsia="宋体" w:cs="Times New Roman"/>
                <w:b/>
                <w:bCs/>
                <w:i w:val="0"/>
                <w:iCs w:val="0"/>
                <w:color w:val="000000"/>
                <w:spacing w:val="0"/>
                <w:kern w:val="0"/>
                <w:sz w:val="22"/>
                <w:szCs w:val="22"/>
                <w:u w:val="none"/>
                <w:lang w:val="en-US" w:eastAsia="zh-CN" w:bidi="ar"/>
              </w:rPr>
              <w:t xml:space="preserve">26231.6 </w:t>
            </w:r>
          </w:p>
        </w:tc>
        <w:tc>
          <w:tcPr>
            <w:tcW w:w="1564" w:type="dxa"/>
            <w:tcBorders>
              <w:top w:val="single" w:color="auto" w:sz="4" w:space="0"/>
              <w:left w:val="single" w:color="auto" w:sz="4" w:space="0"/>
              <w:bottom w:val="nil"/>
              <w:right w:val="single" w:color="auto" w:sz="4" w:space="0"/>
            </w:tcBorders>
            <w:noWrap w:val="0"/>
            <w:vAlign w:val="center"/>
          </w:tcPr>
          <w:p w14:paraId="223937F3">
            <w:pPr>
              <w:keepNext w:val="0"/>
              <w:keepLines w:val="0"/>
              <w:widowControl/>
              <w:suppressLineNumbers w:val="0"/>
              <w:jc w:val="right"/>
              <w:textAlignment w:val="center"/>
              <w:rPr>
                <w:rFonts w:hint="default" w:ascii="Times New Roman" w:hAnsi="Times New Roman" w:eastAsia="宋体" w:cs="Times New Roman"/>
                <w:b/>
                <w:bCs/>
                <w:color w:val="000000"/>
                <w:spacing w:val="0"/>
                <w:kern w:val="2"/>
                <w:sz w:val="21"/>
                <w:szCs w:val="21"/>
                <w:highlight w:val="none"/>
                <w:lang w:val="en" w:eastAsia="zh-CN" w:bidi="ar-SA"/>
              </w:rPr>
            </w:pPr>
            <w:r>
              <w:rPr>
                <w:rFonts w:hint="default" w:ascii="Times New Roman" w:hAnsi="Times New Roman" w:eastAsia="宋体" w:cs="Times New Roman"/>
                <w:b/>
                <w:bCs/>
                <w:i w:val="0"/>
                <w:iCs w:val="0"/>
                <w:color w:val="000000"/>
                <w:spacing w:val="0"/>
                <w:kern w:val="0"/>
                <w:sz w:val="22"/>
                <w:szCs w:val="22"/>
                <w:u w:val="none"/>
                <w:lang w:val="en-US" w:eastAsia="zh-CN" w:bidi="ar"/>
              </w:rPr>
              <w:t xml:space="preserve">3672.9 </w:t>
            </w:r>
          </w:p>
        </w:tc>
        <w:tc>
          <w:tcPr>
            <w:tcW w:w="1563" w:type="dxa"/>
            <w:tcBorders>
              <w:top w:val="single" w:color="auto" w:sz="4" w:space="0"/>
              <w:left w:val="single" w:color="auto" w:sz="4" w:space="0"/>
              <w:bottom w:val="nil"/>
              <w:right w:val="nil"/>
            </w:tcBorders>
            <w:noWrap w:val="0"/>
            <w:vAlign w:val="center"/>
          </w:tcPr>
          <w:p w14:paraId="31677D16">
            <w:pPr>
              <w:keepNext w:val="0"/>
              <w:keepLines w:val="0"/>
              <w:widowControl/>
              <w:suppressLineNumbers w:val="0"/>
              <w:jc w:val="right"/>
              <w:textAlignment w:val="center"/>
              <w:rPr>
                <w:rFonts w:hint="default" w:ascii="Times New Roman" w:hAnsi="Times New Roman" w:eastAsia="宋体" w:cs="Times New Roman"/>
                <w:b/>
                <w:bCs/>
                <w:color w:val="000000"/>
                <w:spacing w:val="0"/>
                <w:kern w:val="2"/>
                <w:sz w:val="21"/>
                <w:szCs w:val="21"/>
                <w:highlight w:val="none"/>
                <w:lang w:val="en" w:eastAsia="zh-CN" w:bidi="ar-SA"/>
              </w:rPr>
            </w:pPr>
            <w:r>
              <w:rPr>
                <w:rFonts w:hint="default" w:ascii="Times New Roman" w:hAnsi="Times New Roman" w:eastAsia="宋体" w:cs="Times New Roman"/>
                <w:b/>
                <w:bCs/>
                <w:i w:val="0"/>
                <w:iCs w:val="0"/>
                <w:color w:val="000000"/>
                <w:spacing w:val="0"/>
                <w:kern w:val="0"/>
                <w:sz w:val="22"/>
                <w:szCs w:val="22"/>
                <w:u w:val="none"/>
                <w:lang w:val="en-US" w:eastAsia="zh-CN" w:bidi="ar"/>
              </w:rPr>
              <w:t xml:space="preserve">41615.7 </w:t>
            </w:r>
          </w:p>
        </w:tc>
      </w:tr>
      <w:tr w14:paraId="5A88BD3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20" w:hRule="atLeast"/>
          <w:jc w:val="center"/>
        </w:trPr>
        <w:tc>
          <w:tcPr>
            <w:tcW w:w="4041" w:type="dxa"/>
            <w:tcBorders>
              <w:top w:val="nil"/>
              <w:left w:val="nil"/>
              <w:bottom w:val="nil"/>
              <w:right w:val="single" w:color="auto" w:sz="4" w:space="0"/>
            </w:tcBorders>
            <w:noWrap w:val="0"/>
            <w:vAlign w:val="center"/>
          </w:tcPr>
          <w:p w14:paraId="0796143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default" w:ascii="Times New Roman" w:hAnsi="Times New Roman" w:eastAsia="宋体" w:cs="Times New Roman"/>
                <w:color w:val="000000"/>
                <w:spacing w:val="0"/>
                <w:sz w:val="21"/>
                <w:szCs w:val="21"/>
                <w:highlight w:val="none"/>
              </w:rPr>
            </w:pPr>
            <w:r>
              <w:rPr>
                <w:rFonts w:hint="default" w:ascii="Times New Roman" w:hAnsi="Times New Roman" w:eastAsia="宋体" w:cs="Times New Roman"/>
                <w:color w:val="000000"/>
                <w:spacing w:val="0"/>
                <w:kern w:val="0"/>
                <w:sz w:val="21"/>
                <w:szCs w:val="21"/>
                <w:highlight w:val="none"/>
                <w:lang w:val="en-US" w:eastAsia="zh-CN" w:bidi="ar"/>
              </w:rPr>
              <w:t>研究和试验发展</w:t>
            </w:r>
          </w:p>
        </w:tc>
        <w:tc>
          <w:tcPr>
            <w:tcW w:w="1564" w:type="dxa"/>
            <w:tcBorders>
              <w:top w:val="nil"/>
              <w:left w:val="single" w:color="auto" w:sz="4" w:space="0"/>
              <w:bottom w:val="nil"/>
              <w:right w:val="single" w:color="auto" w:sz="4" w:space="0"/>
            </w:tcBorders>
            <w:noWrap w:val="0"/>
            <w:vAlign w:val="center"/>
          </w:tcPr>
          <w:p w14:paraId="18EF62D9">
            <w:pPr>
              <w:keepNext w:val="0"/>
              <w:keepLines w:val="0"/>
              <w:widowControl/>
              <w:suppressLineNumbers w:val="0"/>
              <w:jc w:val="right"/>
              <w:textAlignment w:val="center"/>
              <w:rPr>
                <w:rFonts w:hint="default" w:ascii="Times New Roman" w:hAnsi="Times New Roman" w:eastAsia="宋体" w:cs="Times New Roman"/>
                <w:color w:val="000000"/>
                <w:spacing w:val="0"/>
                <w:kern w:val="2"/>
                <w:sz w:val="21"/>
                <w:szCs w:val="21"/>
                <w:highlight w:val="none"/>
                <w:lang w:val="en" w:eastAsia="zh-CN" w:bidi="ar-SA"/>
              </w:rPr>
            </w:pPr>
            <w:r>
              <w:rPr>
                <w:rFonts w:hint="default" w:ascii="Times New Roman" w:hAnsi="Times New Roman" w:eastAsia="宋体" w:cs="Times New Roman"/>
                <w:i w:val="0"/>
                <w:iCs w:val="0"/>
                <w:color w:val="000000"/>
                <w:spacing w:val="0"/>
                <w:kern w:val="0"/>
                <w:sz w:val="22"/>
                <w:szCs w:val="22"/>
                <w:u w:val="none"/>
                <w:lang w:val="en-US" w:eastAsia="zh-CN" w:bidi="ar"/>
              </w:rPr>
              <w:t xml:space="preserve">4174.0 </w:t>
            </w:r>
          </w:p>
        </w:tc>
        <w:tc>
          <w:tcPr>
            <w:tcW w:w="1564" w:type="dxa"/>
            <w:tcBorders>
              <w:top w:val="nil"/>
              <w:left w:val="single" w:color="auto" w:sz="4" w:space="0"/>
              <w:bottom w:val="nil"/>
              <w:right w:val="single" w:color="auto" w:sz="4" w:space="0"/>
            </w:tcBorders>
            <w:noWrap w:val="0"/>
            <w:vAlign w:val="center"/>
          </w:tcPr>
          <w:p w14:paraId="4C651B39">
            <w:pPr>
              <w:keepNext w:val="0"/>
              <w:keepLines w:val="0"/>
              <w:widowControl/>
              <w:suppressLineNumbers w:val="0"/>
              <w:jc w:val="right"/>
              <w:textAlignment w:val="center"/>
              <w:rPr>
                <w:rFonts w:hint="default" w:ascii="Times New Roman" w:hAnsi="Times New Roman" w:eastAsia="宋体" w:cs="Times New Roman"/>
                <w:color w:val="000000"/>
                <w:spacing w:val="0"/>
                <w:kern w:val="2"/>
                <w:sz w:val="21"/>
                <w:szCs w:val="21"/>
                <w:highlight w:val="none"/>
                <w:lang w:val="en" w:eastAsia="zh-CN" w:bidi="ar-SA"/>
              </w:rPr>
            </w:pPr>
            <w:r>
              <w:rPr>
                <w:rFonts w:hint="default" w:ascii="Times New Roman" w:hAnsi="Times New Roman" w:eastAsia="宋体" w:cs="Times New Roman"/>
                <w:i w:val="0"/>
                <w:iCs w:val="0"/>
                <w:color w:val="000000"/>
                <w:spacing w:val="0"/>
                <w:kern w:val="0"/>
                <w:sz w:val="22"/>
                <w:szCs w:val="22"/>
                <w:u w:val="none"/>
                <w:lang w:val="en-US" w:eastAsia="zh-CN" w:bidi="ar"/>
              </w:rPr>
              <w:t xml:space="preserve">701.9 </w:t>
            </w:r>
          </w:p>
        </w:tc>
        <w:tc>
          <w:tcPr>
            <w:tcW w:w="1563" w:type="dxa"/>
            <w:tcBorders>
              <w:top w:val="nil"/>
              <w:left w:val="single" w:color="auto" w:sz="4" w:space="0"/>
              <w:bottom w:val="nil"/>
              <w:right w:val="nil"/>
            </w:tcBorders>
            <w:noWrap w:val="0"/>
            <w:vAlign w:val="center"/>
          </w:tcPr>
          <w:p w14:paraId="54E79F19">
            <w:pPr>
              <w:keepNext w:val="0"/>
              <w:keepLines w:val="0"/>
              <w:widowControl/>
              <w:suppressLineNumbers w:val="0"/>
              <w:jc w:val="right"/>
              <w:textAlignment w:val="center"/>
              <w:rPr>
                <w:rFonts w:hint="default" w:ascii="Times New Roman" w:hAnsi="Times New Roman" w:eastAsia="宋体" w:cs="Times New Roman"/>
                <w:color w:val="000000"/>
                <w:spacing w:val="0"/>
                <w:kern w:val="2"/>
                <w:sz w:val="21"/>
                <w:szCs w:val="21"/>
                <w:highlight w:val="none"/>
                <w:lang w:val="en" w:eastAsia="zh-CN" w:bidi="ar-SA"/>
              </w:rPr>
            </w:pPr>
            <w:r>
              <w:rPr>
                <w:rFonts w:hint="default" w:ascii="Times New Roman" w:hAnsi="Times New Roman" w:eastAsia="宋体" w:cs="Times New Roman"/>
                <w:i w:val="0"/>
                <w:iCs w:val="0"/>
                <w:color w:val="000000"/>
                <w:spacing w:val="0"/>
                <w:kern w:val="0"/>
                <w:sz w:val="22"/>
                <w:szCs w:val="22"/>
                <w:u w:val="none"/>
                <w:lang w:val="en-US" w:eastAsia="zh-CN" w:bidi="ar"/>
              </w:rPr>
              <w:t>3083.</w:t>
            </w:r>
            <w:r>
              <w:rPr>
                <w:rFonts w:hint="eastAsia" w:ascii="Times New Roman" w:hAnsi="Times New Roman" w:cs="Times New Roman"/>
                <w:i w:val="0"/>
                <w:iCs w:val="0"/>
                <w:color w:val="000000"/>
                <w:spacing w:val="0"/>
                <w:kern w:val="0"/>
                <w:sz w:val="22"/>
                <w:szCs w:val="22"/>
                <w:u w:val="none"/>
                <w:lang w:val="en-US" w:eastAsia="zh-CN" w:bidi="ar"/>
              </w:rPr>
              <w:t>9</w:t>
            </w:r>
            <w:r>
              <w:rPr>
                <w:rFonts w:hint="default" w:ascii="Times New Roman" w:hAnsi="Times New Roman" w:eastAsia="宋体" w:cs="Times New Roman"/>
                <w:i w:val="0"/>
                <w:iCs w:val="0"/>
                <w:color w:val="000000"/>
                <w:spacing w:val="0"/>
                <w:kern w:val="0"/>
                <w:sz w:val="22"/>
                <w:szCs w:val="22"/>
                <w:u w:val="none"/>
                <w:lang w:val="en-US" w:eastAsia="zh-CN" w:bidi="ar"/>
              </w:rPr>
              <w:t xml:space="preserve"> </w:t>
            </w:r>
          </w:p>
        </w:tc>
      </w:tr>
      <w:tr w14:paraId="0123ECE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20" w:hRule="atLeast"/>
          <w:jc w:val="center"/>
        </w:trPr>
        <w:tc>
          <w:tcPr>
            <w:tcW w:w="4041" w:type="dxa"/>
            <w:tcBorders>
              <w:top w:val="nil"/>
              <w:left w:val="nil"/>
              <w:bottom w:val="nil"/>
              <w:right w:val="single" w:color="auto" w:sz="4" w:space="0"/>
            </w:tcBorders>
            <w:noWrap w:val="0"/>
            <w:vAlign w:val="center"/>
          </w:tcPr>
          <w:p w14:paraId="275C5EB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default" w:ascii="Times New Roman" w:hAnsi="Times New Roman" w:eastAsia="宋体" w:cs="Times New Roman"/>
                <w:color w:val="000000"/>
                <w:spacing w:val="0"/>
                <w:sz w:val="21"/>
                <w:szCs w:val="21"/>
                <w:highlight w:val="none"/>
              </w:rPr>
            </w:pPr>
            <w:r>
              <w:rPr>
                <w:rFonts w:hint="default" w:ascii="Times New Roman" w:hAnsi="Times New Roman" w:eastAsia="宋体" w:cs="Times New Roman"/>
                <w:color w:val="000000"/>
                <w:spacing w:val="0"/>
                <w:kern w:val="0"/>
                <w:sz w:val="21"/>
                <w:szCs w:val="21"/>
                <w:highlight w:val="none"/>
                <w:lang w:val="en-US" w:eastAsia="zh-CN" w:bidi="ar"/>
              </w:rPr>
              <w:t>专业技术服务业</w:t>
            </w:r>
          </w:p>
        </w:tc>
        <w:tc>
          <w:tcPr>
            <w:tcW w:w="1564" w:type="dxa"/>
            <w:tcBorders>
              <w:top w:val="nil"/>
              <w:left w:val="single" w:color="auto" w:sz="4" w:space="0"/>
              <w:bottom w:val="nil"/>
              <w:right w:val="single" w:color="auto" w:sz="4" w:space="0"/>
            </w:tcBorders>
            <w:noWrap w:val="0"/>
            <w:vAlign w:val="center"/>
          </w:tcPr>
          <w:p w14:paraId="6040319C">
            <w:pPr>
              <w:keepNext w:val="0"/>
              <w:keepLines w:val="0"/>
              <w:widowControl/>
              <w:suppressLineNumbers w:val="0"/>
              <w:jc w:val="right"/>
              <w:textAlignment w:val="center"/>
              <w:rPr>
                <w:rFonts w:hint="default" w:ascii="Times New Roman" w:hAnsi="Times New Roman" w:eastAsia="宋体" w:cs="Times New Roman"/>
                <w:color w:val="000000"/>
                <w:spacing w:val="0"/>
                <w:kern w:val="2"/>
                <w:sz w:val="21"/>
                <w:szCs w:val="21"/>
                <w:highlight w:val="none"/>
                <w:lang w:val="en" w:eastAsia="zh-CN" w:bidi="ar-SA"/>
              </w:rPr>
            </w:pPr>
            <w:r>
              <w:rPr>
                <w:rFonts w:hint="default" w:ascii="Times New Roman" w:hAnsi="Times New Roman" w:eastAsia="宋体" w:cs="Times New Roman"/>
                <w:i w:val="0"/>
                <w:iCs w:val="0"/>
                <w:color w:val="000000"/>
                <w:spacing w:val="0"/>
                <w:kern w:val="0"/>
                <w:sz w:val="22"/>
                <w:szCs w:val="22"/>
                <w:u w:val="none"/>
                <w:lang w:val="en-US" w:eastAsia="zh-CN" w:bidi="ar"/>
              </w:rPr>
              <w:t xml:space="preserve">11147.7 </w:t>
            </w:r>
          </w:p>
        </w:tc>
        <w:tc>
          <w:tcPr>
            <w:tcW w:w="1564" w:type="dxa"/>
            <w:tcBorders>
              <w:top w:val="nil"/>
              <w:left w:val="single" w:color="auto" w:sz="4" w:space="0"/>
              <w:bottom w:val="nil"/>
              <w:right w:val="single" w:color="auto" w:sz="4" w:space="0"/>
            </w:tcBorders>
            <w:noWrap w:val="0"/>
            <w:vAlign w:val="center"/>
          </w:tcPr>
          <w:p w14:paraId="4041751A">
            <w:pPr>
              <w:keepNext w:val="0"/>
              <w:keepLines w:val="0"/>
              <w:widowControl/>
              <w:suppressLineNumbers w:val="0"/>
              <w:jc w:val="right"/>
              <w:textAlignment w:val="center"/>
              <w:rPr>
                <w:rFonts w:hint="default" w:ascii="Times New Roman" w:hAnsi="Times New Roman" w:eastAsia="宋体" w:cs="Times New Roman"/>
                <w:color w:val="000000"/>
                <w:spacing w:val="0"/>
                <w:kern w:val="2"/>
                <w:sz w:val="21"/>
                <w:szCs w:val="21"/>
                <w:highlight w:val="none"/>
                <w:lang w:val="en" w:eastAsia="zh-CN" w:bidi="ar-SA"/>
              </w:rPr>
            </w:pPr>
            <w:r>
              <w:rPr>
                <w:rFonts w:hint="default" w:ascii="Times New Roman" w:hAnsi="Times New Roman" w:eastAsia="宋体" w:cs="Times New Roman"/>
                <w:i w:val="0"/>
                <w:iCs w:val="0"/>
                <w:color w:val="000000"/>
                <w:spacing w:val="0"/>
                <w:kern w:val="0"/>
                <w:sz w:val="22"/>
                <w:szCs w:val="22"/>
                <w:u w:val="none"/>
                <w:lang w:val="en-US" w:eastAsia="zh-CN" w:bidi="ar"/>
              </w:rPr>
              <w:t xml:space="preserve">2016.0 </w:t>
            </w:r>
          </w:p>
        </w:tc>
        <w:tc>
          <w:tcPr>
            <w:tcW w:w="1563" w:type="dxa"/>
            <w:tcBorders>
              <w:top w:val="nil"/>
              <w:left w:val="single" w:color="auto" w:sz="4" w:space="0"/>
              <w:bottom w:val="nil"/>
              <w:right w:val="nil"/>
            </w:tcBorders>
            <w:noWrap w:val="0"/>
            <w:vAlign w:val="center"/>
          </w:tcPr>
          <w:p w14:paraId="4C848704">
            <w:pPr>
              <w:keepNext w:val="0"/>
              <w:keepLines w:val="0"/>
              <w:widowControl/>
              <w:suppressLineNumbers w:val="0"/>
              <w:jc w:val="right"/>
              <w:textAlignment w:val="center"/>
              <w:rPr>
                <w:rFonts w:hint="default" w:ascii="Times New Roman" w:hAnsi="Times New Roman" w:eastAsia="宋体" w:cs="Times New Roman"/>
                <w:color w:val="000000"/>
                <w:spacing w:val="0"/>
                <w:kern w:val="2"/>
                <w:sz w:val="21"/>
                <w:szCs w:val="21"/>
                <w:highlight w:val="none"/>
                <w:lang w:val="en" w:eastAsia="zh-CN" w:bidi="ar-SA"/>
              </w:rPr>
            </w:pPr>
            <w:r>
              <w:rPr>
                <w:rFonts w:hint="default" w:ascii="Times New Roman" w:hAnsi="Times New Roman" w:eastAsia="宋体" w:cs="Times New Roman"/>
                <w:i w:val="0"/>
                <w:iCs w:val="0"/>
                <w:color w:val="000000"/>
                <w:spacing w:val="0"/>
                <w:kern w:val="0"/>
                <w:sz w:val="22"/>
                <w:szCs w:val="22"/>
                <w:u w:val="none"/>
                <w:lang w:val="en-US" w:eastAsia="zh-CN" w:bidi="ar"/>
              </w:rPr>
              <w:t xml:space="preserve">19341.1 </w:t>
            </w:r>
          </w:p>
        </w:tc>
      </w:tr>
      <w:tr w14:paraId="4B93339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20" w:hRule="atLeast"/>
          <w:jc w:val="center"/>
        </w:trPr>
        <w:tc>
          <w:tcPr>
            <w:tcW w:w="4041" w:type="dxa"/>
            <w:tcBorders>
              <w:top w:val="nil"/>
              <w:left w:val="nil"/>
              <w:bottom w:val="single" w:color="auto" w:sz="12" w:space="0"/>
              <w:right w:val="single" w:color="auto" w:sz="4" w:space="0"/>
            </w:tcBorders>
            <w:noWrap w:val="0"/>
            <w:vAlign w:val="center"/>
          </w:tcPr>
          <w:p w14:paraId="14865A6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default" w:ascii="Times New Roman" w:hAnsi="Times New Roman" w:eastAsia="宋体" w:cs="Times New Roman"/>
                <w:color w:val="000000"/>
                <w:spacing w:val="0"/>
                <w:sz w:val="21"/>
                <w:szCs w:val="21"/>
                <w:highlight w:val="none"/>
              </w:rPr>
            </w:pPr>
            <w:r>
              <w:rPr>
                <w:rFonts w:hint="default" w:ascii="Times New Roman" w:hAnsi="Times New Roman" w:eastAsia="宋体" w:cs="Times New Roman"/>
                <w:color w:val="000000"/>
                <w:spacing w:val="0"/>
                <w:kern w:val="0"/>
                <w:sz w:val="21"/>
                <w:szCs w:val="21"/>
                <w:highlight w:val="none"/>
                <w:lang w:val="en-US" w:eastAsia="zh-CN" w:bidi="ar"/>
              </w:rPr>
              <w:t>科技推广和应用服务业</w:t>
            </w:r>
          </w:p>
        </w:tc>
        <w:tc>
          <w:tcPr>
            <w:tcW w:w="1564" w:type="dxa"/>
            <w:tcBorders>
              <w:top w:val="nil"/>
              <w:left w:val="single" w:color="auto" w:sz="4" w:space="0"/>
              <w:bottom w:val="single" w:color="auto" w:sz="12" w:space="0"/>
              <w:right w:val="single" w:color="auto" w:sz="4" w:space="0"/>
            </w:tcBorders>
            <w:noWrap w:val="0"/>
            <w:vAlign w:val="center"/>
          </w:tcPr>
          <w:p w14:paraId="781ABA13">
            <w:pPr>
              <w:keepNext w:val="0"/>
              <w:keepLines w:val="0"/>
              <w:widowControl/>
              <w:suppressLineNumbers w:val="0"/>
              <w:jc w:val="right"/>
              <w:textAlignment w:val="center"/>
              <w:rPr>
                <w:rFonts w:hint="default" w:ascii="Times New Roman" w:hAnsi="Times New Roman" w:eastAsia="宋体" w:cs="Times New Roman"/>
                <w:color w:val="000000"/>
                <w:spacing w:val="0"/>
                <w:kern w:val="2"/>
                <w:sz w:val="21"/>
                <w:szCs w:val="21"/>
                <w:highlight w:val="none"/>
                <w:lang w:val="en" w:eastAsia="zh-CN" w:bidi="ar-SA"/>
              </w:rPr>
            </w:pPr>
            <w:r>
              <w:rPr>
                <w:rFonts w:hint="default" w:ascii="Times New Roman" w:hAnsi="Times New Roman" w:eastAsia="宋体" w:cs="Times New Roman"/>
                <w:i w:val="0"/>
                <w:iCs w:val="0"/>
                <w:color w:val="000000"/>
                <w:spacing w:val="0"/>
                <w:kern w:val="0"/>
                <w:sz w:val="22"/>
                <w:szCs w:val="22"/>
                <w:u w:val="none"/>
                <w:lang w:val="en-US" w:eastAsia="zh-CN" w:bidi="ar"/>
              </w:rPr>
              <w:t xml:space="preserve">10909.9 </w:t>
            </w:r>
          </w:p>
        </w:tc>
        <w:tc>
          <w:tcPr>
            <w:tcW w:w="1564" w:type="dxa"/>
            <w:tcBorders>
              <w:top w:val="nil"/>
              <w:left w:val="single" w:color="auto" w:sz="4" w:space="0"/>
              <w:bottom w:val="single" w:color="auto" w:sz="12" w:space="0"/>
              <w:right w:val="single" w:color="auto" w:sz="4" w:space="0"/>
            </w:tcBorders>
            <w:noWrap w:val="0"/>
            <w:vAlign w:val="center"/>
          </w:tcPr>
          <w:p w14:paraId="07F3FCF7">
            <w:pPr>
              <w:keepNext w:val="0"/>
              <w:keepLines w:val="0"/>
              <w:widowControl/>
              <w:suppressLineNumbers w:val="0"/>
              <w:jc w:val="right"/>
              <w:textAlignment w:val="center"/>
              <w:rPr>
                <w:rFonts w:hint="default" w:ascii="Times New Roman" w:hAnsi="Times New Roman" w:eastAsia="宋体" w:cs="Times New Roman"/>
                <w:color w:val="000000"/>
                <w:spacing w:val="0"/>
                <w:kern w:val="2"/>
                <w:sz w:val="21"/>
                <w:szCs w:val="21"/>
                <w:highlight w:val="none"/>
                <w:lang w:val="en" w:eastAsia="zh-CN" w:bidi="ar-SA"/>
              </w:rPr>
            </w:pPr>
            <w:r>
              <w:rPr>
                <w:rFonts w:hint="default" w:ascii="Times New Roman" w:hAnsi="Times New Roman" w:eastAsia="宋体" w:cs="Times New Roman"/>
                <w:i w:val="0"/>
                <w:iCs w:val="0"/>
                <w:color w:val="000000"/>
                <w:spacing w:val="0"/>
                <w:kern w:val="0"/>
                <w:sz w:val="22"/>
                <w:szCs w:val="22"/>
                <w:u w:val="none"/>
                <w:lang w:val="en-US" w:eastAsia="zh-CN" w:bidi="ar"/>
              </w:rPr>
              <w:t>95</w:t>
            </w:r>
            <w:r>
              <w:rPr>
                <w:rFonts w:hint="eastAsia" w:ascii="Times New Roman" w:hAnsi="Times New Roman" w:cs="Times New Roman"/>
                <w:i w:val="0"/>
                <w:iCs w:val="0"/>
                <w:color w:val="000000"/>
                <w:spacing w:val="0"/>
                <w:kern w:val="0"/>
                <w:sz w:val="22"/>
                <w:szCs w:val="22"/>
                <w:u w:val="none"/>
                <w:lang w:val="en-US" w:eastAsia="zh-CN" w:bidi="ar"/>
              </w:rPr>
              <w:t>5</w:t>
            </w:r>
            <w:r>
              <w:rPr>
                <w:rFonts w:hint="default" w:ascii="Times New Roman" w:hAnsi="Times New Roman" w:eastAsia="宋体" w:cs="Times New Roman"/>
                <w:i w:val="0"/>
                <w:iCs w:val="0"/>
                <w:color w:val="000000"/>
                <w:spacing w:val="0"/>
                <w:kern w:val="0"/>
                <w:sz w:val="22"/>
                <w:szCs w:val="22"/>
                <w:u w:val="none"/>
                <w:lang w:val="en-US" w:eastAsia="zh-CN" w:bidi="ar"/>
              </w:rPr>
              <w:t>.</w:t>
            </w:r>
            <w:r>
              <w:rPr>
                <w:rFonts w:hint="eastAsia" w:ascii="Times New Roman" w:hAnsi="Times New Roman" w:cs="Times New Roman"/>
                <w:i w:val="0"/>
                <w:iCs w:val="0"/>
                <w:color w:val="000000"/>
                <w:spacing w:val="0"/>
                <w:kern w:val="0"/>
                <w:sz w:val="22"/>
                <w:szCs w:val="22"/>
                <w:u w:val="none"/>
                <w:lang w:val="en-US" w:eastAsia="zh-CN" w:bidi="ar"/>
              </w:rPr>
              <w:t>0</w:t>
            </w:r>
            <w:r>
              <w:rPr>
                <w:rFonts w:hint="default" w:ascii="Times New Roman" w:hAnsi="Times New Roman" w:eastAsia="宋体" w:cs="Times New Roman"/>
                <w:i w:val="0"/>
                <w:iCs w:val="0"/>
                <w:color w:val="000000"/>
                <w:spacing w:val="0"/>
                <w:kern w:val="0"/>
                <w:sz w:val="22"/>
                <w:szCs w:val="22"/>
                <w:u w:val="none"/>
                <w:lang w:val="en-US" w:eastAsia="zh-CN" w:bidi="ar"/>
              </w:rPr>
              <w:t xml:space="preserve"> </w:t>
            </w:r>
          </w:p>
        </w:tc>
        <w:tc>
          <w:tcPr>
            <w:tcW w:w="1563" w:type="dxa"/>
            <w:tcBorders>
              <w:top w:val="nil"/>
              <w:left w:val="single" w:color="auto" w:sz="4" w:space="0"/>
              <w:bottom w:val="single" w:color="auto" w:sz="12" w:space="0"/>
              <w:right w:val="nil"/>
            </w:tcBorders>
            <w:noWrap w:val="0"/>
            <w:vAlign w:val="center"/>
          </w:tcPr>
          <w:p w14:paraId="35621329">
            <w:pPr>
              <w:keepNext w:val="0"/>
              <w:keepLines w:val="0"/>
              <w:widowControl/>
              <w:suppressLineNumbers w:val="0"/>
              <w:jc w:val="right"/>
              <w:textAlignment w:val="center"/>
              <w:rPr>
                <w:rFonts w:hint="default" w:ascii="Times New Roman" w:hAnsi="Times New Roman" w:eastAsia="宋体" w:cs="Times New Roman"/>
                <w:color w:val="000000"/>
                <w:spacing w:val="0"/>
                <w:kern w:val="2"/>
                <w:sz w:val="21"/>
                <w:szCs w:val="21"/>
                <w:highlight w:val="none"/>
                <w:lang w:val="en" w:eastAsia="zh-CN" w:bidi="ar-SA"/>
              </w:rPr>
            </w:pPr>
            <w:r>
              <w:rPr>
                <w:rFonts w:hint="default" w:ascii="Times New Roman" w:hAnsi="Times New Roman" w:eastAsia="宋体" w:cs="Times New Roman"/>
                <w:i w:val="0"/>
                <w:iCs w:val="0"/>
                <w:color w:val="000000"/>
                <w:spacing w:val="0"/>
                <w:kern w:val="0"/>
                <w:sz w:val="22"/>
                <w:szCs w:val="22"/>
                <w:u w:val="none"/>
                <w:lang w:val="en-US" w:eastAsia="zh-CN" w:bidi="ar"/>
              </w:rPr>
              <w:t xml:space="preserve">19190.7 </w:t>
            </w:r>
          </w:p>
        </w:tc>
      </w:tr>
    </w:tbl>
    <w:p w14:paraId="7DD5189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1"/>
        <w:rPr>
          <w:rFonts w:hint="default" w:ascii="Times New Roman" w:hAnsi="Times New Roman" w:eastAsia="黑体" w:cs="Times New Roman"/>
          <w:color w:val="000000"/>
          <w:spacing w:val="0"/>
          <w:kern w:val="2"/>
          <w:sz w:val="32"/>
          <w:szCs w:val="32"/>
          <w:u w:val="none"/>
          <w:lang w:val="en-US" w:eastAsia="zh-CN" w:bidi="ar-SA"/>
        </w:rPr>
      </w:pPr>
      <w:r>
        <w:rPr>
          <w:rFonts w:hint="default" w:ascii="Times New Roman" w:hAnsi="Times New Roman" w:eastAsia="黑体" w:cs="Times New Roman"/>
          <w:color w:val="000000"/>
          <w:spacing w:val="0"/>
          <w:kern w:val="2"/>
          <w:sz w:val="32"/>
          <w:szCs w:val="32"/>
          <w:u w:val="none"/>
          <w:lang w:val="en-US" w:eastAsia="zh-CN" w:bidi="ar-SA"/>
        </w:rPr>
        <w:t>二、水利、环境和公共设施管理业</w:t>
      </w:r>
    </w:p>
    <w:p w14:paraId="25D62F4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outlineLvl w:val="2"/>
        <w:rPr>
          <w:rFonts w:hint="default" w:ascii="Times New Roman" w:hAnsi="Times New Roman" w:eastAsia="楷体_GB2312" w:cs="Times New Roman"/>
          <w:b/>
          <w:bCs/>
          <w:color w:val="000000"/>
          <w:spacing w:val="0"/>
          <w:kern w:val="2"/>
          <w:sz w:val="32"/>
          <w:szCs w:val="32"/>
          <w:u w:val="none"/>
          <w:lang w:val="en-US" w:eastAsia="zh-CN" w:bidi="ar-SA"/>
        </w:rPr>
      </w:pPr>
      <w:r>
        <w:rPr>
          <w:rFonts w:hint="default" w:ascii="Times New Roman" w:hAnsi="Times New Roman" w:eastAsia="楷体_GB2312" w:cs="Times New Roman"/>
          <w:b/>
          <w:bCs/>
          <w:color w:val="000000"/>
          <w:spacing w:val="0"/>
          <w:kern w:val="2"/>
          <w:sz w:val="32"/>
          <w:szCs w:val="32"/>
          <w:u w:val="none"/>
          <w:lang w:val="en-US" w:eastAsia="zh-CN" w:bidi="ar-SA"/>
        </w:rPr>
        <w:t>（一）法人单位数和从业人员</w:t>
      </w:r>
    </w:p>
    <w:p w14:paraId="42AD185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spacing w:val="0"/>
          <w:kern w:val="2"/>
          <w:sz w:val="32"/>
          <w:szCs w:val="32"/>
          <w:u w:val="none"/>
          <w:lang w:val="en-US" w:eastAsia="zh-CN" w:bidi="ar-SA"/>
        </w:rPr>
      </w:pPr>
      <w:r>
        <w:rPr>
          <w:rFonts w:hint="default" w:ascii="Times New Roman" w:hAnsi="Times New Roman" w:eastAsia="仿宋_GB2312" w:cs="Times New Roman"/>
          <w:color w:val="000000"/>
          <w:spacing w:val="0"/>
          <w:kern w:val="2"/>
          <w:sz w:val="32"/>
          <w:szCs w:val="32"/>
          <w:u w:val="none"/>
          <w:lang w:val="en-US" w:eastAsia="zh-CN" w:bidi="ar-SA"/>
        </w:rPr>
        <w:t>2023年末，全区共有水利、环境和公共设施管理业法人单位58个，从业人员1472人。</w:t>
      </w:r>
      <w:r>
        <w:rPr>
          <w:rFonts w:hint="default" w:ascii="Times New Roman" w:hAnsi="Times New Roman" w:eastAsia="仿宋_GB2312" w:cs="Times New Roman"/>
          <w:b w:val="0"/>
          <w:bCs w:val="0"/>
          <w:color w:val="auto"/>
          <w:spacing w:val="0"/>
          <w:kern w:val="2"/>
          <w:sz w:val="32"/>
          <w:szCs w:val="32"/>
          <w:u w:val="none"/>
          <w:lang w:val="en-US" w:eastAsia="zh-CN" w:bidi="ar-SA"/>
        </w:rPr>
        <w:t>其中，</w:t>
      </w:r>
      <w:r>
        <w:rPr>
          <w:rFonts w:hint="default" w:ascii="Times New Roman" w:hAnsi="Times New Roman" w:eastAsia="仿宋_GB2312" w:cs="Times New Roman"/>
          <w:color w:val="000000"/>
          <w:spacing w:val="0"/>
          <w:kern w:val="2"/>
          <w:sz w:val="32"/>
          <w:szCs w:val="32"/>
          <w:u w:val="none"/>
          <w:lang w:val="en-US" w:eastAsia="zh-CN" w:bidi="ar-SA"/>
        </w:rPr>
        <w:t>行政事业及非企业法人单位14个</w:t>
      </w:r>
      <w:r>
        <w:rPr>
          <w:rFonts w:hint="eastAsia" w:ascii="Times New Roman" w:hAnsi="Times New Roman" w:eastAsia="仿宋_GB2312" w:cs="Times New Roman"/>
          <w:color w:val="000000"/>
          <w:spacing w:val="0"/>
          <w:kern w:val="2"/>
          <w:sz w:val="32"/>
          <w:szCs w:val="32"/>
          <w:u w:val="none"/>
          <w:lang w:val="en-US" w:eastAsia="zh-CN" w:bidi="ar-SA"/>
        </w:rPr>
        <w:t>，</w:t>
      </w:r>
      <w:r>
        <w:rPr>
          <w:rFonts w:hint="default" w:ascii="Times New Roman" w:hAnsi="Times New Roman" w:eastAsia="仿宋_GB2312" w:cs="Times New Roman"/>
          <w:color w:val="000000"/>
          <w:spacing w:val="0"/>
          <w:kern w:val="2"/>
          <w:sz w:val="32"/>
          <w:szCs w:val="32"/>
          <w:u w:val="none"/>
          <w:lang w:val="en-US" w:eastAsia="zh-CN" w:bidi="ar-SA"/>
        </w:rPr>
        <w:t>从业人员188人。</w:t>
      </w:r>
    </w:p>
    <w:p w14:paraId="2AC514A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outlineLvl w:val="2"/>
        <w:rPr>
          <w:rFonts w:hint="default" w:ascii="Times New Roman" w:hAnsi="Times New Roman" w:eastAsia="楷体" w:cs="Times New Roman"/>
          <w:b/>
          <w:bCs/>
          <w:color w:val="000000"/>
          <w:spacing w:val="0"/>
          <w:kern w:val="2"/>
          <w:sz w:val="32"/>
          <w:szCs w:val="32"/>
          <w:u w:val="none"/>
          <w:lang w:val="en-US" w:eastAsia="zh-CN" w:bidi="ar-SA"/>
        </w:rPr>
      </w:pPr>
      <w:r>
        <w:rPr>
          <w:rFonts w:hint="default" w:ascii="Times New Roman" w:hAnsi="Times New Roman" w:eastAsia="楷体" w:cs="Times New Roman"/>
          <w:b/>
          <w:bCs/>
          <w:color w:val="000000"/>
          <w:spacing w:val="0"/>
          <w:kern w:val="2"/>
          <w:sz w:val="32"/>
          <w:szCs w:val="32"/>
          <w:u w:val="none"/>
          <w:lang w:val="en-US" w:eastAsia="zh-CN" w:bidi="ar-SA"/>
        </w:rPr>
        <w:t>（二）主要经济指标</w:t>
      </w:r>
    </w:p>
    <w:p w14:paraId="2A04567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spacing w:val="0"/>
          <w:kern w:val="2"/>
          <w:sz w:val="32"/>
          <w:szCs w:val="32"/>
          <w:u w:val="none"/>
          <w:lang w:val="en-US" w:eastAsia="zh-CN" w:bidi="ar-SA"/>
        </w:rPr>
      </w:pPr>
      <w:r>
        <w:rPr>
          <w:rFonts w:hint="default" w:ascii="Times New Roman" w:hAnsi="Times New Roman" w:eastAsia="仿宋_GB2312" w:cs="Times New Roman"/>
          <w:color w:val="000000"/>
          <w:spacing w:val="0"/>
          <w:kern w:val="2"/>
          <w:sz w:val="32"/>
          <w:szCs w:val="32"/>
          <w:u w:val="none"/>
          <w:lang w:val="en-US" w:eastAsia="zh-CN" w:bidi="ar-SA"/>
        </w:rPr>
        <w:t>2023年末，全区水利、环境和公共设施管理业企业法人单位资产总计143202.6万元；负债合计83086.</w:t>
      </w:r>
      <w:r>
        <w:rPr>
          <w:rFonts w:hint="eastAsia" w:ascii="Times New Roman" w:hAnsi="Times New Roman" w:eastAsia="仿宋_GB2312" w:cs="Times New Roman"/>
          <w:color w:val="000000"/>
          <w:spacing w:val="0"/>
          <w:kern w:val="2"/>
          <w:sz w:val="32"/>
          <w:szCs w:val="32"/>
          <w:u w:val="none"/>
          <w:lang w:val="en-US" w:eastAsia="zh-CN" w:bidi="ar-SA"/>
        </w:rPr>
        <w:t>2</w:t>
      </w:r>
      <w:r>
        <w:rPr>
          <w:rFonts w:hint="default" w:ascii="Times New Roman" w:hAnsi="Times New Roman" w:eastAsia="仿宋_GB2312" w:cs="Times New Roman"/>
          <w:color w:val="000000"/>
          <w:spacing w:val="0"/>
          <w:kern w:val="2"/>
          <w:sz w:val="32"/>
          <w:szCs w:val="32"/>
          <w:u w:val="none"/>
          <w:lang w:val="en-US" w:eastAsia="zh-CN" w:bidi="ar-SA"/>
        </w:rPr>
        <w:t>万元。全年实现营业收入21905.</w:t>
      </w:r>
      <w:r>
        <w:rPr>
          <w:rFonts w:hint="eastAsia" w:ascii="Times New Roman" w:hAnsi="Times New Roman" w:eastAsia="仿宋_GB2312" w:cs="Times New Roman"/>
          <w:color w:val="000000"/>
          <w:spacing w:val="0"/>
          <w:kern w:val="2"/>
          <w:sz w:val="32"/>
          <w:szCs w:val="32"/>
          <w:u w:val="none"/>
          <w:lang w:val="en-US" w:eastAsia="zh-CN" w:bidi="ar-SA"/>
        </w:rPr>
        <w:t>3</w:t>
      </w:r>
      <w:r>
        <w:rPr>
          <w:rFonts w:hint="default" w:ascii="Times New Roman" w:hAnsi="Times New Roman" w:eastAsia="仿宋_GB2312" w:cs="Times New Roman"/>
          <w:color w:val="000000"/>
          <w:spacing w:val="0"/>
          <w:kern w:val="2"/>
          <w:sz w:val="32"/>
          <w:szCs w:val="32"/>
          <w:u w:val="none"/>
          <w:lang w:val="en-US" w:eastAsia="zh-CN" w:bidi="ar-SA"/>
        </w:rPr>
        <w:t>万元。</w:t>
      </w:r>
    </w:p>
    <w:p w14:paraId="6827ACF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spacing w:val="0"/>
          <w:kern w:val="2"/>
          <w:sz w:val="32"/>
          <w:szCs w:val="32"/>
          <w:u w:val="none"/>
          <w:lang w:val="en-US" w:eastAsia="zh-CN" w:bidi="ar-SA"/>
        </w:rPr>
      </w:pPr>
      <w:r>
        <w:rPr>
          <w:rFonts w:hint="default" w:ascii="Times New Roman" w:hAnsi="Times New Roman" w:eastAsia="仿宋_GB2312" w:cs="Times New Roman"/>
          <w:color w:val="000000"/>
          <w:spacing w:val="0"/>
          <w:kern w:val="2"/>
          <w:sz w:val="32"/>
          <w:szCs w:val="32"/>
          <w:u w:val="none"/>
          <w:lang w:val="en-US" w:eastAsia="zh-CN" w:bidi="ar-SA"/>
        </w:rPr>
        <w:t>全区行政事业及非企业法人单位年末资产10284.8万元。本年支出（费用）合计4896.4万元。</w:t>
      </w:r>
    </w:p>
    <w:p w14:paraId="7058F83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1"/>
        <w:rPr>
          <w:rFonts w:hint="default" w:ascii="Times New Roman" w:hAnsi="Times New Roman" w:eastAsia="黑体" w:cs="Times New Roman"/>
          <w:color w:val="000000"/>
          <w:spacing w:val="0"/>
          <w:kern w:val="2"/>
          <w:sz w:val="32"/>
          <w:szCs w:val="32"/>
          <w:u w:val="none"/>
          <w:lang w:val="en-US" w:eastAsia="zh-CN" w:bidi="ar-SA"/>
        </w:rPr>
      </w:pPr>
      <w:r>
        <w:rPr>
          <w:rFonts w:hint="default" w:ascii="Times New Roman" w:hAnsi="Times New Roman" w:eastAsia="黑体" w:cs="Times New Roman"/>
          <w:color w:val="000000"/>
          <w:spacing w:val="0"/>
          <w:kern w:val="2"/>
          <w:sz w:val="32"/>
          <w:szCs w:val="32"/>
          <w:u w:val="none"/>
          <w:lang w:val="en-US" w:eastAsia="zh-CN" w:bidi="ar-SA"/>
        </w:rPr>
        <w:t>三、居民服务、修理和其他服务业</w:t>
      </w:r>
    </w:p>
    <w:p w14:paraId="7360B02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outlineLvl w:val="2"/>
        <w:rPr>
          <w:rFonts w:hint="default" w:ascii="Times New Roman" w:hAnsi="Times New Roman" w:eastAsia="楷体_GB2312" w:cs="Times New Roman"/>
          <w:b/>
          <w:bCs/>
          <w:color w:val="000000"/>
          <w:spacing w:val="0"/>
          <w:kern w:val="2"/>
          <w:sz w:val="32"/>
          <w:szCs w:val="32"/>
          <w:u w:val="none"/>
          <w:lang w:val="en-US" w:eastAsia="zh-CN" w:bidi="ar-SA"/>
        </w:rPr>
      </w:pPr>
      <w:r>
        <w:rPr>
          <w:rFonts w:hint="default" w:ascii="Times New Roman" w:hAnsi="Times New Roman" w:eastAsia="楷体_GB2312" w:cs="Times New Roman"/>
          <w:b/>
          <w:bCs/>
          <w:color w:val="000000"/>
          <w:spacing w:val="0"/>
          <w:kern w:val="2"/>
          <w:sz w:val="32"/>
          <w:szCs w:val="32"/>
          <w:u w:val="none"/>
          <w:lang w:val="en-US" w:eastAsia="zh-CN" w:bidi="ar-SA"/>
        </w:rPr>
        <w:t>（一）企业法人单位数和从业人员</w:t>
      </w:r>
    </w:p>
    <w:p w14:paraId="7557616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spacing w:val="0"/>
          <w:kern w:val="2"/>
          <w:sz w:val="32"/>
          <w:szCs w:val="32"/>
          <w:u w:val="none"/>
          <w:lang w:val="en-US" w:eastAsia="zh-CN" w:bidi="ar-SA"/>
        </w:rPr>
      </w:pPr>
      <w:r>
        <w:rPr>
          <w:rFonts w:hint="default" w:ascii="Times New Roman" w:hAnsi="Times New Roman" w:eastAsia="仿宋_GB2312" w:cs="Times New Roman"/>
          <w:color w:val="000000"/>
          <w:spacing w:val="0"/>
          <w:kern w:val="2"/>
          <w:sz w:val="32"/>
          <w:szCs w:val="32"/>
          <w:u w:val="none"/>
          <w:lang w:val="en" w:eastAsia="zh-CN" w:bidi="ar-SA"/>
        </w:rPr>
        <w:t>2023年末，全</w:t>
      </w:r>
      <w:r>
        <w:rPr>
          <w:rFonts w:hint="default" w:ascii="Times New Roman" w:hAnsi="Times New Roman" w:eastAsia="仿宋_GB2312" w:cs="Times New Roman"/>
          <w:color w:val="000000"/>
          <w:spacing w:val="0"/>
          <w:kern w:val="2"/>
          <w:sz w:val="32"/>
          <w:szCs w:val="32"/>
          <w:u w:val="none"/>
          <w:lang w:val="en-US" w:eastAsia="zh-CN" w:bidi="ar-SA"/>
        </w:rPr>
        <w:t>区</w:t>
      </w:r>
      <w:r>
        <w:rPr>
          <w:rFonts w:hint="default" w:ascii="Times New Roman" w:hAnsi="Times New Roman" w:eastAsia="仿宋_GB2312" w:cs="Times New Roman"/>
          <w:color w:val="000000"/>
          <w:spacing w:val="0"/>
          <w:kern w:val="2"/>
          <w:sz w:val="32"/>
          <w:szCs w:val="32"/>
          <w:u w:val="none"/>
          <w:lang w:val="en" w:eastAsia="zh-CN" w:bidi="ar-SA"/>
        </w:rPr>
        <w:t>共有居民服务、修理和其他服务业企业法人单位</w:t>
      </w:r>
      <w:r>
        <w:rPr>
          <w:rFonts w:hint="default" w:ascii="Times New Roman" w:hAnsi="Times New Roman" w:eastAsia="仿宋_GB2312" w:cs="Times New Roman"/>
          <w:color w:val="000000"/>
          <w:spacing w:val="0"/>
          <w:kern w:val="2"/>
          <w:sz w:val="32"/>
          <w:szCs w:val="32"/>
          <w:u w:val="none"/>
          <w:lang w:val="en-US" w:eastAsia="zh-CN" w:bidi="ar-SA"/>
        </w:rPr>
        <w:t>9</w:t>
      </w:r>
      <w:r>
        <w:rPr>
          <w:rFonts w:hint="eastAsia" w:ascii="Times New Roman" w:hAnsi="Times New Roman" w:eastAsia="仿宋_GB2312" w:cs="Times New Roman"/>
          <w:color w:val="000000"/>
          <w:spacing w:val="0"/>
          <w:kern w:val="2"/>
          <w:sz w:val="32"/>
          <w:szCs w:val="32"/>
          <w:u w:val="none"/>
          <w:lang w:val="en-US" w:eastAsia="zh-CN" w:bidi="ar-SA"/>
        </w:rPr>
        <w:t>4</w:t>
      </w:r>
      <w:r>
        <w:rPr>
          <w:rFonts w:hint="default" w:ascii="Times New Roman" w:hAnsi="Times New Roman" w:eastAsia="仿宋_GB2312" w:cs="Times New Roman"/>
          <w:color w:val="000000"/>
          <w:spacing w:val="0"/>
          <w:kern w:val="2"/>
          <w:sz w:val="32"/>
          <w:szCs w:val="32"/>
          <w:u w:val="none"/>
          <w:lang w:val="en" w:eastAsia="zh-CN" w:bidi="ar-SA"/>
        </w:rPr>
        <w:t>个，从业人员</w:t>
      </w:r>
      <w:r>
        <w:rPr>
          <w:rFonts w:hint="default" w:ascii="Times New Roman" w:hAnsi="Times New Roman" w:eastAsia="仿宋_GB2312" w:cs="Times New Roman"/>
          <w:color w:val="000000"/>
          <w:spacing w:val="0"/>
          <w:kern w:val="2"/>
          <w:sz w:val="32"/>
          <w:szCs w:val="32"/>
          <w:u w:val="none"/>
          <w:lang w:val="en-US" w:eastAsia="zh-CN" w:bidi="ar-SA"/>
        </w:rPr>
        <w:t>5</w:t>
      </w:r>
      <w:r>
        <w:rPr>
          <w:rFonts w:hint="eastAsia" w:ascii="Times New Roman" w:hAnsi="Times New Roman" w:eastAsia="仿宋_GB2312" w:cs="Times New Roman"/>
          <w:color w:val="000000"/>
          <w:spacing w:val="0"/>
          <w:kern w:val="2"/>
          <w:sz w:val="32"/>
          <w:szCs w:val="32"/>
          <w:u w:val="none"/>
          <w:lang w:val="en-US" w:eastAsia="zh-CN" w:bidi="ar-SA"/>
        </w:rPr>
        <w:t>82</w:t>
      </w:r>
      <w:r>
        <w:rPr>
          <w:rFonts w:hint="default" w:ascii="Times New Roman" w:hAnsi="Times New Roman" w:eastAsia="仿宋_GB2312" w:cs="Times New Roman"/>
          <w:color w:val="000000"/>
          <w:spacing w:val="0"/>
          <w:kern w:val="2"/>
          <w:sz w:val="32"/>
          <w:szCs w:val="32"/>
          <w:u w:val="none"/>
          <w:lang w:val="en-US" w:eastAsia="zh-CN" w:bidi="ar-SA"/>
        </w:rPr>
        <w:t>人</w:t>
      </w:r>
      <w:r>
        <w:rPr>
          <w:rFonts w:hint="default" w:ascii="Times New Roman" w:hAnsi="Times New Roman" w:eastAsia="仿宋_GB2312" w:cs="Times New Roman"/>
          <w:color w:val="000000"/>
          <w:spacing w:val="0"/>
          <w:kern w:val="2"/>
          <w:sz w:val="32"/>
          <w:szCs w:val="32"/>
          <w:u w:val="none"/>
          <w:lang w:val="en" w:eastAsia="zh-CN" w:bidi="ar-SA"/>
        </w:rPr>
        <w:t>（详见表5-4）</w:t>
      </w:r>
      <w:r>
        <w:rPr>
          <w:rFonts w:hint="default" w:ascii="Times New Roman" w:hAnsi="Times New Roman" w:eastAsia="仿宋_GB2312" w:cs="Times New Roman"/>
          <w:color w:val="000000"/>
          <w:spacing w:val="0"/>
          <w:kern w:val="2"/>
          <w:sz w:val="32"/>
          <w:szCs w:val="32"/>
          <w:u w:val="none"/>
          <w:lang w:val="en-US" w:eastAsia="zh-CN" w:bidi="ar-SA"/>
        </w:rPr>
        <w:t>。</w:t>
      </w:r>
    </w:p>
    <w:p w14:paraId="749959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firstLine="0" w:firstLineChars="0"/>
        <w:jc w:val="center"/>
        <w:textAlignment w:val="auto"/>
        <w:rPr>
          <w:rFonts w:hint="default" w:ascii="Times New Roman" w:hAnsi="Times New Roman" w:eastAsia="宋体" w:cs="Times New Roman"/>
          <w:b/>
          <w:i w:val="0"/>
          <w:caps w:val="0"/>
          <w:color w:val="000000"/>
          <w:spacing w:val="0"/>
          <w:kern w:val="0"/>
          <w:sz w:val="24"/>
          <w:szCs w:val="24"/>
          <w:highlight w:val="none"/>
          <w:lang w:val="en-US" w:eastAsia="zh-CN" w:bidi="ar"/>
        </w:rPr>
      </w:pPr>
      <w:r>
        <w:rPr>
          <w:rFonts w:hint="default" w:ascii="Times New Roman" w:hAnsi="Times New Roman" w:eastAsia="宋体" w:cs="Times New Roman"/>
          <w:b/>
          <w:i w:val="0"/>
          <w:caps w:val="0"/>
          <w:color w:val="000000"/>
          <w:spacing w:val="0"/>
          <w:kern w:val="0"/>
          <w:sz w:val="24"/>
          <w:szCs w:val="24"/>
          <w:highlight w:val="none"/>
          <w:lang w:val="en-US" w:eastAsia="zh-CN" w:bidi="ar"/>
        </w:rPr>
        <w:t>表5-4　按行业大类分组的居民服务、修理和其他服务业</w:t>
      </w:r>
    </w:p>
    <w:p w14:paraId="69EB67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firstLine="0" w:firstLineChars="0"/>
        <w:jc w:val="center"/>
        <w:textAlignment w:val="auto"/>
        <w:rPr>
          <w:rFonts w:hint="default" w:ascii="Times New Roman" w:hAnsi="Times New Roman" w:eastAsia="宋体" w:cs="Times New Roman"/>
          <w:b/>
          <w:i w:val="0"/>
          <w:caps w:val="0"/>
          <w:color w:val="000000"/>
          <w:spacing w:val="0"/>
          <w:kern w:val="0"/>
          <w:sz w:val="24"/>
          <w:szCs w:val="24"/>
          <w:highlight w:val="none"/>
          <w:lang w:val="en-US" w:eastAsia="zh-CN" w:bidi="ar"/>
        </w:rPr>
      </w:pPr>
      <w:r>
        <w:rPr>
          <w:rFonts w:hint="default" w:ascii="Times New Roman" w:hAnsi="Times New Roman" w:eastAsia="宋体" w:cs="Times New Roman"/>
          <w:b/>
          <w:i w:val="0"/>
          <w:caps w:val="0"/>
          <w:color w:val="000000"/>
          <w:spacing w:val="0"/>
          <w:kern w:val="0"/>
          <w:sz w:val="24"/>
          <w:szCs w:val="24"/>
          <w:highlight w:val="none"/>
          <w:lang w:val="en-US" w:eastAsia="zh-CN" w:bidi="ar"/>
        </w:rPr>
        <w:t>企业法人单位数和从业人员</w:t>
      </w:r>
    </w:p>
    <w:tbl>
      <w:tblPr>
        <w:tblStyle w:val="12"/>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4414"/>
        <w:gridCol w:w="2506"/>
        <w:gridCol w:w="1920"/>
      </w:tblGrid>
      <w:tr w14:paraId="22372C2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2496" w:type="pct"/>
            <w:tcBorders>
              <w:top w:val="single" w:color="auto" w:sz="12" w:space="0"/>
              <w:left w:val="nil"/>
              <w:bottom w:val="single" w:color="auto" w:sz="4" w:space="0"/>
              <w:right w:val="single" w:color="auto" w:sz="4" w:space="0"/>
            </w:tcBorders>
            <w:noWrap w:val="0"/>
            <w:vAlign w:val="center"/>
          </w:tcPr>
          <w:p w14:paraId="5B1FE93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color w:val="000000"/>
                <w:spacing w:val="0"/>
                <w:sz w:val="21"/>
                <w:szCs w:val="21"/>
                <w:highlight w:val="none"/>
              </w:rPr>
            </w:pPr>
          </w:p>
        </w:tc>
        <w:tc>
          <w:tcPr>
            <w:tcW w:w="1417" w:type="pct"/>
            <w:tcBorders>
              <w:top w:val="single" w:color="auto" w:sz="12" w:space="0"/>
              <w:left w:val="single" w:color="auto" w:sz="4" w:space="0"/>
              <w:bottom w:val="single" w:color="auto" w:sz="4" w:space="0"/>
              <w:right w:val="single" w:color="auto" w:sz="4" w:space="0"/>
            </w:tcBorders>
            <w:noWrap w:val="0"/>
            <w:vAlign w:val="center"/>
          </w:tcPr>
          <w:p w14:paraId="543240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b/>
                <w:bCs/>
                <w:color w:val="000000"/>
                <w:spacing w:val="0"/>
                <w:kern w:val="0"/>
                <w:sz w:val="21"/>
                <w:szCs w:val="21"/>
                <w:highlight w:val="none"/>
                <w:lang w:val="en-US" w:eastAsia="zh-CN" w:bidi="ar"/>
              </w:rPr>
            </w:pPr>
            <w:r>
              <w:rPr>
                <w:rFonts w:hint="default" w:ascii="Times New Roman" w:hAnsi="Times New Roman" w:eastAsia="宋体" w:cs="Times New Roman"/>
                <w:b/>
                <w:bCs/>
                <w:color w:val="000000"/>
                <w:spacing w:val="0"/>
                <w:kern w:val="0"/>
                <w:sz w:val="21"/>
                <w:szCs w:val="21"/>
                <w:highlight w:val="none"/>
                <w:lang w:val="en-US" w:eastAsia="zh-CN" w:bidi="ar"/>
              </w:rPr>
              <w:t>企业法人单位</w:t>
            </w:r>
          </w:p>
          <w:p w14:paraId="53F0CE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b/>
                <w:bCs/>
                <w:color w:val="000000"/>
                <w:spacing w:val="0"/>
                <w:sz w:val="21"/>
                <w:szCs w:val="21"/>
                <w:highlight w:val="none"/>
              </w:rPr>
            </w:pPr>
            <w:r>
              <w:rPr>
                <w:rFonts w:hint="default" w:ascii="Times New Roman" w:hAnsi="Times New Roman" w:eastAsia="宋体" w:cs="Times New Roman"/>
                <w:b/>
                <w:bCs/>
                <w:color w:val="000000"/>
                <w:spacing w:val="0"/>
                <w:kern w:val="0"/>
                <w:sz w:val="21"/>
                <w:szCs w:val="21"/>
                <w:highlight w:val="none"/>
                <w:lang w:val="en-US" w:eastAsia="zh-CN" w:bidi="ar"/>
              </w:rPr>
              <w:t>（个）</w:t>
            </w:r>
          </w:p>
        </w:tc>
        <w:tc>
          <w:tcPr>
            <w:tcW w:w="1086" w:type="pct"/>
            <w:tcBorders>
              <w:top w:val="single" w:color="auto" w:sz="12" w:space="0"/>
              <w:left w:val="single" w:color="auto" w:sz="4" w:space="0"/>
              <w:bottom w:val="single" w:color="auto" w:sz="4" w:space="0"/>
              <w:right w:val="nil"/>
            </w:tcBorders>
            <w:noWrap w:val="0"/>
            <w:vAlign w:val="center"/>
          </w:tcPr>
          <w:p w14:paraId="783BE5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b/>
                <w:bCs/>
                <w:color w:val="000000"/>
                <w:spacing w:val="0"/>
                <w:kern w:val="0"/>
                <w:sz w:val="21"/>
                <w:szCs w:val="21"/>
                <w:highlight w:val="none"/>
                <w:lang w:val="en-US" w:eastAsia="zh-CN" w:bidi="ar"/>
              </w:rPr>
            </w:pPr>
            <w:r>
              <w:rPr>
                <w:rFonts w:hint="default" w:ascii="Times New Roman" w:hAnsi="Times New Roman" w:eastAsia="宋体" w:cs="Times New Roman"/>
                <w:b/>
                <w:bCs/>
                <w:color w:val="000000"/>
                <w:spacing w:val="0"/>
                <w:kern w:val="0"/>
                <w:sz w:val="21"/>
                <w:szCs w:val="21"/>
                <w:highlight w:val="none"/>
                <w:lang w:val="en-US" w:eastAsia="zh-CN" w:bidi="ar"/>
              </w:rPr>
              <w:t>从业人员</w:t>
            </w:r>
          </w:p>
          <w:p w14:paraId="399C01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b/>
                <w:bCs/>
                <w:color w:val="000000"/>
                <w:spacing w:val="0"/>
                <w:sz w:val="21"/>
                <w:szCs w:val="21"/>
                <w:highlight w:val="none"/>
              </w:rPr>
            </w:pPr>
            <w:r>
              <w:rPr>
                <w:rFonts w:hint="default" w:ascii="Times New Roman" w:hAnsi="Times New Roman" w:eastAsia="宋体" w:cs="Times New Roman"/>
                <w:b/>
                <w:bCs/>
                <w:color w:val="000000"/>
                <w:spacing w:val="0"/>
                <w:kern w:val="0"/>
                <w:sz w:val="21"/>
                <w:szCs w:val="21"/>
                <w:highlight w:val="none"/>
                <w:lang w:val="en-US" w:eastAsia="zh-CN" w:bidi="ar"/>
              </w:rPr>
              <w:t>（人）</w:t>
            </w:r>
          </w:p>
        </w:tc>
      </w:tr>
      <w:tr w14:paraId="5BCF4D8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20" w:hRule="atLeast"/>
          <w:jc w:val="center"/>
        </w:trPr>
        <w:tc>
          <w:tcPr>
            <w:tcW w:w="2496" w:type="pct"/>
            <w:tcBorders>
              <w:top w:val="single" w:color="auto" w:sz="4" w:space="0"/>
              <w:left w:val="nil"/>
              <w:bottom w:val="nil"/>
              <w:right w:val="single" w:color="auto" w:sz="4" w:space="0"/>
            </w:tcBorders>
            <w:noWrap w:val="0"/>
            <w:vAlign w:val="center"/>
          </w:tcPr>
          <w:p w14:paraId="1ADB35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center"/>
              <w:textAlignment w:val="auto"/>
              <w:rPr>
                <w:rFonts w:hint="default" w:ascii="Times New Roman" w:hAnsi="Times New Roman" w:eastAsia="宋体" w:cs="Times New Roman"/>
                <w:color w:val="000000"/>
                <w:spacing w:val="0"/>
                <w:sz w:val="21"/>
                <w:szCs w:val="21"/>
                <w:highlight w:val="none"/>
              </w:rPr>
            </w:pPr>
            <w:r>
              <w:rPr>
                <w:rFonts w:hint="default" w:ascii="Times New Roman" w:hAnsi="Times New Roman" w:eastAsia="宋体" w:cs="Times New Roman"/>
                <w:b/>
                <w:color w:val="000000"/>
                <w:spacing w:val="0"/>
                <w:kern w:val="0"/>
                <w:sz w:val="21"/>
                <w:szCs w:val="21"/>
                <w:highlight w:val="none"/>
                <w:lang w:val="en-US" w:eastAsia="zh-CN" w:bidi="ar"/>
              </w:rPr>
              <w:t>合　计</w:t>
            </w:r>
          </w:p>
        </w:tc>
        <w:tc>
          <w:tcPr>
            <w:tcW w:w="1417" w:type="pct"/>
            <w:tcBorders>
              <w:top w:val="single" w:color="auto" w:sz="4" w:space="0"/>
              <w:left w:val="single" w:color="auto" w:sz="4" w:space="0"/>
              <w:bottom w:val="nil"/>
              <w:right w:val="single" w:color="auto" w:sz="4" w:space="0"/>
            </w:tcBorders>
            <w:shd w:val="clear" w:color="auto" w:fill="auto"/>
            <w:noWrap w:val="0"/>
            <w:vAlign w:val="center"/>
          </w:tcPr>
          <w:p w14:paraId="1CBD5710">
            <w:pPr>
              <w:keepNext w:val="0"/>
              <w:keepLines w:val="0"/>
              <w:widowControl/>
              <w:suppressLineNumbers w:val="0"/>
              <w:jc w:val="right"/>
              <w:textAlignment w:val="center"/>
              <w:rPr>
                <w:rFonts w:hint="default" w:ascii="Times New Roman" w:hAnsi="Times New Roman" w:eastAsia="宋体" w:cs="Times New Roman"/>
                <w:b/>
                <w:bCs/>
                <w:i w:val="0"/>
                <w:iCs w:val="0"/>
                <w:color w:val="000000"/>
                <w:spacing w:val="0"/>
                <w:kern w:val="2"/>
                <w:sz w:val="22"/>
                <w:szCs w:val="22"/>
                <w:u w:val="none"/>
                <w:lang w:val="en" w:eastAsia="zh-CN" w:bidi="ar-SA"/>
              </w:rPr>
            </w:pPr>
            <w:r>
              <w:rPr>
                <w:rFonts w:hint="default" w:ascii="Times New Roman" w:hAnsi="Times New Roman" w:eastAsia="宋体" w:cs="Times New Roman"/>
                <w:b/>
                <w:bCs/>
                <w:i w:val="0"/>
                <w:iCs w:val="0"/>
                <w:color w:val="000000"/>
                <w:spacing w:val="0"/>
                <w:kern w:val="0"/>
                <w:sz w:val="22"/>
                <w:szCs w:val="22"/>
                <w:u w:val="none"/>
                <w:lang w:val="en-US" w:eastAsia="zh-CN" w:bidi="ar"/>
              </w:rPr>
              <w:t xml:space="preserve">94 </w:t>
            </w:r>
          </w:p>
        </w:tc>
        <w:tc>
          <w:tcPr>
            <w:tcW w:w="1086" w:type="pct"/>
            <w:tcBorders>
              <w:top w:val="single" w:color="auto" w:sz="4" w:space="0"/>
              <w:left w:val="single" w:color="auto" w:sz="4" w:space="0"/>
              <w:bottom w:val="nil"/>
              <w:right w:val="nil"/>
            </w:tcBorders>
            <w:shd w:val="clear" w:color="auto" w:fill="auto"/>
            <w:noWrap w:val="0"/>
            <w:vAlign w:val="center"/>
          </w:tcPr>
          <w:p w14:paraId="6BD2116A">
            <w:pPr>
              <w:keepNext w:val="0"/>
              <w:keepLines w:val="0"/>
              <w:widowControl/>
              <w:suppressLineNumbers w:val="0"/>
              <w:jc w:val="right"/>
              <w:textAlignment w:val="center"/>
              <w:rPr>
                <w:rFonts w:hint="default" w:ascii="Times New Roman" w:hAnsi="Times New Roman" w:eastAsia="宋体" w:cs="Times New Roman"/>
                <w:b/>
                <w:bCs/>
                <w:i w:val="0"/>
                <w:iCs w:val="0"/>
                <w:color w:val="000000"/>
                <w:spacing w:val="0"/>
                <w:kern w:val="2"/>
                <w:sz w:val="22"/>
                <w:szCs w:val="22"/>
                <w:u w:val="none"/>
                <w:lang w:val="en" w:eastAsia="zh-CN" w:bidi="ar-SA"/>
              </w:rPr>
            </w:pPr>
            <w:r>
              <w:rPr>
                <w:rFonts w:hint="default" w:ascii="Times New Roman" w:hAnsi="Times New Roman" w:eastAsia="宋体" w:cs="Times New Roman"/>
                <w:b/>
                <w:bCs/>
                <w:i w:val="0"/>
                <w:iCs w:val="0"/>
                <w:color w:val="000000"/>
                <w:spacing w:val="0"/>
                <w:kern w:val="0"/>
                <w:sz w:val="22"/>
                <w:szCs w:val="22"/>
                <w:u w:val="none"/>
                <w:lang w:val="en-US" w:eastAsia="zh-CN" w:bidi="ar"/>
              </w:rPr>
              <w:t xml:space="preserve">582 </w:t>
            </w:r>
          </w:p>
        </w:tc>
      </w:tr>
      <w:tr w14:paraId="23340F5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20" w:hRule="atLeast"/>
          <w:jc w:val="center"/>
        </w:trPr>
        <w:tc>
          <w:tcPr>
            <w:tcW w:w="2496" w:type="pct"/>
            <w:tcBorders>
              <w:top w:val="nil"/>
              <w:left w:val="nil"/>
              <w:bottom w:val="nil"/>
              <w:right w:val="single" w:color="auto" w:sz="4" w:space="0"/>
            </w:tcBorders>
            <w:noWrap w:val="0"/>
            <w:vAlign w:val="center"/>
          </w:tcPr>
          <w:p w14:paraId="65F8D5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default" w:ascii="Times New Roman" w:hAnsi="Times New Roman" w:eastAsia="宋体" w:cs="Times New Roman"/>
                <w:color w:val="000000"/>
                <w:spacing w:val="0"/>
                <w:sz w:val="21"/>
                <w:szCs w:val="21"/>
                <w:highlight w:val="none"/>
              </w:rPr>
            </w:pPr>
            <w:r>
              <w:rPr>
                <w:rFonts w:hint="default" w:ascii="Times New Roman" w:hAnsi="Times New Roman" w:eastAsia="宋体" w:cs="Times New Roman"/>
                <w:color w:val="000000"/>
                <w:spacing w:val="0"/>
                <w:kern w:val="0"/>
                <w:sz w:val="21"/>
                <w:szCs w:val="21"/>
                <w:highlight w:val="none"/>
                <w:lang w:val="en-US" w:eastAsia="zh-CN" w:bidi="ar"/>
              </w:rPr>
              <w:t>居民服务业</w:t>
            </w:r>
          </w:p>
        </w:tc>
        <w:tc>
          <w:tcPr>
            <w:tcW w:w="1417" w:type="pct"/>
            <w:tcBorders>
              <w:top w:val="nil"/>
              <w:left w:val="single" w:color="auto" w:sz="4" w:space="0"/>
              <w:bottom w:val="nil"/>
              <w:right w:val="single" w:color="auto" w:sz="4" w:space="0"/>
            </w:tcBorders>
            <w:shd w:val="clear" w:color="auto" w:fill="auto"/>
            <w:noWrap w:val="0"/>
            <w:vAlign w:val="center"/>
          </w:tcPr>
          <w:p w14:paraId="79F2D4CE">
            <w:pPr>
              <w:keepNext w:val="0"/>
              <w:keepLines w:val="0"/>
              <w:widowControl/>
              <w:suppressLineNumbers w:val="0"/>
              <w:jc w:val="right"/>
              <w:textAlignment w:val="center"/>
              <w:rPr>
                <w:rFonts w:hint="default" w:ascii="Times New Roman" w:hAnsi="Times New Roman" w:eastAsia="宋体" w:cs="Times New Roman"/>
                <w:i w:val="0"/>
                <w:iCs w:val="0"/>
                <w:color w:val="000000"/>
                <w:spacing w:val="0"/>
                <w:kern w:val="2"/>
                <w:sz w:val="22"/>
                <w:szCs w:val="22"/>
                <w:u w:val="none"/>
                <w:lang w:val="en" w:eastAsia="zh-CN" w:bidi="ar-SA"/>
              </w:rPr>
            </w:pPr>
            <w:r>
              <w:rPr>
                <w:rFonts w:hint="default" w:ascii="Times New Roman" w:hAnsi="Times New Roman" w:eastAsia="宋体" w:cs="Times New Roman"/>
                <w:i w:val="0"/>
                <w:iCs w:val="0"/>
                <w:color w:val="000000"/>
                <w:spacing w:val="0"/>
                <w:kern w:val="0"/>
                <w:sz w:val="22"/>
                <w:szCs w:val="22"/>
                <w:u w:val="none"/>
                <w:lang w:val="en-US" w:eastAsia="zh-CN" w:bidi="ar"/>
              </w:rPr>
              <w:t xml:space="preserve">47 </w:t>
            </w:r>
          </w:p>
        </w:tc>
        <w:tc>
          <w:tcPr>
            <w:tcW w:w="1086" w:type="pct"/>
            <w:tcBorders>
              <w:top w:val="nil"/>
              <w:left w:val="single" w:color="auto" w:sz="4" w:space="0"/>
              <w:bottom w:val="nil"/>
              <w:right w:val="nil"/>
            </w:tcBorders>
            <w:shd w:val="clear" w:color="auto" w:fill="auto"/>
            <w:noWrap w:val="0"/>
            <w:vAlign w:val="center"/>
          </w:tcPr>
          <w:p w14:paraId="7831AC39">
            <w:pPr>
              <w:keepNext w:val="0"/>
              <w:keepLines w:val="0"/>
              <w:widowControl/>
              <w:suppressLineNumbers w:val="0"/>
              <w:jc w:val="right"/>
              <w:textAlignment w:val="center"/>
              <w:rPr>
                <w:rFonts w:hint="default" w:ascii="Times New Roman" w:hAnsi="Times New Roman" w:eastAsia="宋体" w:cs="Times New Roman"/>
                <w:i w:val="0"/>
                <w:iCs w:val="0"/>
                <w:color w:val="000000"/>
                <w:spacing w:val="0"/>
                <w:kern w:val="2"/>
                <w:sz w:val="22"/>
                <w:szCs w:val="22"/>
                <w:u w:val="none"/>
                <w:lang w:val="en" w:eastAsia="zh-CN" w:bidi="ar-SA"/>
              </w:rPr>
            </w:pPr>
            <w:r>
              <w:rPr>
                <w:rFonts w:hint="default" w:ascii="Times New Roman" w:hAnsi="Times New Roman" w:eastAsia="宋体" w:cs="Times New Roman"/>
                <w:i w:val="0"/>
                <w:iCs w:val="0"/>
                <w:color w:val="000000"/>
                <w:spacing w:val="0"/>
                <w:kern w:val="0"/>
                <w:sz w:val="22"/>
                <w:szCs w:val="22"/>
                <w:u w:val="none"/>
                <w:lang w:val="en-US" w:eastAsia="zh-CN" w:bidi="ar"/>
              </w:rPr>
              <w:t xml:space="preserve">309 </w:t>
            </w:r>
          </w:p>
        </w:tc>
      </w:tr>
      <w:tr w14:paraId="6831C63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20" w:hRule="atLeast"/>
          <w:jc w:val="center"/>
        </w:trPr>
        <w:tc>
          <w:tcPr>
            <w:tcW w:w="2496" w:type="pct"/>
            <w:tcBorders>
              <w:top w:val="nil"/>
              <w:left w:val="nil"/>
              <w:bottom w:val="nil"/>
              <w:right w:val="single" w:color="auto" w:sz="4" w:space="0"/>
            </w:tcBorders>
            <w:noWrap w:val="0"/>
            <w:vAlign w:val="center"/>
          </w:tcPr>
          <w:p w14:paraId="3B56B5B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default" w:ascii="Times New Roman" w:hAnsi="Times New Roman" w:eastAsia="宋体" w:cs="Times New Roman"/>
                <w:color w:val="000000"/>
                <w:spacing w:val="0"/>
                <w:sz w:val="21"/>
                <w:szCs w:val="21"/>
                <w:highlight w:val="none"/>
              </w:rPr>
            </w:pPr>
            <w:r>
              <w:rPr>
                <w:rFonts w:hint="default" w:ascii="Times New Roman" w:hAnsi="Times New Roman" w:eastAsia="宋体" w:cs="Times New Roman"/>
                <w:color w:val="000000"/>
                <w:spacing w:val="0"/>
                <w:kern w:val="0"/>
                <w:sz w:val="21"/>
                <w:szCs w:val="21"/>
                <w:highlight w:val="none"/>
                <w:lang w:val="en-US" w:eastAsia="zh-CN" w:bidi="ar"/>
              </w:rPr>
              <w:t>机动车、电子产品和日用产品修理业</w:t>
            </w:r>
          </w:p>
        </w:tc>
        <w:tc>
          <w:tcPr>
            <w:tcW w:w="1417" w:type="pct"/>
            <w:tcBorders>
              <w:top w:val="nil"/>
              <w:left w:val="single" w:color="auto" w:sz="4" w:space="0"/>
              <w:bottom w:val="nil"/>
              <w:right w:val="single" w:color="auto" w:sz="4" w:space="0"/>
            </w:tcBorders>
            <w:shd w:val="clear" w:color="auto" w:fill="auto"/>
            <w:noWrap w:val="0"/>
            <w:vAlign w:val="center"/>
          </w:tcPr>
          <w:p w14:paraId="4F105B60">
            <w:pPr>
              <w:keepNext w:val="0"/>
              <w:keepLines w:val="0"/>
              <w:widowControl/>
              <w:suppressLineNumbers w:val="0"/>
              <w:jc w:val="right"/>
              <w:textAlignment w:val="center"/>
              <w:rPr>
                <w:rFonts w:hint="default" w:ascii="Times New Roman" w:hAnsi="Times New Roman" w:eastAsia="宋体" w:cs="Times New Roman"/>
                <w:i w:val="0"/>
                <w:iCs w:val="0"/>
                <w:color w:val="000000"/>
                <w:spacing w:val="0"/>
                <w:kern w:val="2"/>
                <w:sz w:val="22"/>
                <w:szCs w:val="22"/>
                <w:u w:val="none"/>
                <w:lang w:val="en" w:eastAsia="zh-CN" w:bidi="ar-SA"/>
              </w:rPr>
            </w:pPr>
            <w:r>
              <w:rPr>
                <w:rFonts w:hint="default" w:ascii="Times New Roman" w:hAnsi="Times New Roman" w:eastAsia="宋体" w:cs="Times New Roman"/>
                <w:i w:val="0"/>
                <w:iCs w:val="0"/>
                <w:color w:val="000000"/>
                <w:spacing w:val="0"/>
                <w:kern w:val="0"/>
                <w:sz w:val="22"/>
                <w:szCs w:val="22"/>
                <w:u w:val="none"/>
                <w:lang w:val="en-US" w:eastAsia="zh-CN" w:bidi="ar"/>
              </w:rPr>
              <w:t xml:space="preserve">34 </w:t>
            </w:r>
          </w:p>
        </w:tc>
        <w:tc>
          <w:tcPr>
            <w:tcW w:w="1086" w:type="pct"/>
            <w:tcBorders>
              <w:top w:val="nil"/>
              <w:left w:val="single" w:color="auto" w:sz="4" w:space="0"/>
              <w:bottom w:val="nil"/>
              <w:right w:val="nil"/>
            </w:tcBorders>
            <w:shd w:val="clear" w:color="auto" w:fill="auto"/>
            <w:noWrap w:val="0"/>
            <w:vAlign w:val="center"/>
          </w:tcPr>
          <w:p w14:paraId="3A51B223">
            <w:pPr>
              <w:keepNext w:val="0"/>
              <w:keepLines w:val="0"/>
              <w:widowControl/>
              <w:suppressLineNumbers w:val="0"/>
              <w:jc w:val="right"/>
              <w:textAlignment w:val="center"/>
              <w:rPr>
                <w:rFonts w:hint="default" w:ascii="Times New Roman" w:hAnsi="Times New Roman" w:eastAsia="宋体" w:cs="Times New Roman"/>
                <w:i w:val="0"/>
                <w:iCs w:val="0"/>
                <w:color w:val="000000"/>
                <w:spacing w:val="0"/>
                <w:kern w:val="2"/>
                <w:sz w:val="22"/>
                <w:szCs w:val="22"/>
                <w:u w:val="none"/>
                <w:lang w:val="en" w:eastAsia="zh-CN" w:bidi="ar-SA"/>
              </w:rPr>
            </w:pPr>
            <w:r>
              <w:rPr>
                <w:rFonts w:hint="default" w:ascii="Times New Roman" w:hAnsi="Times New Roman" w:eastAsia="宋体" w:cs="Times New Roman"/>
                <w:i w:val="0"/>
                <w:iCs w:val="0"/>
                <w:color w:val="000000"/>
                <w:spacing w:val="0"/>
                <w:kern w:val="0"/>
                <w:sz w:val="22"/>
                <w:szCs w:val="22"/>
                <w:u w:val="none"/>
                <w:lang w:val="en-US" w:eastAsia="zh-CN" w:bidi="ar"/>
              </w:rPr>
              <w:t xml:space="preserve">178 </w:t>
            </w:r>
          </w:p>
        </w:tc>
      </w:tr>
      <w:tr w14:paraId="4B11BE1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20" w:hRule="atLeast"/>
          <w:jc w:val="center"/>
        </w:trPr>
        <w:tc>
          <w:tcPr>
            <w:tcW w:w="2496" w:type="pct"/>
            <w:tcBorders>
              <w:top w:val="nil"/>
              <w:left w:val="nil"/>
              <w:bottom w:val="single" w:color="auto" w:sz="12" w:space="0"/>
              <w:right w:val="single" w:color="auto" w:sz="4" w:space="0"/>
            </w:tcBorders>
            <w:noWrap w:val="0"/>
            <w:vAlign w:val="center"/>
          </w:tcPr>
          <w:p w14:paraId="094160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default" w:ascii="Times New Roman" w:hAnsi="Times New Roman" w:eastAsia="宋体" w:cs="Times New Roman"/>
                <w:color w:val="000000"/>
                <w:spacing w:val="0"/>
                <w:sz w:val="21"/>
                <w:szCs w:val="21"/>
                <w:highlight w:val="none"/>
              </w:rPr>
            </w:pPr>
            <w:r>
              <w:rPr>
                <w:rFonts w:hint="default" w:ascii="Times New Roman" w:hAnsi="Times New Roman" w:eastAsia="宋体" w:cs="Times New Roman"/>
                <w:color w:val="000000"/>
                <w:spacing w:val="0"/>
                <w:kern w:val="0"/>
                <w:sz w:val="21"/>
                <w:szCs w:val="21"/>
                <w:highlight w:val="none"/>
                <w:lang w:val="en-US" w:eastAsia="zh-CN" w:bidi="ar"/>
              </w:rPr>
              <w:t>其他服务业</w:t>
            </w:r>
          </w:p>
        </w:tc>
        <w:tc>
          <w:tcPr>
            <w:tcW w:w="1417" w:type="pct"/>
            <w:tcBorders>
              <w:top w:val="nil"/>
              <w:left w:val="single" w:color="auto" w:sz="4" w:space="0"/>
              <w:bottom w:val="single" w:color="auto" w:sz="12" w:space="0"/>
              <w:right w:val="single" w:color="auto" w:sz="4" w:space="0"/>
            </w:tcBorders>
            <w:shd w:val="clear" w:color="auto" w:fill="auto"/>
            <w:noWrap w:val="0"/>
            <w:vAlign w:val="center"/>
          </w:tcPr>
          <w:p w14:paraId="1ADDAB05">
            <w:pPr>
              <w:keepNext w:val="0"/>
              <w:keepLines w:val="0"/>
              <w:widowControl/>
              <w:suppressLineNumbers w:val="0"/>
              <w:jc w:val="right"/>
              <w:textAlignment w:val="center"/>
              <w:rPr>
                <w:rFonts w:hint="default" w:ascii="Times New Roman" w:hAnsi="Times New Roman" w:eastAsia="宋体" w:cs="Times New Roman"/>
                <w:i w:val="0"/>
                <w:iCs w:val="0"/>
                <w:color w:val="000000"/>
                <w:spacing w:val="0"/>
                <w:kern w:val="2"/>
                <w:sz w:val="22"/>
                <w:szCs w:val="22"/>
                <w:u w:val="none"/>
                <w:lang w:val="en" w:eastAsia="zh-CN" w:bidi="ar-SA"/>
              </w:rPr>
            </w:pPr>
            <w:r>
              <w:rPr>
                <w:rFonts w:hint="default" w:ascii="Times New Roman" w:hAnsi="Times New Roman" w:eastAsia="宋体" w:cs="Times New Roman"/>
                <w:i w:val="0"/>
                <w:iCs w:val="0"/>
                <w:color w:val="000000"/>
                <w:spacing w:val="0"/>
                <w:kern w:val="0"/>
                <w:sz w:val="22"/>
                <w:szCs w:val="22"/>
                <w:u w:val="none"/>
                <w:lang w:val="en-US" w:eastAsia="zh-CN" w:bidi="ar"/>
              </w:rPr>
              <w:t xml:space="preserve">13 </w:t>
            </w:r>
          </w:p>
        </w:tc>
        <w:tc>
          <w:tcPr>
            <w:tcW w:w="1086" w:type="pct"/>
            <w:tcBorders>
              <w:top w:val="nil"/>
              <w:left w:val="single" w:color="auto" w:sz="4" w:space="0"/>
              <w:bottom w:val="single" w:color="auto" w:sz="12" w:space="0"/>
              <w:right w:val="nil"/>
            </w:tcBorders>
            <w:shd w:val="clear" w:color="auto" w:fill="auto"/>
            <w:noWrap w:val="0"/>
            <w:vAlign w:val="center"/>
          </w:tcPr>
          <w:p w14:paraId="5D71051B">
            <w:pPr>
              <w:keepNext w:val="0"/>
              <w:keepLines w:val="0"/>
              <w:widowControl/>
              <w:suppressLineNumbers w:val="0"/>
              <w:jc w:val="right"/>
              <w:textAlignment w:val="center"/>
              <w:rPr>
                <w:rFonts w:hint="default" w:ascii="Times New Roman" w:hAnsi="Times New Roman" w:eastAsia="宋体" w:cs="Times New Roman"/>
                <w:i w:val="0"/>
                <w:iCs w:val="0"/>
                <w:color w:val="000000"/>
                <w:spacing w:val="0"/>
                <w:kern w:val="2"/>
                <w:sz w:val="22"/>
                <w:szCs w:val="22"/>
                <w:u w:val="none"/>
                <w:lang w:val="en" w:eastAsia="zh-CN" w:bidi="ar-SA"/>
              </w:rPr>
            </w:pPr>
            <w:r>
              <w:rPr>
                <w:rFonts w:hint="default" w:ascii="Times New Roman" w:hAnsi="Times New Roman" w:eastAsia="宋体" w:cs="Times New Roman"/>
                <w:i w:val="0"/>
                <w:iCs w:val="0"/>
                <w:color w:val="000000"/>
                <w:spacing w:val="0"/>
                <w:kern w:val="0"/>
                <w:sz w:val="22"/>
                <w:szCs w:val="22"/>
                <w:u w:val="none"/>
                <w:lang w:val="en-US" w:eastAsia="zh-CN" w:bidi="ar"/>
              </w:rPr>
              <w:t xml:space="preserve">95 </w:t>
            </w:r>
          </w:p>
        </w:tc>
      </w:tr>
    </w:tbl>
    <w:p w14:paraId="65BA20E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在居民服务、修理和其他服务业企业法人单位中，内资企业</w:t>
      </w:r>
      <w:r>
        <w:rPr>
          <w:rFonts w:hint="default" w:ascii="Times New Roman" w:hAnsi="Times New Roman" w:eastAsia="仿宋_GB2312" w:cs="Times New Roman"/>
          <w:i w:val="0"/>
          <w:iCs w:val="0"/>
          <w:caps w:val="0"/>
          <w:color w:val="000000"/>
          <w:spacing w:val="0"/>
          <w:sz w:val="32"/>
          <w:szCs w:val="32"/>
          <w:lang w:val="en-US" w:eastAsia="zh-CN"/>
        </w:rPr>
        <w:t>93</w:t>
      </w:r>
      <w:r>
        <w:rPr>
          <w:rFonts w:hint="default" w:ascii="Times New Roman" w:hAnsi="Times New Roman" w:eastAsia="仿宋_GB2312" w:cs="Times New Roman"/>
          <w:i w:val="0"/>
          <w:iCs w:val="0"/>
          <w:caps w:val="0"/>
          <w:color w:val="000000"/>
          <w:spacing w:val="0"/>
          <w:sz w:val="32"/>
          <w:szCs w:val="32"/>
        </w:rPr>
        <w:t>个，占</w:t>
      </w:r>
      <w:r>
        <w:rPr>
          <w:rFonts w:hint="default" w:ascii="Times New Roman" w:hAnsi="Times New Roman" w:eastAsia="仿宋_GB2312" w:cs="Times New Roman"/>
          <w:i w:val="0"/>
          <w:iCs w:val="0"/>
          <w:caps w:val="0"/>
          <w:color w:val="000000"/>
          <w:spacing w:val="0"/>
          <w:sz w:val="32"/>
          <w:szCs w:val="32"/>
          <w:lang w:val="en-US" w:eastAsia="zh-CN"/>
        </w:rPr>
        <w:t>98.9</w:t>
      </w:r>
      <w:r>
        <w:rPr>
          <w:rFonts w:hint="default" w:ascii="Times New Roman" w:hAnsi="Times New Roman" w:eastAsia="仿宋_GB2312" w:cs="Times New Roman"/>
          <w:i w:val="0"/>
          <w:iCs w:val="0"/>
          <w:caps w:val="0"/>
          <w:color w:val="000000"/>
          <w:spacing w:val="0"/>
          <w:sz w:val="32"/>
          <w:szCs w:val="32"/>
        </w:rPr>
        <w:t>%</w:t>
      </w:r>
      <w:r>
        <w:rPr>
          <w:rFonts w:hint="eastAsia" w:ascii="Times New Roman" w:hAnsi="Times New Roman" w:eastAsia="仿宋_GB2312" w:cs="Times New Roman"/>
          <w:i w:val="0"/>
          <w:iCs w:val="0"/>
          <w:caps w:val="0"/>
          <w:color w:val="000000"/>
          <w:spacing w:val="0"/>
          <w:sz w:val="32"/>
          <w:szCs w:val="32"/>
          <w:lang w:val="en-US" w:eastAsia="zh-CN"/>
        </w:rPr>
        <w:t>；其他统计类别1个，占1.1%</w:t>
      </w:r>
      <w:r>
        <w:rPr>
          <w:rFonts w:hint="default" w:ascii="Times New Roman" w:hAnsi="Times New Roman" w:eastAsia="仿宋_GB2312" w:cs="Times New Roman"/>
          <w:i w:val="0"/>
          <w:iCs w:val="0"/>
          <w:caps w:val="0"/>
          <w:color w:val="000000"/>
          <w:spacing w:val="0"/>
          <w:sz w:val="32"/>
          <w:szCs w:val="32"/>
        </w:rPr>
        <w:t>。</w:t>
      </w:r>
    </w:p>
    <w:p w14:paraId="6C157E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在居民服务、修理和其他服务业企业法人单位从业人员中，内资</w:t>
      </w:r>
      <w:r>
        <w:rPr>
          <w:rFonts w:hint="default" w:ascii="Times New Roman" w:hAnsi="Times New Roman" w:eastAsia="仿宋_GB2312" w:cs="Times New Roman"/>
          <w:i w:val="0"/>
          <w:iCs w:val="0"/>
          <w:caps w:val="0"/>
          <w:color w:val="000000"/>
          <w:spacing w:val="0"/>
          <w:sz w:val="32"/>
          <w:szCs w:val="32"/>
          <w:lang w:val="en-US" w:eastAsia="zh-CN"/>
        </w:rPr>
        <w:t>企</w:t>
      </w:r>
      <w:r>
        <w:rPr>
          <w:rFonts w:hint="default" w:ascii="Times New Roman" w:hAnsi="Times New Roman" w:eastAsia="仿宋_GB2312" w:cs="Times New Roman"/>
          <w:i w:val="0"/>
          <w:iCs w:val="0"/>
          <w:caps w:val="0"/>
          <w:color w:val="000000"/>
          <w:spacing w:val="0"/>
          <w:sz w:val="32"/>
          <w:szCs w:val="32"/>
        </w:rPr>
        <w:t>业</w:t>
      </w:r>
      <w:r>
        <w:rPr>
          <w:rFonts w:hint="default" w:ascii="Times New Roman" w:hAnsi="Times New Roman" w:eastAsia="仿宋_GB2312" w:cs="Times New Roman"/>
          <w:i w:val="0"/>
          <w:iCs w:val="0"/>
          <w:caps w:val="0"/>
          <w:color w:val="000000"/>
          <w:spacing w:val="0"/>
          <w:sz w:val="32"/>
          <w:szCs w:val="32"/>
          <w:lang w:val="en-US" w:eastAsia="zh-CN"/>
        </w:rPr>
        <w:t>578</w:t>
      </w:r>
      <w:r>
        <w:rPr>
          <w:rFonts w:hint="default" w:ascii="Times New Roman" w:hAnsi="Times New Roman" w:eastAsia="仿宋_GB2312" w:cs="Times New Roman"/>
          <w:i w:val="0"/>
          <w:iCs w:val="0"/>
          <w:caps w:val="0"/>
          <w:color w:val="000000"/>
          <w:spacing w:val="0"/>
          <w:sz w:val="32"/>
          <w:szCs w:val="32"/>
        </w:rPr>
        <w:t>人，占</w:t>
      </w:r>
      <w:r>
        <w:rPr>
          <w:rFonts w:hint="default" w:ascii="Times New Roman" w:hAnsi="Times New Roman" w:eastAsia="仿宋_GB2312" w:cs="Times New Roman"/>
          <w:i w:val="0"/>
          <w:iCs w:val="0"/>
          <w:caps w:val="0"/>
          <w:color w:val="000000"/>
          <w:spacing w:val="0"/>
          <w:sz w:val="32"/>
          <w:szCs w:val="32"/>
          <w:lang w:val="en-US" w:eastAsia="zh-CN"/>
        </w:rPr>
        <w:t>99.3</w:t>
      </w:r>
      <w:r>
        <w:rPr>
          <w:rFonts w:hint="default" w:ascii="Times New Roman" w:hAnsi="Times New Roman" w:eastAsia="仿宋_GB2312" w:cs="Times New Roman"/>
          <w:i w:val="0"/>
          <w:iCs w:val="0"/>
          <w:caps w:val="0"/>
          <w:color w:val="000000"/>
          <w:spacing w:val="0"/>
          <w:sz w:val="32"/>
          <w:szCs w:val="32"/>
        </w:rPr>
        <w:t>%</w:t>
      </w:r>
      <w:r>
        <w:rPr>
          <w:rFonts w:hint="eastAsia" w:ascii="Times New Roman" w:hAnsi="Times New Roman" w:eastAsia="仿宋_GB2312" w:cs="Times New Roman"/>
          <w:i w:val="0"/>
          <w:iCs w:val="0"/>
          <w:caps w:val="0"/>
          <w:color w:val="000000"/>
          <w:spacing w:val="0"/>
          <w:sz w:val="32"/>
          <w:szCs w:val="32"/>
          <w:lang w:val="en-US" w:eastAsia="zh-CN"/>
        </w:rPr>
        <w:t>；其他统计类别4人，占0.7%</w:t>
      </w:r>
      <w:r>
        <w:rPr>
          <w:rFonts w:hint="default" w:ascii="Times New Roman" w:hAnsi="Times New Roman" w:eastAsia="仿宋_GB2312" w:cs="Times New Roman"/>
          <w:i w:val="0"/>
          <w:iCs w:val="0"/>
          <w:caps w:val="0"/>
          <w:color w:val="000000"/>
          <w:spacing w:val="0"/>
          <w:sz w:val="32"/>
          <w:szCs w:val="32"/>
        </w:rPr>
        <w:t>。</w:t>
      </w:r>
    </w:p>
    <w:p w14:paraId="331474E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firstLine="643" w:firstLineChars="200"/>
        <w:jc w:val="both"/>
        <w:textAlignment w:val="auto"/>
        <w:outlineLvl w:val="2"/>
        <w:rPr>
          <w:rFonts w:hint="default" w:ascii="Times New Roman" w:hAnsi="Times New Roman" w:eastAsia="楷体_GB2312" w:cs="Times New Roman"/>
          <w:b/>
          <w:bCs/>
          <w:color w:val="000000"/>
          <w:spacing w:val="0"/>
          <w:kern w:val="2"/>
          <w:sz w:val="32"/>
          <w:szCs w:val="32"/>
          <w:u w:val="none"/>
          <w:lang w:val="en-US" w:eastAsia="zh-CN" w:bidi="ar-SA"/>
        </w:rPr>
      </w:pPr>
      <w:r>
        <w:rPr>
          <w:rFonts w:hint="default" w:ascii="Times New Roman" w:hAnsi="Times New Roman" w:eastAsia="楷体_GB2312" w:cs="Times New Roman"/>
          <w:b/>
          <w:bCs/>
          <w:color w:val="000000"/>
          <w:spacing w:val="0"/>
          <w:kern w:val="2"/>
          <w:sz w:val="32"/>
          <w:szCs w:val="32"/>
          <w:u w:val="none"/>
          <w:lang w:val="en-US" w:eastAsia="zh-CN" w:bidi="ar-SA"/>
        </w:rPr>
        <w:t>（二）主要经济指标</w:t>
      </w:r>
    </w:p>
    <w:p w14:paraId="38FE5FF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spacing w:val="0"/>
          <w:kern w:val="2"/>
          <w:sz w:val="32"/>
          <w:szCs w:val="32"/>
          <w:u w:val="none"/>
          <w:lang w:val="en-US" w:eastAsia="zh-CN" w:bidi="ar-SA"/>
        </w:rPr>
      </w:pPr>
      <w:r>
        <w:rPr>
          <w:rFonts w:hint="default" w:ascii="Times New Roman" w:hAnsi="Times New Roman" w:eastAsia="仿宋_GB2312" w:cs="Times New Roman"/>
          <w:color w:val="000000"/>
          <w:spacing w:val="0"/>
          <w:kern w:val="2"/>
          <w:sz w:val="32"/>
          <w:szCs w:val="32"/>
          <w:u w:val="none"/>
          <w:lang w:val="en-US" w:eastAsia="zh-CN" w:bidi="ar-SA"/>
        </w:rPr>
        <w:t>2023年末，全区居民服务、修理和其他服务业企业法人单位资产总计7865.0万元；负债合计1457.0万元。全年实现营业收入16617.5万元（详见表5-5）。</w:t>
      </w:r>
    </w:p>
    <w:p w14:paraId="753247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firstLine="0" w:firstLineChars="0"/>
        <w:jc w:val="center"/>
        <w:textAlignment w:val="auto"/>
        <w:rPr>
          <w:rFonts w:hint="default" w:ascii="Times New Roman" w:hAnsi="Times New Roman" w:eastAsia="宋体" w:cs="Times New Roman"/>
          <w:b/>
          <w:i w:val="0"/>
          <w:caps w:val="0"/>
          <w:color w:val="000000"/>
          <w:spacing w:val="0"/>
          <w:kern w:val="0"/>
          <w:sz w:val="24"/>
          <w:szCs w:val="24"/>
          <w:highlight w:val="none"/>
          <w:lang w:val="en-US" w:eastAsia="zh-CN" w:bidi="ar"/>
        </w:rPr>
      </w:pPr>
      <w:r>
        <w:rPr>
          <w:rFonts w:hint="default" w:ascii="Times New Roman" w:hAnsi="Times New Roman" w:eastAsia="宋体" w:cs="Times New Roman"/>
          <w:b/>
          <w:i w:val="0"/>
          <w:caps w:val="0"/>
          <w:color w:val="000000"/>
          <w:spacing w:val="0"/>
          <w:kern w:val="0"/>
          <w:sz w:val="24"/>
          <w:szCs w:val="24"/>
          <w:highlight w:val="none"/>
          <w:lang w:val="en-US" w:eastAsia="zh-CN" w:bidi="ar"/>
        </w:rPr>
        <w:t>表5-</w:t>
      </w:r>
      <w:r>
        <w:rPr>
          <w:rFonts w:hint="eastAsia" w:ascii="Times New Roman" w:hAnsi="Times New Roman" w:cs="Times New Roman"/>
          <w:b/>
          <w:i w:val="0"/>
          <w:caps w:val="0"/>
          <w:color w:val="000000"/>
          <w:spacing w:val="0"/>
          <w:kern w:val="0"/>
          <w:sz w:val="24"/>
          <w:szCs w:val="24"/>
          <w:highlight w:val="none"/>
          <w:lang w:val="en-US" w:eastAsia="zh-CN" w:bidi="ar"/>
        </w:rPr>
        <w:t>5</w:t>
      </w:r>
      <w:r>
        <w:rPr>
          <w:rFonts w:hint="default" w:ascii="Times New Roman" w:hAnsi="Times New Roman" w:eastAsia="宋体" w:cs="Times New Roman"/>
          <w:b/>
          <w:i w:val="0"/>
          <w:caps w:val="0"/>
          <w:color w:val="000000"/>
          <w:spacing w:val="0"/>
          <w:kern w:val="0"/>
          <w:sz w:val="24"/>
          <w:szCs w:val="24"/>
          <w:highlight w:val="none"/>
          <w:lang w:val="en-US" w:eastAsia="zh-CN" w:bidi="ar"/>
        </w:rPr>
        <w:t>　按行业大类分组的居民服务、修理和其他服务业</w:t>
      </w:r>
    </w:p>
    <w:p w14:paraId="0A9FB7E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firstLine="0" w:firstLineChars="0"/>
        <w:jc w:val="center"/>
        <w:textAlignment w:val="auto"/>
        <w:rPr>
          <w:rFonts w:hint="default" w:ascii="Times New Roman" w:hAnsi="Times New Roman" w:eastAsia="宋体" w:cs="Times New Roman"/>
          <w:b/>
          <w:i w:val="0"/>
          <w:caps w:val="0"/>
          <w:color w:val="000000"/>
          <w:spacing w:val="0"/>
          <w:kern w:val="0"/>
          <w:sz w:val="24"/>
          <w:szCs w:val="24"/>
          <w:highlight w:val="none"/>
          <w:lang w:val="en-US" w:eastAsia="zh-CN" w:bidi="ar"/>
        </w:rPr>
      </w:pPr>
      <w:r>
        <w:rPr>
          <w:rFonts w:hint="default" w:ascii="Times New Roman" w:hAnsi="Times New Roman" w:eastAsia="宋体" w:cs="Times New Roman"/>
          <w:b/>
          <w:i w:val="0"/>
          <w:caps w:val="0"/>
          <w:color w:val="000000"/>
          <w:spacing w:val="0"/>
          <w:kern w:val="0"/>
          <w:sz w:val="24"/>
          <w:szCs w:val="24"/>
          <w:highlight w:val="none"/>
          <w:lang w:val="en-US" w:eastAsia="zh-CN" w:bidi="ar"/>
        </w:rPr>
        <w:t>企业法人单位主要经济指标</w:t>
      </w:r>
    </w:p>
    <w:tbl>
      <w:tblPr>
        <w:tblStyle w:val="12"/>
        <w:tblW w:w="4997"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4383"/>
        <w:gridCol w:w="1499"/>
        <w:gridCol w:w="1468"/>
        <w:gridCol w:w="1489"/>
      </w:tblGrid>
      <w:tr w14:paraId="62A7D1C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7" w:hRule="atLeast"/>
          <w:jc w:val="center"/>
        </w:trPr>
        <w:tc>
          <w:tcPr>
            <w:tcW w:w="2479" w:type="pct"/>
            <w:tcBorders>
              <w:top w:val="single" w:color="auto" w:sz="12" w:space="0"/>
              <w:left w:val="nil"/>
              <w:bottom w:val="single" w:color="auto" w:sz="4" w:space="0"/>
              <w:right w:val="single" w:color="auto" w:sz="4" w:space="0"/>
            </w:tcBorders>
            <w:noWrap w:val="0"/>
            <w:vAlign w:val="center"/>
          </w:tcPr>
          <w:p w14:paraId="32867A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500" w:firstLineChars="0"/>
              <w:jc w:val="center"/>
              <w:textAlignment w:val="auto"/>
              <w:rPr>
                <w:rFonts w:hint="default" w:ascii="Times New Roman" w:hAnsi="Times New Roman" w:eastAsia="宋体" w:cs="Times New Roman"/>
                <w:color w:val="000000"/>
                <w:spacing w:val="0"/>
                <w:sz w:val="21"/>
                <w:szCs w:val="21"/>
                <w:highlight w:val="none"/>
              </w:rPr>
            </w:pPr>
            <w:r>
              <w:rPr>
                <w:rFonts w:hint="default" w:ascii="Times New Roman" w:hAnsi="Times New Roman" w:eastAsia="宋体" w:cs="Times New Roman"/>
                <w:color w:val="000000"/>
                <w:spacing w:val="0"/>
                <w:kern w:val="0"/>
                <w:sz w:val="21"/>
                <w:szCs w:val="21"/>
                <w:highlight w:val="none"/>
                <w:lang w:val="en-US" w:eastAsia="zh-CN" w:bidi="ar"/>
              </w:rPr>
              <w:t>　</w:t>
            </w:r>
          </w:p>
        </w:tc>
        <w:tc>
          <w:tcPr>
            <w:tcW w:w="848" w:type="pct"/>
            <w:tcBorders>
              <w:top w:val="single" w:color="auto" w:sz="12" w:space="0"/>
              <w:left w:val="single" w:color="auto" w:sz="4" w:space="0"/>
              <w:bottom w:val="single" w:color="auto" w:sz="4" w:space="0"/>
              <w:right w:val="single" w:color="auto" w:sz="4" w:space="0"/>
            </w:tcBorders>
            <w:noWrap w:val="0"/>
            <w:vAlign w:val="center"/>
          </w:tcPr>
          <w:p w14:paraId="0D6A5C3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b/>
                <w:bCs/>
                <w:color w:val="000000"/>
                <w:spacing w:val="0"/>
                <w:sz w:val="21"/>
                <w:szCs w:val="21"/>
                <w:highlight w:val="none"/>
              </w:rPr>
            </w:pPr>
            <w:r>
              <w:rPr>
                <w:rFonts w:hint="default" w:ascii="Times New Roman" w:hAnsi="Times New Roman" w:eastAsia="宋体" w:cs="Times New Roman"/>
                <w:b/>
                <w:bCs/>
                <w:color w:val="000000"/>
                <w:spacing w:val="0"/>
                <w:kern w:val="0"/>
                <w:sz w:val="21"/>
                <w:szCs w:val="21"/>
                <w:highlight w:val="none"/>
                <w:lang w:val="en-US" w:eastAsia="zh-CN" w:bidi="ar"/>
              </w:rPr>
              <w:t>资产总计</w:t>
            </w:r>
          </w:p>
          <w:p w14:paraId="76278A0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color w:val="000000"/>
                <w:spacing w:val="0"/>
                <w:sz w:val="21"/>
                <w:szCs w:val="24"/>
                <w:highlight w:val="none"/>
              </w:rPr>
            </w:pPr>
            <w:r>
              <w:rPr>
                <w:rFonts w:hint="default" w:ascii="Times New Roman" w:hAnsi="Times New Roman" w:eastAsia="宋体" w:cs="Times New Roman"/>
                <w:b/>
                <w:bCs/>
                <w:color w:val="000000"/>
                <w:spacing w:val="0"/>
                <w:kern w:val="0"/>
                <w:sz w:val="21"/>
                <w:szCs w:val="21"/>
                <w:highlight w:val="none"/>
                <w:lang w:val="en-US" w:eastAsia="zh-CN" w:bidi="ar"/>
              </w:rPr>
              <w:t>（万元）</w:t>
            </w:r>
          </w:p>
        </w:tc>
        <w:tc>
          <w:tcPr>
            <w:tcW w:w="830" w:type="pct"/>
            <w:tcBorders>
              <w:top w:val="single" w:color="auto" w:sz="12" w:space="0"/>
              <w:left w:val="single" w:color="auto" w:sz="4" w:space="0"/>
              <w:bottom w:val="single" w:color="auto" w:sz="4" w:space="0"/>
              <w:right w:val="single" w:color="auto" w:sz="4" w:space="0"/>
            </w:tcBorders>
            <w:noWrap w:val="0"/>
            <w:vAlign w:val="center"/>
          </w:tcPr>
          <w:p w14:paraId="6EBC23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b/>
                <w:bCs/>
                <w:color w:val="000000"/>
                <w:spacing w:val="0"/>
                <w:sz w:val="21"/>
                <w:szCs w:val="21"/>
                <w:highlight w:val="none"/>
              </w:rPr>
            </w:pPr>
            <w:r>
              <w:rPr>
                <w:rFonts w:hint="default" w:ascii="Times New Roman" w:hAnsi="Times New Roman" w:eastAsia="宋体" w:cs="Times New Roman"/>
                <w:b/>
                <w:bCs/>
                <w:color w:val="000000"/>
                <w:spacing w:val="0"/>
                <w:kern w:val="0"/>
                <w:sz w:val="21"/>
                <w:szCs w:val="21"/>
                <w:highlight w:val="none"/>
                <w:lang w:val="en-US" w:eastAsia="zh-CN" w:bidi="ar"/>
              </w:rPr>
              <w:t>负债合计</w:t>
            </w:r>
          </w:p>
          <w:p w14:paraId="6156C7D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b/>
                <w:bCs/>
                <w:color w:val="000000"/>
                <w:spacing w:val="0"/>
                <w:sz w:val="21"/>
                <w:szCs w:val="21"/>
                <w:highlight w:val="none"/>
              </w:rPr>
            </w:pPr>
            <w:r>
              <w:rPr>
                <w:rFonts w:hint="default" w:ascii="Times New Roman" w:hAnsi="Times New Roman" w:eastAsia="宋体" w:cs="Times New Roman"/>
                <w:b/>
                <w:bCs/>
                <w:color w:val="000000"/>
                <w:spacing w:val="0"/>
                <w:kern w:val="0"/>
                <w:sz w:val="21"/>
                <w:szCs w:val="21"/>
                <w:highlight w:val="none"/>
                <w:lang w:val="en-US" w:eastAsia="zh-CN" w:bidi="ar"/>
              </w:rPr>
              <w:t>（万元）</w:t>
            </w:r>
          </w:p>
        </w:tc>
        <w:tc>
          <w:tcPr>
            <w:tcW w:w="842" w:type="pct"/>
            <w:tcBorders>
              <w:top w:val="single" w:color="auto" w:sz="12" w:space="0"/>
              <w:left w:val="single" w:color="auto" w:sz="4" w:space="0"/>
              <w:bottom w:val="single" w:color="auto" w:sz="4" w:space="0"/>
              <w:right w:val="nil"/>
            </w:tcBorders>
            <w:noWrap w:val="0"/>
            <w:vAlign w:val="center"/>
          </w:tcPr>
          <w:p w14:paraId="5DEAA5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b/>
                <w:bCs/>
                <w:color w:val="000000"/>
                <w:spacing w:val="0"/>
                <w:sz w:val="21"/>
                <w:szCs w:val="21"/>
                <w:highlight w:val="none"/>
              </w:rPr>
            </w:pPr>
            <w:r>
              <w:rPr>
                <w:rFonts w:hint="default" w:ascii="Times New Roman" w:hAnsi="Times New Roman" w:eastAsia="宋体" w:cs="Times New Roman"/>
                <w:b/>
                <w:bCs/>
                <w:color w:val="000000"/>
                <w:spacing w:val="0"/>
                <w:kern w:val="0"/>
                <w:sz w:val="21"/>
                <w:szCs w:val="21"/>
                <w:highlight w:val="none"/>
                <w:lang w:val="en-US" w:eastAsia="zh-CN" w:bidi="ar"/>
              </w:rPr>
              <w:t>营业收入</w:t>
            </w:r>
          </w:p>
          <w:p w14:paraId="5E7B02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b/>
                <w:bCs/>
                <w:color w:val="000000"/>
                <w:spacing w:val="0"/>
                <w:sz w:val="21"/>
                <w:szCs w:val="21"/>
                <w:highlight w:val="none"/>
              </w:rPr>
            </w:pPr>
            <w:r>
              <w:rPr>
                <w:rFonts w:hint="default" w:ascii="Times New Roman" w:hAnsi="Times New Roman" w:eastAsia="宋体" w:cs="Times New Roman"/>
                <w:b/>
                <w:bCs/>
                <w:color w:val="000000"/>
                <w:spacing w:val="0"/>
                <w:kern w:val="0"/>
                <w:sz w:val="21"/>
                <w:szCs w:val="21"/>
                <w:highlight w:val="none"/>
                <w:lang w:val="en-US" w:eastAsia="zh-CN" w:bidi="ar"/>
              </w:rPr>
              <w:t>（万元）</w:t>
            </w:r>
          </w:p>
        </w:tc>
      </w:tr>
      <w:tr w14:paraId="33C81B3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20" w:hRule="atLeast"/>
          <w:jc w:val="center"/>
        </w:trPr>
        <w:tc>
          <w:tcPr>
            <w:tcW w:w="2479" w:type="pct"/>
            <w:tcBorders>
              <w:top w:val="single" w:color="auto" w:sz="4" w:space="0"/>
              <w:left w:val="nil"/>
              <w:bottom w:val="nil"/>
              <w:right w:val="single" w:color="auto" w:sz="4" w:space="0"/>
            </w:tcBorders>
            <w:noWrap w:val="0"/>
            <w:vAlign w:val="center"/>
          </w:tcPr>
          <w:p w14:paraId="2511E0B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center"/>
              <w:textAlignment w:val="auto"/>
              <w:rPr>
                <w:rFonts w:hint="default" w:ascii="Times New Roman" w:hAnsi="Times New Roman" w:eastAsia="宋体" w:cs="Times New Roman"/>
                <w:color w:val="000000"/>
                <w:spacing w:val="0"/>
                <w:sz w:val="21"/>
                <w:szCs w:val="21"/>
                <w:highlight w:val="none"/>
              </w:rPr>
            </w:pPr>
            <w:r>
              <w:rPr>
                <w:rFonts w:hint="default" w:ascii="Times New Roman" w:hAnsi="Times New Roman" w:eastAsia="宋体" w:cs="Times New Roman"/>
                <w:b/>
                <w:color w:val="000000"/>
                <w:spacing w:val="0"/>
                <w:kern w:val="0"/>
                <w:sz w:val="21"/>
                <w:szCs w:val="21"/>
                <w:highlight w:val="none"/>
                <w:lang w:val="en-US" w:eastAsia="zh-CN" w:bidi="ar"/>
              </w:rPr>
              <w:t>合　计</w:t>
            </w:r>
          </w:p>
        </w:tc>
        <w:tc>
          <w:tcPr>
            <w:tcW w:w="848" w:type="pct"/>
            <w:tcBorders>
              <w:top w:val="single" w:color="auto" w:sz="4" w:space="0"/>
              <w:left w:val="single" w:color="auto" w:sz="4" w:space="0"/>
              <w:bottom w:val="nil"/>
              <w:right w:val="single" w:color="auto" w:sz="4" w:space="0"/>
            </w:tcBorders>
            <w:noWrap w:val="0"/>
            <w:vAlign w:val="center"/>
          </w:tcPr>
          <w:p w14:paraId="2CA1B037">
            <w:pPr>
              <w:keepNext w:val="0"/>
              <w:keepLines w:val="0"/>
              <w:widowControl/>
              <w:suppressLineNumbers w:val="0"/>
              <w:jc w:val="right"/>
              <w:textAlignment w:val="center"/>
              <w:rPr>
                <w:rFonts w:hint="default" w:ascii="Times New Roman" w:hAnsi="Times New Roman" w:eastAsia="宋体" w:cs="Times New Roman"/>
                <w:b/>
                <w:bCs/>
                <w:color w:val="000000"/>
                <w:spacing w:val="0"/>
                <w:kern w:val="2"/>
                <w:sz w:val="21"/>
                <w:szCs w:val="21"/>
                <w:highlight w:val="none"/>
                <w:lang w:val="en" w:eastAsia="zh-CN" w:bidi="ar-SA"/>
              </w:rPr>
            </w:pPr>
            <w:r>
              <w:rPr>
                <w:rFonts w:hint="default" w:ascii="Times New Roman" w:hAnsi="Times New Roman" w:eastAsia="宋体" w:cs="Times New Roman"/>
                <w:b/>
                <w:bCs/>
                <w:i w:val="0"/>
                <w:iCs w:val="0"/>
                <w:color w:val="000000"/>
                <w:spacing w:val="0"/>
                <w:kern w:val="0"/>
                <w:sz w:val="22"/>
                <w:szCs w:val="22"/>
                <w:u w:val="none"/>
                <w:lang w:val="en-US" w:eastAsia="zh-CN" w:bidi="ar"/>
              </w:rPr>
              <w:t xml:space="preserve">7865.0 </w:t>
            </w:r>
          </w:p>
        </w:tc>
        <w:tc>
          <w:tcPr>
            <w:tcW w:w="830" w:type="pct"/>
            <w:tcBorders>
              <w:top w:val="single" w:color="auto" w:sz="4" w:space="0"/>
              <w:left w:val="single" w:color="auto" w:sz="4" w:space="0"/>
              <w:bottom w:val="nil"/>
              <w:right w:val="single" w:color="auto" w:sz="4" w:space="0"/>
            </w:tcBorders>
            <w:noWrap w:val="0"/>
            <w:vAlign w:val="center"/>
          </w:tcPr>
          <w:p w14:paraId="5A0267D8">
            <w:pPr>
              <w:keepNext w:val="0"/>
              <w:keepLines w:val="0"/>
              <w:widowControl/>
              <w:suppressLineNumbers w:val="0"/>
              <w:jc w:val="right"/>
              <w:textAlignment w:val="center"/>
              <w:rPr>
                <w:rFonts w:hint="default" w:ascii="Times New Roman" w:hAnsi="Times New Roman" w:eastAsia="宋体" w:cs="Times New Roman"/>
                <w:b/>
                <w:bCs/>
                <w:color w:val="000000"/>
                <w:spacing w:val="0"/>
                <w:kern w:val="2"/>
                <w:sz w:val="21"/>
                <w:szCs w:val="21"/>
                <w:highlight w:val="none"/>
                <w:lang w:val="en" w:eastAsia="zh-CN" w:bidi="ar-SA"/>
              </w:rPr>
            </w:pPr>
            <w:r>
              <w:rPr>
                <w:rFonts w:hint="default" w:ascii="Times New Roman" w:hAnsi="Times New Roman" w:eastAsia="宋体" w:cs="Times New Roman"/>
                <w:b/>
                <w:bCs/>
                <w:i w:val="0"/>
                <w:iCs w:val="0"/>
                <w:color w:val="000000"/>
                <w:spacing w:val="0"/>
                <w:kern w:val="0"/>
                <w:sz w:val="22"/>
                <w:szCs w:val="22"/>
                <w:u w:val="none"/>
                <w:lang w:val="en-US" w:eastAsia="zh-CN" w:bidi="ar"/>
              </w:rPr>
              <w:t xml:space="preserve">1457.0 </w:t>
            </w:r>
          </w:p>
        </w:tc>
        <w:tc>
          <w:tcPr>
            <w:tcW w:w="842" w:type="pct"/>
            <w:tcBorders>
              <w:top w:val="single" w:color="auto" w:sz="4" w:space="0"/>
              <w:left w:val="single" w:color="auto" w:sz="4" w:space="0"/>
              <w:bottom w:val="nil"/>
              <w:right w:val="nil"/>
            </w:tcBorders>
            <w:noWrap w:val="0"/>
            <w:vAlign w:val="center"/>
          </w:tcPr>
          <w:p w14:paraId="113079F5">
            <w:pPr>
              <w:keepNext w:val="0"/>
              <w:keepLines w:val="0"/>
              <w:widowControl/>
              <w:suppressLineNumbers w:val="0"/>
              <w:jc w:val="right"/>
              <w:textAlignment w:val="center"/>
              <w:rPr>
                <w:rFonts w:hint="default" w:ascii="Times New Roman" w:hAnsi="Times New Roman" w:eastAsia="宋体" w:cs="Times New Roman"/>
                <w:b/>
                <w:bCs/>
                <w:color w:val="000000"/>
                <w:spacing w:val="0"/>
                <w:kern w:val="2"/>
                <w:sz w:val="21"/>
                <w:szCs w:val="21"/>
                <w:highlight w:val="none"/>
                <w:lang w:val="en" w:eastAsia="zh-CN" w:bidi="ar-SA"/>
              </w:rPr>
            </w:pPr>
            <w:r>
              <w:rPr>
                <w:rFonts w:hint="default" w:ascii="Times New Roman" w:hAnsi="Times New Roman" w:eastAsia="宋体" w:cs="Times New Roman"/>
                <w:b/>
                <w:bCs/>
                <w:i w:val="0"/>
                <w:iCs w:val="0"/>
                <w:color w:val="000000"/>
                <w:spacing w:val="0"/>
                <w:kern w:val="0"/>
                <w:sz w:val="22"/>
                <w:szCs w:val="22"/>
                <w:u w:val="none"/>
                <w:lang w:val="en-US" w:eastAsia="zh-CN" w:bidi="ar"/>
              </w:rPr>
              <w:t xml:space="preserve">16617.5 </w:t>
            </w:r>
          </w:p>
        </w:tc>
      </w:tr>
      <w:tr w14:paraId="0B1708B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20" w:hRule="atLeast"/>
          <w:jc w:val="center"/>
        </w:trPr>
        <w:tc>
          <w:tcPr>
            <w:tcW w:w="2479" w:type="pct"/>
            <w:tcBorders>
              <w:top w:val="nil"/>
              <w:left w:val="nil"/>
              <w:bottom w:val="nil"/>
              <w:right w:val="single" w:color="auto" w:sz="4" w:space="0"/>
            </w:tcBorders>
            <w:noWrap w:val="0"/>
            <w:vAlign w:val="center"/>
          </w:tcPr>
          <w:p w14:paraId="2DC76B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default" w:ascii="Times New Roman" w:hAnsi="Times New Roman" w:eastAsia="宋体" w:cs="Times New Roman"/>
                <w:color w:val="000000"/>
                <w:spacing w:val="0"/>
                <w:sz w:val="21"/>
                <w:szCs w:val="21"/>
                <w:highlight w:val="none"/>
              </w:rPr>
            </w:pPr>
            <w:r>
              <w:rPr>
                <w:rFonts w:hint="default" w:ascii="Times New Roman" w:hAnsi="Times New Roman" w:eastAsia="宋体" w:cs="Times New Roman"/>
                <w:color w:val="000000"/>
                <w:spacing w:val="0"/>
                <w:kern w:val="0"/>
                <w:sz w:val="21"/>
                <w:szCs w:val="21"/>
                <w:highlight w:val="none"/>
                <w:lang w:val="en-US" w:eastAsia="zh-CN" w:bidi="ar"/>
              </w:rPr>
              <w:t>居民服务业</w:t>
            </w:r>
          </w:p>
        </w:tc>
        <w:tc>
          <w:tcPr>
            <w:tcW w:w="848" w:type="pct"/>
            <w:tcBorders>
              <w:top w:val="nil"/>
              <w:left w:val="single" w:color="auto" w:sz="4" w:space="0"/>
              <w:bottom w:val="nil"/>
              <w:right w:val="single" w:color="auto" w:sz="4" w:space="0"/>
            </w:tcBorders>
            <w:noWrap w:val="0"/>
            <w:vAlign w:val="center"/>
          </w:tcPr>
          <w:p w14:paraId="1317714D">
            <w:pPr>
              <w:keepNext w:val="0"/>
              <w:keepLines w:val="0"/>
              <w:widowControl/>
              <w:suppressLineNumbers w:val="0"/>
              <w:jc w:val="right"/>
              <w:textAlignment w:val="center"/>
              <w:rPr>
                <w:rFonts w:hint="default" w:ascii="Times New Roman" w:hAnsi="Times New Roman" w:eastAsia="宋体" w:cs="Times New Roman"/>
                <w:color w:val="000000"/>
                <w:spacing w:val="0"/>
                <w:kern w:val="2"/>
                <w:sz w:val="21"/>
                <w:szCs w:val="21"/>
                <w:highlight w:val="none"/>
                <w:lang w:val="en" w:eastAsia="zh-CN" w:bidi="ar-SA"/>
              </w:rPr>
            </w:pPr>
            <w:r>
              <w:rPr>
                <w:rFonts w:hint="default" w:ascii="Times New Roman" w:hAnsi="Times New Roman" w:eastAsia="宋体" w:cs="Times New Roman"/>
                <w:i w:val="0"/>
                <w:iCs w:val="0"/>
                <w:color w:val="000000"/>
                <w:spacing w:val="0"/>
                <w:kern w:val="0"/>
                <w:sz w:val="22"/>
                <w:szCs w:val="22"/>
                <w:u w:val="none"/>
                <w:lang w:val="en-US" w:eastAsia="zh-CN" w:bidi="ar"/>
              </w:rPr>
              <w:t xml:space="preserve">2409.8 </w:t>
            </w:r>
          </w:p>
        </w:tc>
        <w:tc>
          <w:tcPr>
            <w:tcW w:w="830" w:type="pct"/>
            <w:tcBorders>
              <w:top w:val="nil"/>
              <w:left w:val="single" w:color="auto" w:sz="4" w:space="0"/>
              <w:bottom w:val="nil"/>
              <w:right w:val="single" w:color="auto" w:sz="4" w:space="0"/>
            </w:tcBorders>
            <w:noWrap w:val="0"/>
            <w:vAlign w:val="center"/>
          </w:tcPr>
          <w:p w14:paraId="6806023F">
            <w:pPr>
              <w:keepNext w:val="0"/>
              <w:keepLines w:val="0"/>
              <w:widowControl/>
              <w:suppressLineNumbers w:val="0"/>
              <w:jc w:val="right"/>
              <w:textAlignment w:val="center"/>
              <w:rPr>
                <w:rFonts w:hint="default" w:ascii="Times New Roman" w:hAnsi="Times New Roman" w:eastAsia="宋体" w:cs="Times New Roman"/>
                <w:color w:val="000000"/>
                <w:spacing w:val="0"/>
                <w:kern w:val="2"/>
                <w:sz w:val="21"/>
                <w:szCs w:val="21"/>
                <w:highlight w:val="none"/>
                <w:lang w:val="en" w:eastAsia="zh-CN" w:bidi="ar-SA"/>
              </w:rPr>
            </w:pPr>
            <w:r>
              <w:rPr>
                <w:rFonts w:hint="default" w:ascii="Times New Roman" w:hAnsi="Times New Roman" w:eastAsia="宋体" w:cs="Times New Roman"/>
                <w:i w:val="0"/>
                <w:iCs w:val="0"/>
                <w:color w:val="000000"/>
                <w:spacing w:val="0"/>
                <w:kern w:val="0"/>
                <w:sz w:val="22"/>
                <w:szCs w:val="22"/>
                <w:u w:val="none"/>
                <w:lang w:val="en-US" w:eastAsia="zh-CN" w:bidi="ar"/>
              </w:rPr>
              <w:t xml:space="preserve">500.4 </w:t>
            </w:r>
          </w:p>
        </w:tc>
        <w:tc>
          <w:tcPr>
            <w:tcW w:w="842" w:type="pct"/>
            <w:tcBorders>
              <w:top w:val="nil"/>
              <w:left w:val="single" w:color="auto" w:sz="4" w:space="0"/>
              <w:bottom w:val="nil"/>
              <w:right w:val="nil"/>
            </w:tcBorders>
            <w:noWrap w:val="0"/>
            <w:vAlign w:val="center"/>
          </w:tcPr>
          <w:p w14:paraId="0021C18C">
            <w:pPr>
              <w:keepNext w:val="0"/>
              <w:keepLines w:val="0"/>
              <w:widowControl/>
              <w:suppressLineNumbers w:val="0"/>
              <w:jc w:val="right"/>
              <w:textAlignment w:val="center"/>
              <w:rPr>
                <w:rFonts w:hint="default" w:ascii="Times New Roman" w:hAnsi="Times New Roman" w:eastAsia="宋体" w:cs="Times New Roman"/>
                <w:color w:val="000000"/>
                <w:spacing w:val="0"/>
                <w:kern w:val="2"/>
                <w:sz w:val="21"/>
                <w:szCs w:val="21"/>
                <w:highlight w:val="none"/>
                <w:lang w:val="en" w:eastAsia="zh-CN" w:bidi="ar-SA"/>
              </w:rPr>
            </w:pPr>
            <w:r>
              <w:rPr>
                <w:rFonts w:hint="default" w:ascii="Times New Roman" w:hAnsi="Times New Roman" w:eastAsia="宋体" w:cs="Times New Roman"/>
                <w:i w:val="0"/>
                <w:iCs w:val="0"/>
                <w:color w:val="000000"/>
                <w:spacing w:val="0"/>
                <w:kern w:val="0"/>
                <w:sz w:val="22"/>
                <w:szCs w:val="22"/>
                <w:u w:val="none"/>
                <w:lang w:val="en-US" w:eastAsia="zh-CN" w:bidi="ar"/>
              </w:rPr>
              <w:t xml:space="preserve">7575.0 </w:t>
            </w:r>
          </w:p>
        </w:tc>
      </w:tr>
      <w:tr w14:paraId="0C25FF2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20" w:hRule="atLeast"/>
          <w:jc w:val="center"/>
        </w:trPr>
        <w:tc>
          <w:tcPr>
            <w:tcW w:w="2479" w:type="pct"/>
            <w:tcBorders>
              <w:top w:val="nil"/>
              <w:left w:val="nil"/>
              <w:bottom w:val="nil"/>
              <w:right w:val="single" w:color="auto" w:sz="4" w:space="0"/>
            </w:tcBorders>
            <w:noWrap w:val="0"/>
            <w:vAlign w:val="center"/>
          </w:tcPr>
          <w:p w14:paraId="3A45A9D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default" w:ascii="Times New Roman" w:hAnsi="Times New Roman" w:eastAsia="宋体" w:cs="Times New Roman"/>
                <w:color w:val="000000"/>
                <w:spacing w:val="0"/>
                <w:sz w:val="21"/>
                <w:szCs w:val="21"/>
                <w:highlight w:val="none"/>
              </w:rPr>
            </w:pPr>
            <w:r>
              <w:rPr>
                <w:rFonts w:hint="default" w:ascii="Times New Roman" w:hAnsi="Times New Roman" w:eastAsia="宋体" w:cs="Times New Roman"/>
                <w:color w:val="000000"/>
                <w:spacing w:val="0"/>
                <w:kern w:val="0"/>
                <w:sz w:val="21"/>
                <w:szCs w:val="21"/>
                <w:highlight w:val="none"/>
                <w:lang w:val="en-US" w:eastAsia="zh-CN" w:bidi="ar"/>
              </w:rPr>
              <w:t>机动车、电子产品和日用产品修理业</w:t>
            </w:r>
          </w:p>
        </w:tc>
        <w:tc>
          <w:tcPr>
            <w:tcW w:w="848" w:type="pct"/>
            <w:tcBorders>
              <w:top w:val="nil"/>
              <w:left w:val="single" w:color="auto" w:sz="4" w:space="0"/>
              <w:bottom w:val="nil"/>
              <w:right w:val="single" w:color="auto" w:sz="4" w:space="0"/>
            </w:tcBorders>
            <w:noWrap w:val="0"/>
            <w:vAlign w:val="center"/>
          </w:tcPr>
          <w:p w14:paraId="7E89B969">
            <w:pPr>
              <w:keepNext w:val="0"/>
              <w:keepLines w:val="0"/>
              <w:widowControl/>
              <w:suppressLineNumbers w:val="0"/>
              <w:jc w:val="right"/>
              <w:textAlignment w:val="center"/>
              <w:rPr>
                <w:rFonts w:hint="default" w:ascii="Times New Roman" w:hAnsi="Times New Roman" w:eastAsia="宋体" w:cs="Times New Roman"/>
                <w:color w:val="000000"/>
                <w:spacing w:val="0"/>
                <w:kern w:val="2"/>
                <w:sz w:val="21"/>
                <w:szCs w:val="21"/>
                <w:highlight w:val="none"/>
                <w:lang w:val="en" w:eastAsia="zh-CN" w:bidi="ar-SA"/>
              </w:rPr>
            </w:pPr>
            <w:r>
              <w:rPr>
                <w:rFonts w:hint="default" w:ascii="Times New Roman" w:hAnsi="Times New Roman" w:eastAsia="宋体" w:cs="Times New Roman"/>
                <w:i w:val="0"/>
                <w:iCs w:val="0"/>
                <w:color w:val="000000"/>
                <w:spacing w:val="0"/>
                <w:kern w:val="0"/>
                <w:sz w:val="22"/>
                <w:szCs w:val="22"/>
                <w:u w:val="none"/>
                <w:lang w:val="en-US" w:eastAsia="zh-CN" w:bidi="ar"/>
              </w:rPr>
              <w:t xml:space="preserve">4304.5 </w:t>
            </w:r>
          </w:p>
        </w:tc>
        <w:tc>
          <w:tcPr>
            <w:tcW w:w="830" w:type="pct"/>
            <w:tcBorders>
              <w:top w:val="nil"/>
              <w:left w:val="single" w:color="auto" w:sz="4" w:space="0"/>
              <w:bottom w:val="nil"/>
              <w:right w:val="single" w:color="auto" w:sz="4" w:space="0"/>
            </w:tcBorders>
            <w:noWrap w:val="0"/>
            <w:vAlign w:val="center"/>
          </w:tcPr>
          <w:p w14:paraId="24CF885A">
            <w:pPr>
              <w:keepNext w:val="0"/>
              <w:keepLines w:val="0"/>
              <w:widowControl/>
              <w:suppressLineNumbers w:val="0"/>
              <w:jc w:val="right"/>
              <w:textAlignment w:val="center"/>
              <w:rPr>
                <w:rFonts w:hint="default" w:ascii="Times New Roman" w:hAnsi="Times New Roman" w:eastAsia="宋体" w:cs="Times New Roman"/>
                <w:color w:val="000000"/>
                <w:spacing w:val="0"/>
                <w:kern w:val="2"/>
                <w:sz w:val="21"/>
                <w:szCs w:val="21"/>
                <w:highlight w:val="none"/>
                <w:lang w:val="en" w:eastAsia="zh-CN" w:bidi="ar-SA"/>
              </w:rPr>
            </w:pPr>
            <w:r>
              <w:rPr>
                <w:rFonts w:hint="default" w:ascii="Times New Roman" w:hAnsi="Times New Roman" w:eastAsia="宋体" w:cs="Times New Roman"/>
                <w:i w:val="0"/>
                <w:iCs w:val="0"/>
                <w:color w:val="000000"/>
                <w:spacing w:val="0"/>
                <w:kern w:val="0"/>
                <w:sz w:val="22"/>
                <w:szCs w:val="22"/>
                <w:u w:val="none"/>
                <w:lang w:val="en-US" w:eastAsia="zh-CN" w:bidi="ar"/>
              </w:rPr>
              <w:t>832.</w:t>
            </w:r>
            <w:r>
              <w:rPr>
                <w:rFonts w:hint="eastAsia" w:ascii="Times New Roman" w:hAnsi="Times New Roman" w:cs="Times New Roman"/>
                <w:i w:val="0"/>
                <w:iCs w:val="0"/>
                <w:color w:val="000000"/>
                <w:spacing w:val="0"/>
                <w:kern w:val="0"/>
                <w:sz w:val="22"/>
                <w:szCs w:val="22"/>
                <w:u w:val="none"/>
                <w:lang w:val="en-US" w:eastAsia="zh-CN" w:bidi="ar"/>
              </w:rPr>
              <w:t>3</w:t>
            </w:r>
            <w:r>
              <w:rPr>
                <w:rFonts w:hint="default" w:ascii="Times New Roman" w:hAnsi="Times New Roman" w:eastAsia="宋体" w:cs="Times New Roman"/>
                <w:i w:val="0"/>
                <w:iCs w:val="0"/>
                <w:color w:val="000000"/>
                <w:spacing w:val="0"/>
                <w:kern w:val="0"/>
                <w:sz w:val="22"/>
                <w:szCs w:val="22"/>
                <w:u w:val="none"/>
                <w:lang w:val="en-US" w:eastAsia="zh-CN" w:bidi="ar"/>
              </w:rPr>
              <w:t xml:space="preserve"> </w:t>
            </w:r>
          </w:p>
        </w:tc>
        <w:tc>
          <w:tcPr>
            <w:tcW w:w="842" w:type="pct"/>
            <w:tcBorders>
              <w:top w:val="nil"/>
              <w:left w:val="single" w:color="auto" w:sz="4" w:space="0"/>
              <w:bottom w:val="nil"/>
              <w:right w:val="nil"/>
            </w:tcBorders>
            <w:noWrap w:val="0"/>
            <w:vAlign w:val="center"/>
          </w:tcPr>
          <w:p w14:paraId="59E66C31">
            <w:pPr>
              <w:keepNext w:val="0"/>
              <w:keepLines w:val="0"/>
              <w:widowControl/>
              <w:suppressLineNumbers w:val="0"/>
              <w:jc w:val="right"/>
              <w:textAlignment w:val="center"/>
              <w:rPr>
                <w:rFonts w:hint="default" w:ascii="Times New Roman" w:hAnsi="Times New Roman" w:eastAsia="宋体" w:cs="Times New Roman"/>
                <w:color w:val="000000"/>
                <w:spacing w:val="0"/>
                <w:kern w:val="2"/>
                <w:sz w:val="21"/>
                <w:szCs w:val="21"/>
                <w:highlight w:val="none"/>
                <w:lang w:val="en" w:eastAsia="zh-CN" w:bidi="ar-SA"/>
              </w:rPr>
            </w:pPr>
            <w:r>
              <w:rPr>
                <w:rFonts w:hint="default" w:ascii="Times New Roman" w:hAnsi="Times New Roman" w:eastAsia="宋体" w:cs="Times New Roman"/>
                <w:i w:val="0"/>
                <w:iCs w:val="0"/>
                <w:color w:val="000000"/>
                <w:spacing w:val="0"/>
                <w:kern w:val="0"/>
                <w:sz w:val="22"/>
                <w:szCs w:val="22"/>
                <w:u w:val="none"/>
                <w:lang w:val="en-US" w:eastAsia="zh-CN" w:bidi="ar"/>
              </w:rPr>
              <w:t xml:space="preserve">6248.0 </w:t>
            </w:r>
          </w:p>
        </w:tc>
      </w:tr>
      <w:tr w14:paraId="6D5C1BF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20" w:hRule="atLeast"/>
          <w:jc w:val="center"/>
        </w:trPr>
        <w:tc>
          <w:tcPr>
            <w:tcW w:w="2479" w:type="pct"/>
            <w:tcBorders>
              <w:top w:val="nil"/>
              <w:left w:val="nil"/>
              <w:bottom w:val="single" w:color="auto" w:sz="12" w:space="0"/>
              <w:right w:val="single" w:color="auto" w:sz="4" w:space="0"/>
            </w:tcBorders>
            <w:noWrap w:val="0"/>
            <w:vAlign w:val="center"/>
          </w:tcPr>
          <w:p w14:paraId="567A2F6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default" w:ascii="Times New Roman" w:hAnsi="Times New Roman" w:eastAsia="宋体" w:cs="Times New Roman"/>
                <w:color w:val="000000"/>
                <w:spacing w:val="0"/>
                <w:sz w:val="21"/>
                <w:szCs w:val="21"/>
                <w:highlight w:val="none"/>
              </w:rPr>
            </w:pPr>
            <w:r>
              <w:rPr>
                <w:rFonts w:hint="default" w:ascii="Times New Roman" w:hAnsi="Times New Roman" w:eastAsia="宋体" w:cs="Times New Roman"/>
                <w:color w:val="000000"/>
                <w:spacing w:val="0"/>
                <w:kern w:val="0"/>
                <w:sz w:val="21"/>
                <w:szCs w:val="21"/>
                <w:highlight w:val="none"/>
                <w:lang w:val="en-US" w:eastAsia="zh-CN" w:bidi="ar"/>
              </w:rPr>
              <w:t>其他服务业</w:t>
            </w:r>
          </w:p>
        </w:tc>
        <w:tc>
          <w:tcPr>
            <w:tcW w:w="848" w:type="pct"/>
            <w:tcBorders>
              <w:top w:val="nil"/>
              <w:left w:val="single" w:color="auto" w:sz="4" w:space="0"/>
              <w:bottom w:val="single" w:color="auto" w:sz="12" w:space="0"/>
              <w:right w:val="single" w:color="auto" w:sz="4" w:space="0"/>
            </w:tcBorders>
            <w:noWrap w:val="0"/>
            <w:vAlign w:val="center"/>
          </w:tcPr>
          <w:p w14:paraId="109AA382">
            <w:pPr>
              <w:keepNext w:val="0"/>
              <w:keepLines w:val="0"/>
              <w:widowControl/>
              <w:suppressLineNumbers w:val="0"/>
              <w:jc w:val="right"/>
              <w:textAlignment w:val="center"/>
              <w:rPr>
                <w:rFonts w:hint="default" w:ascii="Times New Roman" w:hAnsi="Times New Roman" w:eastAsia="宋体" w:cs="Times New Roman"/>
                <w:color w:val="000000"/>
                <w:spacing w:val="0"/>
                <w:kern w:val="2"/>
                <w:sz w:val="21"/>
                <w:szCs w:val="21"/>
                <w:highlight w:val="none"/>
                <w:lang w:val="en" w:eastAsia="zh-CN" w:bidi="ar-SA"/>
              </w:rPr>
            </w:pPr>
            <w:r>
              <w:rPr>
                <w:rFonts w:hint="default" w:ascii="Times New Roman" w:hAnsi="Times New Roman" w:eastAsia="宋体" w:cs="Times New Roman"/>
                <w:i w:val="0"/>
                <w:iCs w:val="0"/>
                <w:color w:val="000000"/>
                <w:spacing w:val="0"/>
                <w:kern w:val="0"/>
                <w:sz w:val="22"/>
                <w:szCs w:val="22"/>
                <w:u w:val="none"/>
                <w:lang w:val="en-US" w:eastAsia="zh-CN" w:bidi="ar"/>
              </w:rPr>
              <w:t xml:space="preserve">1150.7 </w:t>
            </w:r>
          </w:p>
        </w:tc>
        <w:tc>
          <w:tcPr>
            <w:tcW w:w="830" w:type="pct"/>
            <w:tcBorders>
              <w:top w:val="nil"/>
              <w:left w:val="single" w:color="auto" w:sz="4" w:space="0"/>
              <w:bottom w:val="single" w:color="auto" w:sz="12" w:space="0"/>
              <w:right w:val="single" w:color="auto" w:sz="4" w:space="0"/>
            </w:tcBorders>
            <w:noWrap w:val="0"/>
            <w:vAlign w:val="center"/>
          </w:tcPr>
          <w:p w14:paraId="666DEE1C">
            <w:pPr>
              <w:keepNext w:val="0"/>
              <w:keepLines w:val="0"/>
              <w:widowControl/>
              <w:suppressLineNumbers w:val="0"/>
              <w:jc w:val="right"/>
              <w:textAlignment w:val="center"/>
              <w:rPr>
                <w:rFonts w:hint="default" w:ascii="Times New Roman" w:hAnsi="Times New Roman" w:eastAsia="宋体" w:cs="Times New Roman"/>
                <w:color w:val="000000"/>
                <w:spacing w:val="0"/>
                <w:kern w:val="2"/>
                <w:sz w:val="21"/>
                <w:szCs w:val="21"/>
                <w:highlight w:val="none"/>
                <w:lang w:val="en" w:eastAsia="zh-CN" w:bidi="ar-SA"/>
              </w:rPr>
            </w:pPr>
            <w:r>
              <w:rPr>
                <w:rFonts w:hint="default" w:ascii="Times New Roman" w:hAnsi="Times New Roman" w:eastAsia="宋体" w:cs="Times New Roman"/>
                <w:i w:val="0"/>
                <w:iCs w:val="0"/>
                <w:color w:val="000000"/>
                <w:spacing w:val="0"/>
                <w:kern w:val="0"/>
                <w:sz w:val="22"/>
                <w:szCs w:val="22"/>
                <w:u w:val="none"/>
                <w:lang w:val="en-US" w:eastAsia="zh-CN" w:bidi="ar"/>
              </w:rPr>
              <w:t xml:space="preserve">124.3 </w:t>
            </w:r>
          </w:p>
        </w:tc>
        <w:tc>
          <w:tcPr>
            <w:tcW w:w="842" w:type="pct"/>
            <w:tcBorders>
              <w:top w:val="nil"/>
              <w:left w:val="single" w:color="auto" w:sz="4" w:space="0"/>
              <w:bottom w:val="single" w:color="auto" w:sz="12" w:space="0"/>
              <w:right w:val="nil"/>
            </w:tcBorders>
            <w:noWrap w:val="0"/>
            <w:vAlign w:val="center"/>
          </w:tcPr>
          <w:p w14:paraId="54675784">
            <w:pPr>
              <w:keepNext w:val="0"/>
              <w:keepLines w:val="0"/>
              <w:widowControl/>
              <w:suppressLineNumbers w:val="0"/>
              <w:jc w:val="right"/>
              <w:textAlignment w:val="center"/>
              <w:rPr>
                <w:rFonts w:hint="default" w:ascii="Times New Roman" w:hAnsi="Times New Roman" w:eastAsia="宋体" w:cs="Times New Roman"/>
                <w:color w:val="000000"/>
                <w:spacing w:val="0"/>
                <w:kern w:val="2"/>
                <w:sz w:val="21"/>
                <w:szCs w:val="21"/>
                <w:highlight w:val="none"/>
                <w:lang w:val="en" w:eastAsia="zh-CN" w:bidi="ar-SA"/>
              </w:rPr>
            </w:pPr>
            <w:r>
              <w:rPr>
                <w:rFonts w:hint="default" w:ascii="Times New Roman" w:hAnsi="Times New Roman" w:eastAsia="宋体" w:cs="Times New Roman"/>
                <w:i w:val="0"/>
                <w:iCs w:val="0"/>
                <w:color w:val="000000"/>
                <w:spacing w:val="0"/>
                <w:kern w:val="0"/>
                <w:sz w:val="22"/>
                <w:szCs w:val="22"/>
                <w:u w:val="none"/>
                <w:lang w:val="en-US" w:eastAsia="zh-CN" w:bidi="ar"/>
              </w:rPr>
              <w:t xml:space="preserve">2794.5 </w:t>
            </w:r>
          </w:p>
        </w:tc>
      </w:tr>
    </w:tbl>
    <w:p w14:paraId="73AE978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1"/>
        <w:rPr>
          <w:rFonts w:hint="default" w:ascii="Times New Roman" w:hAnsi="Times New Roman" w:eastAsia="黑体" w:cs="Times New Roman"/>
          <w:color w:val="000000"/>
          <w:spacing w:val="0"/>
          <w:kern w:val="2"/>
          <w:sz w:val="32"/>
          <w:szCs w:val="32"/>
          <w:u w:val="none"/>
          <w:lang w:val="en-US" w:eastAsia="zh-CN" w:bidi="ar-SA"/>
        </w:rPr>
      </w:pPr>
      <w:r>
        <w:rPr>
          <w:rFonts w:hint="default" w:ascii="Times New Roman" w:hAnsi="Times New Roman" w:eastAsia="黑体" w:cs="Times New Roman"/>
          <w:color w:val="000000"/>
          <w:spacing w:val="0"/>
          <w:kern w:val="2"/>
          <w:sz w:val="32"/>
          <w:szCs w:val="32"/>
          <w:u w:val="none"/>
          <w:lang w:val="en-US" w:eastAsia="zh-CN" w:bidi="ar-SA"/>
        </w:rPr>
        <w:t>四、教育</w:t>
      </w:r>
    </w:p>
    <w:p w14:paraId="04FD95E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outlineLvl w:val="2"/>
        <w:rPr>
          <w:rFonts w:hint="default" w:ascii="Times New Roman" w:hAnsi="Times New Roman" w:eastAsia="楷体_GB2312" w:cs="Times New Roman"/>
          <w:b/>
          <w:bCs/>
          <w:color w:val="000000"/>
          <w:spacing w:val="0"/>
          <w:kern w:val="2"/>
          <w:sz w:val="32"/>
          <w:szCs w:val="32"/>
          <w:u w:val="none"/>
          <w:lang w:val="en-US" w:eastAsia="zh-CN" w:bidi="ar-SA"/>
        </w:rPr>
      </w:pPr>
      <w:r>
        <w:rPr>
          <w:rFonts w:hint="default" w:ascii="Times New Roman" w:hAnsi="Times New Roman" w:eastAsia="楷体_GB2312" w:cs="Times New Roman"/>
          <w:b/>
          <w:bCs/>
          <w:color w:val="000000"/>
          <w:spacing w:val="0"/>
          <w:kern w:val="2"/>
          <w:sz w:val="32"/>
          <w:szCs w:val="32"/>
          <w:u w:val="none"/>
          <w:lang w:val="en-US" w:eastAsia="zh-CN" w:bidi="ar-SA"/>
        </w:rPr>
        <w:t>（一）法人单位数和从业人员</w:t>
      </w:r>
    </w:p>
    <w:p w14:paraId="7C1E021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color w:val="000000"/>
          <w:spacing w:val="0"/>
          <w:kern w:val="2"/>
          <w:sz w:val="32"/>
          <w:szCs w:val="32"/>
          <w:u w:val="none"/>
          <w:lang w:val="en-US" w:eastAsia="zh-CN" w:bidi="ar-SA"/>
        </w:rPr>
      </w:pPr>
      <w:r>
        <w:rPr>
          <w:rFonts w:hint="default" w:ascii="Times New Roman" w:hAnsi="Times New Roman" w:eastAsia="仿宋_GB2312" w:cs="Times New Roman"/>
          <w:color w:val="000000"/>
          <w:spacing w:val="0"/>
          <w:kern w:val="2"/>
          <w:sz w:val="32"/>
          <w:szCs w:val="32"/>
          <w:u w:val="none"/>
          <w:lang w:val="en-US" w:eastAsia="zh-CN" w:bidi="ar-SA"/>
        </w:rPr>
        <w:t>2023年末，全区共有教育法人单位123个，从业人员3862人。其中，行政事业及非企业法人单位76个，从业人员3080人。</w:t>
      </w:r>
    </w:p>
    <w:p w14:paraId="4094F87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outlineLvl w:val="2"/>
        <w:rPr>
          <w:rFonts w:hint="default" w:ascii="Times New Roman" w:hAnsi="Times New Roman" w:eastAsia="楷体_GB2312" w:cs="Times New Roman"/>
          <w:b/>
          <w:bCs/>
          <w:color w:val="000000"/>
          <w:spacing w:val="0"/>
          <w:kern w:val="2"/>
          <w:sz w:val="32"/>
          <w:szCs w:val="32"/>
          <w:u w:val="none"/>
          <w:lang w:val="en-US" w:eastAsia="zh-CN" w:bidi="ar-SA"/>
        </w:rPr>
      </w:pPr>
      <w:r>
        <w:rPr>
          <w:rFonts w:hint="default" w:ascii="Times New Roman" w:hAnsi="Times New Roman" w:eastAsia="楷体_GB2312" w:cs="Times New Roman"/>
          <w:b/>
          <w:bCs/>
          <w:color w:val="000000"/>
          <w:spacing w:val="0"/>
          <w:kern w:val="2"/>
          <w:sz w:val="32"/>
          <w:szCs w:val="32"/>
          <w:u w:val="none"/>
          <w:lang w:val="en-US" w:eastAsia="zh-CN" w:bidi="ar-SA"/>
        </w:rPr>
        <w:t>（二）主要经济指标</w:t>
      </w:r>
    </w:p>
    <w:p w14:paraId="232FCCF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color w:val="000000"/>
          <w:spacing w:val="0"/>
          <w:kern w:val="2"/>
          <w:sz w:val="32"/>
          <w:szCs w:val="32"/>
          <w:u w:val="none"/>
          <w:lang w:val="en-US" w:eastAsia="zh-CN" w:bidi="ar-SA"/>
        </w:rPr>
      </w:pPr>
      <w:r>
        <w:rPr>
          <w:rFonts w:hint="default" w:ascii="Times New Roman" w:hAnsi="Times New Roman" w:eastAsia="仿宋_GB2312" w:cs="Times New Roman"/>
          <w:color w:val="000000"/>
          <w:spacing w:val="0"/>
          <w:kern w:val="2"/>
          <w:sz w:val="32"/>
          <w:szCs w:val="32"/>
          <w:u w:val="none"/>
          <w:lang w:val="en-US" w:eastAsia="zh-CN" w:bidi="ar-SA"/>
        </w:rPr>
        <w:t>2023年末，全区教育企业法人单位资产总计5363.5万元；负债合计1127.7万元。全年实现营业收入14455.7万元。</w:t>
      </w:r>
    </w:p>
    <w:p w14:paraId="6914303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color w:val="000000"/>
          <w:spacing w:val="0"/>
          <w:kern w:val="2"/>
          <w:sz w:val="32"/>
          <w:szCs w:val="32"/>
          <w:u w:val="none"/>
          <w:lang w:val="en-US" w:eastAsia="zh-CN" w:bidi="ar-SA"/>
        </w:rPr>
      </w:pPr>
      <w:r>
        <w:rPr>
          <w:rFonts w:hint="default" w:ascii="Times New Roman" w:hAnsi="Times New Roman" w:eastAsia="仿宋_GB2312" w:cs="Times New Roman"/>
          <w:color w:val="000000"/>
          <w:spacing w:val="0"/>
          <w:kern w:val="2"/>
          <w:sz w:val="32"/>
          <w:szCs w:val="32"/>
          <w:u w:val="none"/>
          <w:lang w:val="en-US" w:eastAsia="zh-CN" w:bidi="ar-SA"/>
        </w:rPr>
        <w:t>全区行政事业及非企业法人单位年末资产76226.9万元。本年支出（费用）合计43827.6万元。</w:t>
      </w:r>
    </w:p>
    <w:p w14:paraId="1D303FF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1"/>
        <w:rPr>
          <w:rFonts w:hint="default" w:ascii="Times New Roman" w:hAnsi="Times New Roman" w:eastAsia="黑体" w:cs="Times New Roman"/>
          <w:color w:val="000000"/>
          <w:spacing w:val="0"/>
          <w:kern w:val="2"/>
          <w:sz w:val="32"/>
          <w:szCs w:val="32"/>
          <w:u w:val="none"/>
          <w:lang w:val="en-US" w:eastAsia="zh-CN" w:bidi="ar-SA"/>
        </w:rPr>
      </w:pPr>
      <w:r>
        <w:rPr>
          <w:rFonts w:hint="default" w:ascii="Times New Roman" w:hAnsi="Times New Roman" w:eastAsia="黑体" w:cs="Times New Roman"/>
          <w:color w:val="000000"/>
          <w:spacing w:val="0"/>
          <w:kern w:val="2"/>
          <w:sz w:val="32"/>
          <w:szCs w:val="32"/>
          <w:u w:val="none"/>
          <w:lang w:val="en-US" w:eastAsia="zh-CN" w:bidi="ar-SA"/>
        </w:rPr>
        <w:t>五、卫生和社会工作</w:t>
      </w:r>
    </w:p>
    <w:p w14:paraId="757D470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outlineLvl w:val="2"/>
        <w:rPr>
          <w:rFonts w:hint="default" w:ascii="Times New Roman" w:hAnsi="Times New Roman" w:eastAsia="楷体_GB2312" w:cs="Times New Roman"/>
          <w:b/>
          <w:bCs/>
          <w:color w:val="000000"/>
          <w:spacing w:val="0"/>
          <w:kern w:val="2"/>
          <w:sz w:val="32"/>
          <w:szCs w:val="32"/>
          <w:u w:val="none"/>
          <w:lang w:val="en-US" w:eastAsia="zh-CN" w:bidi="ar-SA"/>
        </w:rPr>
      </w:pPr>
      <w:r>
        <w:rPr>
          <w:rFonts w:hint="default" w:ascii="Times New Roman" w:hAnsi="Times New Roman" w:eastAsia="楷体_GB2312" w:cs="Times New Roman"/>
          <w:b/>
          <w:bCs/>
          <w:color w:val="000000"/>
          <w:spacing w:val="0"/>
          <w:kern w:val="2"/>
          <w:sz w:val="32"/>
          <w:szCs w:val="32"/>
          <w:u w:val="none"/>
          <w:lang w:val="en-US" w:eastAsia="zh-CN" w:bidi="ar-SA"/>
        </w:rPr>
        <w:t>（一）法人单位数和从业人员</w:t>
      </w:r>
    </w:p>
    <w:p w14:paraId="0D8204C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color w:val="000000"/>
          <w:spacing w:val="0"/>
          <w:kern w:val="2"/>
          <w:sz w:val="32"/>
          <w:szCs w:val="32"/>
          <w:u w:val="none"/>
          <w:lang w:val="en-US" w:eastAsia="zh-CN" w:bidi="ar-SA"/>
        </w:rPr>
      </w:pPr>
      <w:r>
        <w:rPr>
          <w:rFonts w:hint="default" w:ascii="Times New Roman" w:hAnsi="Times New Roman" w:eastAsia="仿宋_GB2312" w:cs="Times New Roman"/>
          <w:color w:val="000000"/>
          <w:spacing w:val="0"/>
          <w:kern w:val="2"/>
          <w:sz w:val="32"/>
          <w:szCs w:val="32"/>
          <w:u w:val="none"/>
          <w:lang w:val="en-US" w:eastAsia="zh-CN" w:bidi="ar-SA"/>
        </w:rPr>
        <w:t>2023年末，全区共有卫生和社会工作法人单位61个，从业人员1230人。其中，行政事业及非企业法人单位35个</w:t>
      </w:r>
      <w:r>
        <w:rPr>
          <w:rFonts w:hint="eastAsia" w:ascii="Times New Roman" w:hAnsi="Times New Roman" w:eastAsia="仿宋_GB2312" w:cs="Times New Roman"/>
          <w:color w:val="000000"/>
          <w:spacing w:val="0"/>
          <w:kern w:val="2"/>
          <w:sz w:val="32"/>
          <w:szCs w:val="32"/>
          <w:u w:val="none"/>
          <w:lang w:val="en-US" w:eastAsia="zh-CN" w:bidi="ar-SA"/>
        </w:rPr>
        <w:t>，</w:t>
      </w:r>
      <w:r>
        <w:rPr>
          <w:rFonts w:hint="default" w:ascii="Times New Roman" w:hAnsi="Times New Roman" w:eastAsia="仿宋_GB2312" w:cs="Times New Roman"/>
          <w:color w:val="000000"/>
          <w:spacing w:val="0"/>
          <w:kern w:val="2"/>
          <w:sz w:val="32"/>
          <w:szCs w:val="32"/>
          <w:u w:val="none"/>
          <w:lang w:val="en-US" w:eastAsia="zh-CN" w:bidi="ar-SA"/>
        </w:rPr>
        <w:t>从业人员650人。</w:t>
      </w:r>
    </w:p>
    <w:p w14:paraId="4CB123E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outlineLvl w:val="2"/>
        <w:rPr>
          <w:rFonts w:hint="default" w:ascii="Times New Roman" w:hAnsi="Times New Roman" w:eastAsia="楷体_GB2312" w:cs="Times New Roman"/>
          <w:b/>
          <w:bCs/>
          <w:color w:val="000000"/>
          <w:spacing w:val="0"/>
          <w:kern w:val="2"/>
          <w:sz w:val="32"/>
          <w:szCs w:val="32"/>
          <w:u w:val="none"/>
          <w:lang w:val="en-US" w:eastAsia="zh-CN" w:bidi="ar-SA"/>
        </w:rPr>
      </w:pPr>
      <w:r>
        <w:rPr>
          <w:rFonts w:hint="default" w:ascii="Times New Roman" w:hAnsi="Times New Roman" w:eastAsia="楷体_GB2312" w:cs="Times New Roman"/>
          <w:b/>
          <w:bCs/>
          <w:color w:val="000000"/>
          <w:spacing w:val="0"/>
          <w:kern w:val="2"/>
          <w:sz w:val="32"/>
          <w:szCs w:val="32"/>
          <w:u w:val="none"/>
          <w:lang w:val="en-US" w:eastAsia="zh-CN" w:bidi="ar-SA"/>
        </w:rPr>
        <w:t>（二）主要经济指标</w:t>
      </w:r>
    </w:p>
    <w:p w14:paraId="7916989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color w:val="000000"/>
          <w:spacing w:val="0"/>
          <w:kern w:val="2"/>
          <w:sz w:val="32"/>
          <w:szCs w:val="32"/>
          <w:u w:val="none"/>
          <w:lang w:val="en-US" w:eastAsia="zh-CN" w:bidi="ar-SA"/>
        </w:rPr>
      </w:pPr>
      <w:r>
        <w:rPr>
          <w:rFonts w:hint="default" w:ascii="Times New Roman" w:hAnsi="Times New Roman" w:eastAsia="仿宋_GB2312" w:cs="Times New Roman"/>
          <w:color w:val="000000"/>
          <w:spacing w:val="0"/>
          <w:kern w:val="2"/>
          <w:sz w:val="32"/>
          <w:szCs w:val="32"/>
          <w:u w:val="none"/>
          <w:lang w:val="en-US" w:eastAsia="zh-CN" w:bidi="ar-SA"/>
        </w:rPr>
        <w:t>2023年末，全区卫生和社会工作企业法人单位资产总计12715.3万元；负债合计929.6万元。全年实现营业收入12202.4万元。</w:t>
      </w:r>
    </w:p>
    <w:p w14:paraId="42335B4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color w:val="000000"/>
          <w:spacing w:val="0"/>
          <w:kern w:val="2"/>
          <w:sz w:val="32"/>
          <w:szCs w:val="32"/>
          <w:u w:val="none"/>
          <w:lang w:val="en-US" w:eastAsia="zh-CN" w:bidi="ar-SA"/>
        </w:rPr>
      </w:pPr>
      <w:r>
        <w:rPr>
          <w:rFonts w:hint="default" w:ascii="Times New Roman" w:hAnsi="Times New Roman" w:eastAsia="仿宋_GB2312" w:cs="Times New Roman"/>
          <w:color w:val="000000"/>
          <w:spacing w:val="0"/>
          <w:kern w:val="2"/>
          <w:sz w:val="32"/>
          <w:szCs w:val="32"/>
          <w:u w:val="none"/>
          <w:lang w:val="en-US" w:eastAsia="zh-CN" w:bidi="ar-SA"/>
        </w:rPr>
        <w:t>全区行政事业及非企业法人单位年末资产11742.3万元。本年支出（费用）合计15082.4万元。</w:t>
      </w:r>
    </w:p>
    <w:p w14:paraId="6C2E7CA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1"/>
        <w:rPr>
          <w:rFonts w:hint="default" w:ascii="Times New Roman" w:hAnsi="Times New Roman" w:eastAsia="黑体" w:cs="Times New Roman"/>
          <w:b w:val="0"/>
          <w:bCs w:val="0"/>
          <w:color w:val="000000"/>
          <w:spacing w:val="0"/>
          <w:kern w:val="2"/>
          <w:sz w:val="32"/>
          <w:szCs w:val="32"/>
          <w:u w:val="none"/>
          <w:lang w:val="en-US" w:eastAsia="zh-CN" w:bidi="ar-SA"/>
        </w:rPr>
      </w:pPr>
      <w:r>
        <w:rPr>
          <w:rFonts w:hint="default" w:ascii="Times New Roman" w:hAnsi="Times New Roman" w:eastAsia="黑体" w:cs="Times New Roman"/>
          <w:b w:val="0"/>
          <w:bCs w:val="0"/>
          <w:color w:val="000000"/>
          <w:spacing w:val="0"/>
          <w:kern w:val="2"/>
          <w:sz w:val="32"/>
          <w:szCs w:val="32"/>
          <w:u w:val="none"/>
          <w:lang w:val="en-US" w:eastAsia="zh-CN" w:bidi="ar-SA"/>
        </w:rPr>
        <w:t>六、文化、体育和娱乐业</w:t>
      </w:r>
    </w:p>
    <w:p w14:paraId="6B7E335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outlineLvl w:val="2"/>
        <w:rPr>
          <w:rFonts w:hint="default" w:ascii="Times New Roman" w:hAnsi="Times New Roman" w:eastAsia="楷体_GB2312" w:cs="Times New Roman"/>
          <w:b/>
          <w:bCs/>
          <w:color w:val="000000"/>
          <w:spacing w:val="0"/>
          <w:kern w:val="2"/>
          <w:sz w:val="32"/>
          <w:szCs w:val="32"/>
          <w:u w:val="none"/>
          <w:lang w:val="en-US" w:eastAsia="zh-CN" w:bidi="ar-SA"/>
        </w:rPr>
      </w:pPr>
      <w:r>
        <w:rPr>
          <w:rFonts w:hint="default" w:ascii="Times New Roman" w:hAnsi="Times New Roman" w:eastAsia="楷体_GB2312" w:cs="Times New Roman"/>
          <w:b/>
          <w:bCs/>
          <w:color w:val="000000"/>
          <w:spacing w:val="0"/>
          <w:kern w:val="2"/>
          <w:sz w:val="32"/>
          <w:szCs w:val="32"/>
          <w:u w:val="none"/>
          <w:lang w:val="en-US" w:eastAsia="zh-CN" w:bidi="ar-SA"/>
        </w:rPr>
        <w:t>（一）法人单位数和从业人员</w:t>
      </w:r>
    </w:p>
    <w:p w14:paraId="1F7A13D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color w:val="000000"/>
          <w:spacing w:val="0"/>
          <w:kern w:val="2"/>
          <w:sz w:val="32"/>
          <w:szCs w:val="32"/>
          <w:u w:val="none"/>
          <w:lang w:val="en-US" w:eastAsia="zh-CN" w:bidi="ar-SA"/>
        </w:rPr>
      </w:pPr>
      <w:r>
        <w:rPr>
          <w:rFonts w:hint="default" w:ascii="Times New Roman" w:hAnsi="Times New Roman" w:eastAsia="仿宋_GB2312" w:cs="Times New Roman"/>
          <w:color w:val="000000"/>
          <w:spacing w:val="0"/>
          <w:kern w:val="2"/>
          <w:sz w:val="32"/>
          <w:szCs w:val="32"/>
          <w:u w:val="none"/>
          <w:lang w:val="en-US" w:eastAsia="zh-CN" w:bidi="ar-SA"/>
        </w:rPr>
        <w:t>2023年末，全区共有文化、体育和娱乐业法人单位93个，从业人员666人。其中，企业法人单位83个，从业人员548人。</w:t>
      </w:r>
    </w:p>
    <w:p w14:paraId="07BBC3F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outlineLvl w:val="2"/>
        <w:rPr>
          <w:rFonts w:hint="default" w:ascii="Times New Roman" w:hAnsi="Times New Roman" w:eastAsia="楷体_GB2312" w:cs="Times New Roman"/>
          <w:b/>
          <w:bCs/>
          <w:color w:val="000000"/>
          <w:spacing w:val="0"/>
          <w:kern w:val="2"/>
          <w:sz w:val="32"/>
          <w:szCs w:val="32"/>
          <w:u w:val="none"/>
          <w:lang w:val="en-US" w:eastAsia="zh-CN" w:bidi="ar-SA"/>
        </w:rPr>
      </w:pPr>
      <w:r>
        <w:rPr>
          <w:rFonts w:hint="default" w:ascii="Times New Roman" w:hAnsi="Times New Roman" w:eastAsia="楷体_GB2312" w:cs="Times New Roman"/>
          <w:b/>
          <w:bCs/>
          <w:color w:val="000000"/>
          <w:spacing w:val="0"/>
          <w:kern w:val="2"/>
          <w:sz w:val="32"/>
          <w:szCs w:val="32"/>
          <w:u w:val="none"/>
          <w:lang w:val="en-US" w:eastAsia="zh-CN" w:bidi="ar-SA"/>
        </w:rPr>
        <w:t>（二）主要经济指标</w:t>
      </w:r>
    </w:p>
    <w:p w14:paraId="018090E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color w:val="000000"/>
          <w:spacing w:val="0"/>
          <w:kern w:val="2"/>
          <w:sz w:val="32"/>
          <w:szCs w:val="32"/>
          <w:u w:val="none"/>
          <w:lang w:val="en-US" w:eastAsia="zh-CN" w:bidi="ar-SA"/>
        </w:rPr>
      </w:pPr>
      <w:r>
        <w:rPr>
          <w:rFonts w:hint="default" w:ascii="Times New Roman" w:hAnsi="Times New Roman" w:eastAsia="仿宋_GB2312" w:cs="Times New Roman"/>
          <w:color w:val="000000"/>
          <w:spacing w:val="0"/>
          <w:kern w:val="2"/>
          <w:sz w:val="32"/>
          <w:szCs w:val="32"/>
          <w:u w:val="none"/>
          <w:lang w:val="en-US" w:eastAsia="zh-CN" w:bidi="ar-SA"/>
        </w:rPr>
        <w:t>2023年末，全区文化、体育和娱乐业企业法人单位资产总计40677.5万元；负债合计37874.1万元。全年实现营业收入16434.2万元。</w:t>
      </w:r>
    </w:p>
    <w:p w14:paraId="344C164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color w:val="000000"/>
          <w:spacing w:val="0"/>
          <w:kern w:val="2"/>
          <w:sz w:val="32"/>
          <w:szCs w:val="32"/>
          <w:u w:val="none"/>
          <w:lang w:val="en-US" w:eastAsia="zh-CN" w:bidi="ar-SA"/>
        </w:rPr>
      </w:pPr>
      <w:r>
        <w:rPr>
          <w:rFonts w:hint="default" w:ascii="Times New Roman" w:hAnsi="Times New Roman" w:eastAsia="仿宋_GB2312" w:cs="Times New Roman"/>
          <w:color w:val="000000"/>
          <w:spacing w:val="0"/>
          <w:kern w:val="2"/>
          <w:sz w:val="32"/>
          <w:szCs w:val="32"/>
          <w:u w:val="none"/>
          <w:lang w:val="en-US" w:eastAsia="zh-CN" w:bidi="ar-SA"/>
        </w:rPr>
        <w:t>全区行政事业及非企业法人单位年末资产579.6万元。本年支出（费用）合计1227.8万元。</w:t>
      </w:r>
    </w:p>
    <w:p w14:paraId="55BBA9C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1"/>
        <w:rPr>
          <w:rFonts w:hint="default" w:ascii="Times New Roman" w:hAnsi="Times New Roman" w:eastAsia="黑体" w:cs="Times New Roman"/>
          <w:b w:val="0"/>
          <w:bCs w:val="0"/>
          <w:color w:val="000000"/>
          <w:spacing w:val="0"/>
          <w:kern w:val="2"/>
          <w:sz w:val="32"/>
          <w:szCs w:val="32"/>
          <w:u w:val="none"/>
          <w:lang w:val="en-US" w:eastAsia="zh-CN" w:bidi="ar-SA"/>
        </w:rPr>
      </w:pPr>
      <w:r>
        <w:rPr>
          <w:rFonts w:hint="default" w:ascii="Times New Roman" w:hAnsi="Times New Roman" w:eastAsia="黑体" w:cs="Times New Roman"/>
          <w:b w:val="0"/>
          <w:bCs w:val="0"/>
          <w:color w:val="000000"/>
          <w:spacing w:val="0"/>
          <w:kern w:val="2"/>
          <w:sz w:val="32"/>
          <w:szCs w:val="32"/>
          <w:u w:val="none"/>
          <w:lang w:val="en-US" w:eastAsia="zh-CN" w:bidi="ar-SA"/>
        </w:rPr>
        <w:t>七、公共管理、社会保障和社会组织</w:t>
      </w:r>
    </w:p>
    <w:p w14:paraId="46BA568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color w:val="000000" w:themeColor="text1"/>
          <w:spacing w:val="0"/>
          <w:kern w:val="2"/>
          <w:sz w:val="32"/>
          <w:szCs w:val="32"/>
          <w:u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u w:val="none"/>
          <w:lang w:val="en-US" w:eastAsia="zh-CN" w:bidi="ar-SA"/>
          <w14:textFill>
            <w14:solidFill>
              <w14:schemeClr w14:val="tx1"/>
            </w14:solidFill>
          </w14:textFill>
        </w:rPr>
        <w:t>2023年末，全区共有公共管理、社会保障和社会组织法人单位506个</w:t>
      </w:r>
      <w:r>
        <w:rPr>
          <w:rFonts w:hint="eastAsia" w:ascii="Times New Roman" w:hAnsi="Times New Roman" w:eastAsia="仿宋_GB2312" w:cs="Times New Roman"/>
          <w:color w:val="000000" w:themeColor="text1"/>
          <w:spacing w:val="0"/>
          <w:kern w:val="2"/>
          <w:sz w:val="32"/>
          <w:szCs w:val="32"/>
          <w:u w:val="none"/>
          <w:lang w:val="en-US" w:eastAsia="zh-CN" w:bidi="ar-SA"/>
          <w14:textFill>
            <w14:solidFill>
              <w14:schemeClr w14:val="tx1"/>
            </w14:solidFill>
          </w14:textFill>
        </w:rPr>
        <w:t>，</w:t>
      </w:r>
      <w:r>
        <w:rPr>
          <w:rFonts w:hint="default" w:ascii="Times New Roman" w:hAnsi="Times New Roman" w:eastAsia="仿宋_GB2312" w:cs="Times New Roman"/>
          <w:color w:val="000000" w:themeColor="text1"/>
          <w:spacing w:val="0"/>
          <w:kern w:val="2"/>
          <w:sz w:val="32"/>
          <w:szCs w:val="32"/>
          <w:u w:val="none"/>
          <w:lang w:val="en-US" w:eastAsia="zh-CN" w:bidi="ar-SA"/>
          <w14:textFill>
            <w14:solidFill>
              <w14:schemeClr w14:val="tx1"/>
            </w14:solidFill>
          </w14:textFill>
        </w:rPr>
        <w:t>从业人员9571人。行政事业及非企业法人单位本年支出（费用）合计</w:t>
      </w:r>
      <w:r>
        <w:rPr>
          <w:rFonts w:hint="eastAsia" w:ascii="Times New Roman" w:hAnsi="Times New Roman" w:eastAsia="仿宋_GB2312" w:cs="Times New Roman"/>
          <w:color w:val="000000" w:themeColor="text1"/>
          <w:spacing w:val="0"/>
          <w:kern w:val="2"/>
          <w:sz w:val="32"/>
          <w:szCs w:val="32"/>
          <w:u w:val="none"/>
          <w:lang w:val="en-US" w:eastAsia="zh-CN" w:bidi="ar-SA"/>
          <w14:textFill>
            <w14:solidFill>
              <w14:schemeClr w14:val="tx1"/>
            </w14:solidFill>
          </w14:textFill>
        </w:rPr>
        <w:t>251871.7</w:t>
      </w:r>
      <w:r>
        <w:rPr>
          <w:rFonts w:hint="default" w:ascii="Times New Roman" w:hAnsi="Times New Roman" w:eastAsia="仿宋_GB2312" w:cs="Times New Roman"/>
          <w:color w:val="000000" w:themeColor="text1"/>
          <w:spacing w:val="0"/>
          <w:kern w:val="2"/>
          <w:sz w:val="32"/>
          <w:szCs w:val="32"/>
          <w:u w:val="none"/>
          <w:lang w:val="en-US" w:eastAsia="zh-CN" w:bidi="ar-SA"/>
          <w14:textFill>
            <w14:solidFill>
              <w14:schemeClr w14:val="tx1"/>
            </w14:solidFill>
          </w14:textFill>
        </w:rPr>
        <w:t>万元。</w:t>
      </w:r>
    </w:p>
    <w:p w14:paraId="44B0E2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Times New Roman" w:hAnsi="Times New Roman" w:cs="Times New Roman" w:eastAsiaTheme="minorEastAsia"/>
          <w:b/>
          <w:bCs w:val="0"/>
          <w:i w:val="0"/>
          <w:caps w:val="0"/>
          <w:color w:val="000000"/>
          <w:spacing w:val="0"/>
          <w:kern w:val="0"/>
          <w:sz w:val="24"/>
          <w:szCs w:val="24"/>
          <w:highlight w:val="none"/>
          <w:lang w:val="en-US" w:eastAsia="zh-CN" w:bidi="ar"/>
        </w:rPr>
      </w:pPr>
    </w:p>
    <w:p w14:paraId="211BD8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482" w:firstLineChars="200"/>
        <w:jc w:val="both"/>
        <w:textAlignment w:val="auto"/>
        <w:rPr>
          <w:rFonts w:hint="default" w:ascii="Times New Roman" w:hAnsi="Times New Roman" w:cs="Times New Roman" w:eastAsiaTheme="minorEastAsia"/>
          <w:b/>
          <w:bCs w:val="0"/>
          <w:i w:val="0"/>
          <w:caps w:val="0"/>
          <w:color w:val="000000"/>
          <w:spacing w:val="0"/>
          <w:sz w:val="24"/>
          <w:szCs w:val="24"/>
          <w:highlight w:val="none"/>
        </w:rPr>
      </w:pPr>
      <w:r>
        <w:rPr>
          <w:rFonts w:hint="default" w:ascii="Times New Roman" w:hAnsi="Times New Roman" w:cs="Times New Roman" w:eastAsiaTheme="minorEastAsia"/>
          <w:b/>
          <w:bCs w:val="0"/>
          <w:i w:val="0"/>
          <w:caps w:val="0"/>
          <w:color w:val="000000"/>
          <w:spacing w:val="0"/>
          <w:kern w:val="0"/>
          <w:sz w:val="24"/>
          <w:szCs w:val="24"/>
          <w:highlight w:val="none"/>
          <w:lang w:val="en-US" w:eastAsia="zh-CN" w:bidi="ar"/>
        </w:rPr>
        <w:t>注释：</w:t>
      </w:r>
    </w:p>
    <w:p w14:paraId="6796BAB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default" w:ascii="Times New Roman" w:hAnsi="Times New Roman" w:cs="Times New Roman" w:eastAsiaTheme="minorEastAsia"/>
          <w:i w:val="0"/>
          <w:caps w:val="0"/>
          <w:color w:val="000000"/>
          <w:spacing w:val="0"/>
          <w:kern w:val="0"/>
          <w:sz w:val="24"/>
          <w:szCs w:val="24"/>
          <w:highlight w:val="none"/>
          <w:lang w:val="en-US" w:eastAsia="zh-CN" w:bidi="ar"/>
        </w:rPr>
      </w:pPr>
      <w:r>
        <w:rPr>
          <w:rFonts w:hint="default" w:ascii="Times New Roman" w:hAnsi="Times New Roman" w:cs="Times New Roman" w:eastAsiaTheme="minorEastAsia"/>
          <w:i w:val="0"/>
          <w:caps w:val="0"/>
          <w:color w:val="000000"/>
          <w:spacing w:val="0"/>
          <w:kern w:val="0"/>
          <w:sz w:val="24"/>
          <w:szCs w:val="24"/>
          <w:highlight w:val="none"/>
          <w:lang w:val="en-US" w:eastAsia="zh-CN" w:bidi="ar"/>
        </w:rPr>
        <w:t>[1]本公报中的行政事业及非企业法人单位，不包括执行企业会计制度的事业法人单位、民办非企业法人单位和基金会，农民专业合作社，农村集体经济组织和除宗教活动场所以外的机构类型为其他组织机构的法人单位。</w:t>
      </w:r>
    </w:p>
    <w:p w14:paraId="733828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480" w:firstLineChars="200"/>
        <w:jc w:val="both"/>
        <w:textAlignment w:val="auto"/>
        <w:rPr>
          <w:rFonts w:hint="default" w:ascii="Times New Roman" w:hAnsi="Times New Roman" w:cs="Times New Roman" w:eastAsiaTheme="minorEastAsia"/>
          <w:i w:val="0"/>
          <w:caps w:val="0"/>
          <w:color w:val="000000"/>
          <w:spacing w:val="0"/>
          <w:kern w:val="0"/>
          <w:sz w:val="24"/>
          <w:szCs w:val="24"/>
          <w:highlight w:val="none"/>
          <w:lang w:val="en-US" w:eastAsia="zh-CN" w:bidi="ar"/>
        </w:rPr>
      </w:pPr>
      <w:r>
        <w:rPr>
          <w:rFonts w:hint="default" w:ascii="Times New Roman" w:hAnsi="Times New Roman" w:cs="Times New Roman" w:eastAsiaTheme="minorEastAsia"/>
          <w:i w:val="0"/>
          <w:caps w:val="0"/>
          <w:color w:val="000000"/>
          <w:spacing w:val="0"/>
          <w:kern w:val="0"/>
          <w:sz w:val="24"/>
          <w:szCs w:val="24"/>
          <w:highlight w:val="none"/>
          <w:lang w:val="en-US" w:eastAsia="zh-CN" w:bidi="ar"/>
        </w:rPr>
        <w:t>[2]登记注册统计类别：根据国家统计局、国家市场监督管理总局《关于市场主体统计分类的划分规定》（国统字〔2023〕14号）确定，包括内资企业、港澳台投资企业和外商投资企业，以及农民专业合作社（联合社）等其他统计类别。</w:t>
      </w:r>
    </w:p>
    <w:p w14:paraId="580F6F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480" w:firstLineChars="200"/>
        <w:jc w:val="both"/>
        <w:textAlignment w:val="auto"/>
        <w:rPr>
          <w:rFonts w:hint="default" w:ascii="Times New Roman" w:hAnsi="Times New Roman" w:eastAsia="仿宋_GB2312" w:cs="Times New Roman"/>
          <w:sz w:val="32"/>
          <w:szCs w:val="32"/>
        </w:rPr>
      </w:pPr>
      <w:r>
        <w:rPr>
          <w:rFonts w:hint="default" w:ascii="Times New Roman" w:hAnsi="Times New Roman" w:cs="Times New Roman" w:eastAsiaTheme="minorEastAsia"/>
          <w:i w:val="0"/>
          <w:caps w:val="0"/>
          <w:color w:val="000000"/>
          <w:spacing w:val="0"/>
          <w:kern w:val="0"/>
          <w:sz w:val="24"/>
          <w:szCs w:val="24"/>
          <w:highlight w:val="none"/>
          <w:lang w:val="en-US" w:eastAsia="zh-CN" w:bidi="ar"/>
        </w:rPr>
        <w:t>[3]表中的合计数和部分计算数据因小数取舍而产生的误差，均未作机械调整。为保证数据精确度，个别数据保留2位小数。</w:t>
      </w:r>
      <w:bookmarkStart w:id="0" w:name="_GoBack"/>
      <w:bookmarkEnd w:id="0"/>
    </w:p>
    <w:sectPr>
      <w:footerReference r:id="rId3" w:type="default"/>
      <w:pgSz w:w="11906" w:h="16838"/>
      <w:pgMar w:top="1417" w:right="1531" w:bottom="1417" w:left="1531"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大标宋_GBK">
    <w:panose1 w:val="03000509000000000000"/>
    <w:charset w:val="86"/>
    <w:family w:val="auto"/>
    <w:pitch w:val="default"/>
    <w:sig w:usb0="00000001" w:usb1="080E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script"/>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8CD53">
    <w:pPr>
      <w:pStyle w:val="7"/>
      <w:ind w:right="420" w:rightChars="200"/>
      <w:jc w:val="right"/>
      <w:rPr>
        <w:rFonts w:hint="eastAsia" w:ascii="宋体" w:hAnsi="宋体"/>
        <w:spacing w:val="0"/>
        <w:w w:val="100"/>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E88358">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4E88358">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1711A9"/>
    <w:rsid w:val="00044EF2"/>
    <w:rsid w:val="00066EBC"/>
    <w:rsid w:val="005574FC"/>
    <w:rsid w:val="005D2854"/>
    <w:rsid w:val="007311B2"/>
    <w:rsid w:val="008953F8"/>
    <w:rsid w:val="00A3470B"/>
    <w:rsid w:val="00AE30B0"/>
    <w:rsid w:val="00F74A57"/>
    <w:rsid w:val="01277FD4"/>
    <w:rsid w:val="015E0632"/>
    <w:rsid w:val="018502B5"/>
    <w:rsid w:val="01A52705"/>
    <w:rsid w:val="01A85D51"/>
    <w:rsid w:val="01B72B02"/>
    <w:rsid w:val="01D84888"/>
    <w:rsid w:val="01EC42D0"/>
    <w:rsid w:val="01F1594A"/>
    <w:rsid w:val="025A01FA"/>
    <w:rsid w:val="02BC3862"/>
    <w:rsid w:val="02E910F0"/>
    <w:rsid w:val="030624A9"/>
    <w:rsid w:val="03174F3D"/>
    <w:rsid w:val="031E451D"/>
    <w:rsid w:val="035166A0"/>
    <w:rsid w:val="035E700F"/>
    <w:rsid w:val="03633DC0"/>
    <w:rsid w:val="038325D2"/>
    <w:rsid w:val="039D7B38"/>
    <w:rsid w:val="03A569EC"/>
    <w:rsid w:val="03C86237"/>
    <w:rsid w:val="03EC461B"/>
    <w:rsid w:val="042C4A18"/>
    <w:rsid w:val="043E429C"/>
    <w:rsid w:val="0442423B"/>
    <w:rsid w:val="046046C1"/>
    <w:rsid w:val="047A1C27"/>
    <w:rsid w:val="04DC01EC"/>
    <w:rsid w:val="04E35A1E"/>
    <w:rsid w:val="05096B07"/>
    <w:rsid w:val="053A4A43"/>
    <w:rsid w:val="054A784B"/>
    <w:rsid w:val="05502988"/>
    <w:rsid w:val="055424CE"/>
    <w:rsid w:val="05850883"/>
    <w:rsid w:val="05AA2098"/>
    <w:rsid w:val="05D37841"/>
    <w:rsid w:val="05DB04A3"/>
    <w:rsid w:val="05EC445F"/>
    <w:rsid w:val="065A1D10"/>
    <w:rsid w:val="06FF6413"/>
    <w:rsid w:val="071137D1"/>
    <w:rsid w:val="07281A58"/>
    <w:rsid w:val="0749768F"/>
    <w:rsid w:val="0768220B"/>
    <w:rsid w:val="07832BA1"/>
    <w:rsid w:val="07A34FF1"/>
    <w:rsid w:val="07B436A2"/>
    <w:rsid w:val="07CC09EB"/>
    <w:rsid w:val="07CF228A"/>
    <w:rsid w:val="07F65DEF"/>
    <w:rsid w:val="08122176"/>
    <w:rsid w:val="085B1D6F"/>
    <w:rsid w:val="085E7779"/>
    <w:rsid w:val="08732C15"/>
    <w:rsid w:val="08766BA9"/>
    <w:rsid w:val="08A40A20"/>
    <w:rsid w:val="08E27D9B"/>
    <w:rsid w:val="08E81855"/>
    <w:rsid w:val="08F024B8"/>
    <w:rsid w:val="09093579"/>
    <w:rsid w:val="09120680"/>
    <w:rsid w:val="09622640"/>
    <w:rsid w:val="097430E9"/>
    <w:rsid w:val="098175B4"/>
    <w:rsid w:val="09E35B78"/>
    <w:rsid w:val="0A165F4E"/>
    <w:rsid w:val="0A221EE6"/>
    <w:rsid w:val="0A252635"/>
    <w:rsid w:val="0A5E6211"/>
    <w:rsid w:val="0A6C0360"/>
    <w:rsid w:val="0A7315F2"/>
    <w:rsid w:val="0A9450C5"/>
    <w:rsid w:val="0A9615EB"/>
    <w:rsid w:val="0A99092D"/>
    <w:rsid w:val="0AB26910"/>
    <w:rsid w:val="0AC0410C"/>
    <w:rsid w:val="0AEE0C79"/>
    <w:rsid w:val="0B04049C"/>
    <w:rsid w:val="0B3B3792"/>
    <w:rsid w:val="0B444D3D"/>
    <w:rsid w:val="0B48482D"/>
    <w:rsid w:val="0B8415DD"/>
    <w:rsid w:val="0BA8707A"/>
    <w:rsid w:val="0BEE4036"/>
    <w:rsid w:val="0C0F0EA7"/>
    <w:rsid w:val="0C281F69"/>
    <w:rsid w:val="0C7C502D"/>
    <w:rsid w:val="0C8E44C1"/>
    <w:rsid w:val="0CA065CC"/>
    <w:rsid w:val="0CDB347F"/>
    <w:rsid w:val="0D825D10"/>
    <w:rsid w:val="0D910E55"/>
    <w:rsid w:val="0DFC18FF"/>
    <w:rsid w:val="0E176739"/>
    <w:rsid w:val="0E63246E"/>
    <w:rsid w:val="0EFA4090"/>
    <w:rsid w:val="0F130CAE"/>
    <w:rsid w:val="0F331350"/>
    <w:rsid w:val="0F543075"/>
    <w:rsid w:val="0FB00BF3"/>
    <w:rsid w:val="0FC63F72"/>
    <w:rsid w:val="102A4C15"/>
    <w:rsid w:val="10AA5642"/>
    <w:rsid w:val="10CB1440"/>
    <w:rsid w:val="10CF50A9"/>
    <w:rsid w:val="10E87F18"/>
    <w:rsid w:val="10FC5772"/>
    <w:rsid w:val="110A6488"/>
    <w:rsid w:val="110C00AB"/>
    <w:rsid w:val="11276C93"/>
    <w:rsid w:val="11301FEB"/>
    <w:rsid w:val="11523FD6"/>
    <w:rsid w:val="11665A0D"/>
    <w:rsid w:val="118C2F9A"/>
    <w:rsid w:val="11C97D4A"/>
    <w:rsid w:val="12154D3D"/>
    <w:rsid w:val="12445622"/>
    <w:rsid w:val="124675EC"/>
    <w:rsid w:val="12467F0D"/>
    <w:rsid w:val="124B075F"/>
    <w:rsid w:val="126006AE"/>
    <w:rsid w:val="12655CC4"/>
    <w:rsid w:val="127F48AC"/>
    <w:rsid w:val="129C0FBA"/>
    <w:rsid w:val="129E1DE1"/>
    <w:rsid w:val="12BB3B36"/>
    <w:rsid w:val="131B6383"/>
    <w:rsid w:val="13370CE3"/>
    <w:rsid w:val="133C56A8"/>
    <w:rsid w:val="13655B48"/>
    <w:rsid w:val="13741F37"/>
    <w:rsid w:val="138403CC"/>
    <w:rsid w:val="138959E3"/>
    <w:rsid w:val="139A32B7"/>
    <w:rsid w:val="13C0517C"/>
    <w:rsid w:val="13C702B9"/>
    <w:rsid w:val="13D749A0"/>
    <w:rsid w:val="13DD188A"/>
    <w:rsid w:val="143F0797"/>
    <w:rsid w:val="144B2C98"/>
    <w:rsid w:val="146D70B2"/>
    <w:rsid w:val="1475475B"/>
    <w:rsid w:val="149C7998"/>
    <w:rsid w:val="14AA0180"/>
    <w:rsid w:val="14E86739"/>
    <w:rsid w:val="14F43330"/>
    <w:rsid w:val="15284D87"/>
    <w:rsid w:val="153B2D0D"/>
    <w:rsid w:val="155F3797"/>
    <w:rsid w:val="15714980"/>
    <w:rsid w:val="15826B8D"/>
    <w:rsid w:val="15A00DC2"/>
    <w:rsid w:val="15C40F54"/>
    <w:rsid w:val="15D373E9"/>
    <w:rsid w:val="15F35395"/>
    <w:rsid w:val="15FC2B6A"/>
    <w:rsid w:val="163D0D06"/>
    <w:rsid w:val="16412291"/>
    <w:rsid w:val="16445BF1"/>
    <w:rsid w:val="165C73DE"/>
    <w:rsid w:val="16781D3E"/>
    <w:rsid w:val="16B94831"/>
    <w:rsid w:val="16E11692"/>
    <w:rsid w:val="175A6EFE"/>
    <w:rsid w:val="176A78D9"/>
    <w:rsid w:val="177644D0"/>
    <w:rsid w:val="1776627E"/>
    <w:rsid w:val="17C0574B"/>
    <w:rsid w:val="17C510B2"/>
    <w:rsid w:val="17E56F60"/>
    <w:rsid w:val="17EF3C3D"/>
    <w:rsid w:val="18294323"/>
    <w:rsid w:val="182E6B59"/>
    <w:rsid w:val="18300F01"/>
    <w:rsid w:val="184C6FDF"/>
    <w:rsid w:val="18645E17"/>
    <w:rsid w:val="186B1B5B"/>
    <w:rsid w:val="18891FE1"/>
    <w:rsid w:val="188E5849"/>
    <w:rsid w:val="18B90B18"/>
    <w:rsid w:val="18FE29CF"/>
    <w:rsid w:val="19157D18"/>
    <w:rsid w:val="19183BAB"/>
    <w:rsid w:val="19321F8E"/>
    <w:rsid w:val="194128BC"/>
    <w:rsid w:val="196D1903"/>
    <w:rsid w:val="19832ED4"/>
    <w:rsid w:val="199450E1"/>
    <w:rsid w:val="199804CB"/>
    <w:rsid w:val="19C77265"/>
    <w:rsid w:val="19DE1A34"/>
    <w:rsid w:val="19FD2C86"/>
    <w:rsid w:val="1A0062D3"/>
    <w:rsid w:val="1A09162B"/>
    <w:rsid w:val="1A1B4EBB"/>
    <w:rsid w:val="1A1F5E07"/>
    <w:rsid w:val="1A27385F"/>
    <w:rsid w:val="1A3B3603"/>
    <w:rsid w:val="1A68274D"/>
    <w:rsid w:val="1A7647E7"/>
    <w:rsid w:val="1A8213DE"/>
    <w:rsid w:val="1AC6529E"/>
    <w:rsid w:val="1AE47A0B"/>
    <w:rsid w:val="1AE71241"/>
    <w:rsid w:val="1B065B6B"/>
    <w:rsid w:val="1B0B4F2F"/>
    <w:rsid w:val="1B154000"/>
    <w:rsid w:val="1B18764C"/>
    <w:rsid w:val="1B6F3710"/>
    <w:rsid w:val="1BB630ED"/>
    <w:rsid w:val="1BBC26CD"/>
    <w:rsid w:val="1C413C34"/>
    <w:rsid w:val="1C427076"/>
    <w:rsid w:val="1C4A7CD9"/>
    <w:rsid w:val="1CFF6D16"/>
    <w:rsid w:val="1D0E51AB"/>
    <w:rsid w:val="1D1F1166"/>
    <w:rsid w:val="1D37200B"/>
    <w:rsid w:val="1D392227"/>
    <w:rsid w:val="1D444728"/>
    <w:rsid w:val="1D9236E6"/>
    <w:rsid w:val="1DC55230"/>
    <w:rsid w:val="1DE008F5"/>
    <w:rsid w:val="1DED3012"/>
    <w:rsid w:val="1E036392"/>
    <w:rsid w:val="1E081BFA"/>
    <w:rsid w:val="1E110AAE"/>
    <w:rsid w:val="1E206F43"/>
    <w:rsid w:val="1E2C7696"/>
    <w:rsid w:val="1E7352C5"/>
    <w:rsid w:val="1EB27D68"/>
    <w:rsid w:val="1EB61656"/>
    <w:rsid w:val="1EC975DB"/>
    <w:rsid w:val="1ED51722"/>
    <w:rsid w:val="1F1A3993"/>
    <w:rsid w:val="1F5F584A"/>
    <w:rsid w:val="1F74219C"/>
    <w:rsid w:val="1F923E71"/>
    <w:rsid w:val="1F93040F"/>
    <w:rsid w:val="1FB42039"/>
    <w:rsid w:val="1FC658C9"/>
    <w:rsid w:val="1FDF698A"/>
    <w:rsid w:val="1FEF3071"/>
    <w:rsid w:val="20032679"/>
    <w:rsid w:val="2007660D"/>
    <w:rsid w:val="20144886"/>
    <w:rsid w:val="20315438"/>
    <w:rsid w:val="20592BE1"/>
    <w:rsid w:val="20914128"/>
    <w:rsid w:val="20BF5AA4"/>
    <w:rsid w:val="21224918"/>
    <w:rsid w:val="21537630"/>
    <w:rsid w:val="215E0285"/>
    <w:rsid w:val="2180387B"/>
    <w:rsid w:val="21B300CF"/>
    <w:rsid w:val="21B87493"/>
    <w:rsid w:val="21C66054"/>
    <w:rsid w:val="21CF315A"/>
    <w:rsid w:val="21FC3824"/>
    <w:rsid w:val="22456F79"/>
    <w:rsid w:val="22865179"/>
    <w:rsid w:val="22A04AF7"/>
    <w:rsid w:val="22A30143"/>
    <w:rsid w:val="22E20C6B"/>
    <w:rsid w:val="232A50B4"/>
    <w:rsid w:val="23307478"/>
    <w:rsid w:val="23751ADF"/>
    <w:rsid w:val="23825FAA"/>
    <w:rsid w:val="238A2E87"/>
    <w:rsid w:val="239857CE"/>
    <w:rsid w:val="23A10B26"/>
    <w:rsid w:val="23E46C65"/>
    <w:rsid w:val="2426692F"/>
    <w:rsid w:val="242B4894"/>
    <w:rsid w:val="247D50F0"/>
    <w:rsid w:val="24C3687B"/>
    <w:rsid w:val="24CC07F0"/>
    <w:rsid w:val="24CE4851"/>
    <w:rsid w:val="24D6035C"/>
    <w:rsid w:val="24DB0068"/>
    <w:rsid w:val="24FF4E0B"/>
    <w:rsid w:val="25253091"/>
    <w:rsid w:val="2537799C"/>
    <w:rsid w:val="256736A6"/>
    <w:rsid w:val="257A33DD"/>
    <w:rsid w:val="25893004"/>
    <w:rsid w:val="25983863"/>
    <w:rsid w:val="259A3A7F"/>
    <w:rsid w:val="25D56865"/>
    <w:rsid w:val="25DC5E46"/>
    <w:rsid w:val="25F56F08"/>
    <w:rsid w:val="26013AFE"/>
    <w:rsid w:val="26062EC3"/>
    <w:rsid w:val="268D7140"/>
    <w:rsid w:val="26914E82"/>
    <w:rsid w:val="26A30712"/>
    <w:rsid w:val="26BE554B"/>
    <w:rsid w:val="26E74F9B"/>
    <w:rsid w:val="26EA27E4"/>
    <w:rsid w:val="26FC7E22"/>
    <w:rsid w:val="270B60DD"/>
    <w:rsid w:val="27764078"/>
    <w:rsid w:val="280A391D"/>
    <w:rsid w:val="281318C7"/>
    <w:rsid w:val="285048C9"/>
    <w:rsid w:val="28901ACD"/>
    <w:rsid w:val="289742A6"/>
    <w:rsid w:val="289C7B0E"/>
    <w:rsid w:val="28A10C81"/>
    <w:rsid w:val="28E514B5"/>
    <w:rsid w:val="28EC45F2"/>
    <w:rsid w:val="296C5733"/>
    <w:rsid w:val="299E3412"/>
    <w:rsid w:val="29A273A6"/>
    <w:rsid w:val="29C46D28"/>
    <w:rsid w:val="29FD638B"/>
    <w:rsid w:val="2A44220C"/>
    <w:rsid w:val="2A46257B"/>
    <w:rsid w:val="2A506E02"/>
    <w:rsid w:val="2A510485"/>
    <w:rsid w:val="2A636B36"/>
    <w:rsid w:val="2A6D1762"/>
    <w:rsid w:val="2A7725E1"/>
    <w:rsid w:val="2AA23EE1"/>
    <w:rsid w:val="2AC31382"/>
    <w:rsid w:val="2AC82E3D"/>
    <w:rsid w:val="2ADE7F6A"/>
    <w:rsid w:val="2AF43C32"/>
    <w:rsid w:val="2AFB4FC0"/>
    <w:rsid w:val="2B3E6C5B"/>
    <w:rsid w:val="2B674404"/>
    <w:rsid w:val="2B6C5576"/>
    <w:rsid w:val="2B8C3E6A"/>
    <w:rsid w:val="2B996587"/>
    <w:rsid w:val="2BAA0794"/>
    <w:rsid w:val="2BAA609E"/>
    <w:rsid w:val="2BBD2276"/>
    <w:rsid w:val="2BC70369"/>
    <w:rsid w:val="2BCE4483"/>
    <w:rsid w:val="2BF22CB5"/>
    <w:rsid w:val="2BF81500"/>
    <w:rsid w:val="2C167BD8"/>
    <w:rsid w:val="2C4604BD"/>
    <w:rsid w:val="2C481A7F"/>
    <w:rsid w:val="2C974875"/>
    <w:rsid w:val="2CB01DDA"/>
    <w:rsid w:val="2CE33F5E"/>
    <w:rsid w:val="2CF03F85"/>
    <w:rsid w:val="2D0839C4"/>
    <w:rsid w:val="2D177764"/>
    <w:rsid w:val="2D265D01"/>
    <w:rsid w:val="2D4367AA"/>
    <w:rsid w:val="2D6C0765"/>
    <w:rsid w:val="2D8B537A"/>
    <w:rsid w:val="2DDB69E3"/>
    <w:rsid w:val="2DE955A4"/>
    <w:rsid w:val="2DEA609B"/>
    <w:rsid w:val="2E3507E9"/>
    <w:rsid w:val="2EA63495"/>
    <w:rsid w:val="2EAD1702"/>
    <w:rsid w:val="2ED33B5E"/>
    <w:rsid w:val="2EE67D35"/>
    <w:rsid w:val="2EE95130"/>
    <w:rsid w:val="2EEE0998"/>
    <w:rsid w:val="2EF44200"/>
    <w:rsid w:val="2EF57F78"/>
    <w:rsid w:val="2F034443"/>
    <w:rsid w:val="2F0B154A"/>
    <w:rsid w:val="2F1C72B3"/>
    <w:rsid w:val="2F452CAE"/>
    <w:rsid w:val="2F4A02C4"/>
    <w:rsid w:val="2F61560E"/>
    <w:rsid w:val="2FAF45CB"/>
    <w:rsid w:val="2FDA596B"/>
    <w:rsid w:val="2FDC6A42"/>
    <w:rsid w:val="2FE204FD"/>
    <w:rsid w:val="2FF80E15"/>
    <w:rsid w:val="301711A9"/>
    <w:rsid w:val="302E54F0"/>
    <w:rsid w:val="302F3016"/>
    <w:rsid w:val="304940D8"/>
    <w:rsid w:val="304E5B92"/>
    <w:rsid w:val="30586A11"/>
    <w:rsid w:val="305B02AF"/>
    <w:rsid w:val="30986E0D"/>
    <w:rsid w:val="30A457B2"/>
    <w:rsid w:val="30B874AF"/>
    <w:rsid w:val="30C45E54"/>
    <w:rsid w:val="30C96FC7"/>
    <w:rsid w:val="315471D8"/>
    <w:rsid w:val="31921AAF"/>
    <w:rsid w:val="31950990"/>
    <w:rsid w:val="31C262B1"/>
    <w:rsid w:val="32036508"/>
    <w:rsid w:val="321150C9"/>
    <w:rsid w:val="32867865"/>
    <w:rsid w:val="32BB17EF"/>
    <w:rsid w:val="3317670F"/>
    <w:rsid w:val="332B21BB"/>
    <w:rsid w:val="332B3F69"/>
    <w:rsid w:val="33353039"/>
    <w:rsid w:val="3359069A"/>
    <w:rsid w:val="335A5286"/>
    <w:rsid w:val="33E759B9"/>
    <w:rsid w:val="344C68BC"/>
    <w:rsid w:val="34D16D92"/>
    <w:rsid w:val="34DA79F4"/>
    <w:rsid w:val="34FD7B87"/>
    <w:rsid w:val="35246EC1"/>
    <w:rsid w:val="35305866"/>
    <w:rsid w:val="35417A73"/>
    <w:rsid w:val="35496928"/>
    <w:rsid w:val="3589141A"/>
    <w:rsid w:val="35B00755"/>
    <w:rsid w:val="35E11256"/>
    <w:rsid w:val="35E6686D"/>
    <w:rsid w:val="360E0E3F"/>
    <w:rsid w:val="361231BE"/>
    <w:rsid w:val="369B1405"/>
    <w:rsid w:val="36C24BE4"/>
    <w:rsid w:val="36D6068F"/>
    <w:rsid w:val="36EF34FF"/>
    <w:rsid w:val="375D66BB"/>
    <w:rsid w:val="375E25FC"/>
    <w:rsid w:val="3768578B"/>
    <w:rsid w:val="379876F3"/>
    <w:rsid w:val="37EE37B7"/>
    <w:rsid w:val="382611A3"/>
    <w:rsid w:val="382673F4"/>
    <w:rsid w:val="385B0E4C"/>
    <w:rsid w:val="38871C41"/>
    <w:rsid w:val="38F17A02"/>
    <w:rsid w:val="390412B7"/>
    <w:rsid w:val="39184F8F"/>
    <w:rsid w:val="393C6ED0"/>
    <w:rsid w:val="39461AFC"/>
    <w:rsid w:val="397523E2"/>
    <w:rsid w:val="397C1C5A"/>
    <w:rsid w:val="39965EB4"/>
    <w:rsid w:val="399C171C"/>
    <w:rsid w:val="39BA2FCF"/>
    <w:rsid w:val="39E82BB3"/>
    <w:rsid w:val="39F7221A"/>
    <w:rsid w:val="3A080BE1"/>
    <w:rsid w:val="3A157721"/>
    <w:rsid w:val="3A322081"/>
    <w:rsid w:val="3A406295"/>
    <w:rsid w:val="3A5244D1"/>
    <w:rsid w:val="3A5D0D22"/>
    <w:rsid w:val="3A7B3A28"/>
    <w:rsid w:val="3A900B55"/>
    <w:rsid w:val="3AAA0E89"/>
    <w:rsid w:val="3AC54CA3"/>
    <w:rsid w:val="3AEF1D20"/>
    <w:rsid w:val="3AF92B9E"/>
    <w:rsid w:val="3B6B584A"/>
    <w:rsid w:val="3B84690C"/>
    <w:rsid w:val="3B893F22"/>
    <w:rsid w:val="3BD01B51"/>
    <w:rsid w:val="3BED2703"/>
    <w:rsid w:val="3C011D0B"/>
    <w:rsid w:val="3C044E86"/>
    <w:rsid w:val="3C0E61D6"/>
    <w:rsid w:val="3C3C0F95"/>
    <w:rsid w:val="3C6F5700"/>
    <w:rsid w:val="3D0777F5"/>
    <w:rsid w:val="3D0B7F1C"/>
    <w:rsid w:val="3D29776B"/>
    <w:rsid w:val="3D3E0D3C"/>
    <w:rsid w:val="3D5B544A"/>
    <w:rsid w:val="3D6F7148"/>
    <w:rsid w:val="3D7309E6"/>
    <w:rsid w:val="3D8726E3"/>
    <w:rsid w:val="3DD1395F"/>
    <w:rsid w:val="3DD3114F"/>
    <w:rsid w:val="3E0C4997"/>
    <w:rsid w:val="3E5325C6"/>
    <w:rsid w:val="3E742C68"/>
    <w:rsid w:val="3EA11583"/>
    <w:rsid w:val="3F3E3276"/>
    <w:rsid w:val="3F4940F4"/>
    <w:rsid w:val="3F4C5993"/>
    <w:rsid w:val="3F5E56C6"/>
    <w:rsid w:val="3F6C393F"/>
    <w:rsid w:val="3F760C61"/>
    <w:rsid w:val="3F79605C"/>
    <w:rsid w:val="3F9133A5"/>
    <w:rsid w:val="3FA532F5"/>
    <w:rsid w:val="3FA550A3"/>
    <w:rsid w:val="4037219F"/>
    <w:rsid w:val="405B6F2C"/>
    <w:rsid w:val="407E6EA9"/>
    <w:rsid w:val="408475C8"/>
    <w:rsid w:val="40923879"/>
    <w:rsid w:val="40B3559D"/>
    <w:rsid w:val="40BA72C4"/>
    <w:rsid w:val="40F94425"/>
    <w:rsid w:val="41115F4D"/>
    <w:rsid w:val="411C1395"/>
    <w:rsid w:val="412B15D8"/>
    <w:rsid w:val="416311AB"/>
    <w:rsid w:val="41B8730F"/>
    <w:rsid w:val="41F1637D"/>
    <w:rsid w:val="42380351"/>
    <w:rsid w:val="42424E2B"/>
    <w:rsid w:val="428611BC"/>
    <w:rsid w:val="42935686"/>
    <w:rsid w:val="42A930FC"/>
    <w:rsid w:val="42B03AF6"/>
    <w:rsid w:val="42BD2703"/>
    <w:rsid w:val="42CD0B98"/>
    <w:rsid w:val="42CF1434"/>
    <w:rsid w:val="42ED4847"/>
    <w:rsid w:val="431467C7"/>
    <w:rsid w:val="43657023"/>
    <w:rsid w:val="436A63E7"/>
    <w:rsid w:val="43A044FF"/>
    <w:rsid w:val="43AD2778"/>
    <w:rsid w:val="43BF2BD7"/>
    <w:rsid w:val="43C27FD1"/>
    <w:rsid w:val="43FD54AD"/>
    <w:rsid w:val="441B3B85"/>
    <w:rsid w:val="442E38B9"/>
    <w:rsid w:val="445175A7"/>
    <w:rsid w:val="446130C1"/>
    <w:rsid w:val="44625310"/>
    <w:rsid w:val="44641089"/>
    <w:rsid w:val="447C2876"/>
    <w:rsid w:val="447F4114"/>
    <w:rsid w:val="448434D9"/>
    <w:rsid w:val="44964820"/>
    <w:rsid w:val="449C6A74"/>
    <w:rsid w:val="44B57B36"/>
    <w:rsid w:val="44D77AAC"/>
    <w:rsid w:val="44EE129A"/>
    <w:rsid w:val="452B51E0"/>
    <w:rsid w:val="454977AD"/>
    <w:rsid w:val="455C4456"/>
    <w:rsid w:val="458F482B"/>
    <w:rsid w:val="45AA51C1"/>
    <w:rsid w:val="45EC0586"/>
    <w:rsid w:val="45F621B4"/>
    <w:rsid w:val="460279A5"/>
    <w:rsid w:val="46144188"/>
    <w:rsid w:val="465A6BE7"/>
    <w:rsid w:val="46821C9A"/>
    <w:rsid w:val="468679DC"/>
    <w:rsid w:val="46A936CA"/>
    <w:rsid w:val="46B8390E"/>
    <w:rsid w:val="46C04A60"/>
    <w:rsid w:val="46DF7065"/>
    <w:rsid w:val="47024B89"/>
    <w:rsid w:val="473236C0"/>
    <w:rsid w:val="474D674C"/>
    <w:rsid w:val="47B57E4D"/>
    <w:rsid w:val="47C443E5"/>
    <w:rsid w:val="47CD6BD8"/>
    <w:rsid w:val="47CF5A40"/>
    <w:rsid w:val="47DF7F53"/>
    <w:rsid w:val="47E86474"/>
    <w:rsid w:val="47EA7452"/>
    <w:rsid w:val="480C3F11"/>
    <w:rsid w:val="484C6A03"/>
    <w:rsid w:val="48763A80"/>
    <w:rsid w:val="48D367DD"/>
    <w:rsid w:val="4941408E"/>
    <w:rsid w:val="495913D8"/>
    <w:rsid w:val="49706721"/>
    <w:rsid w:val="499248EA"/>
    <w:rsid w:val="49942410"/>
    <w:rsid w:val="499B072D"/>
    <w:rsid w:val="49EF7646"/>
    <w:rsid w:val="4A37282C"/>
    <w:rsid w:val="4A5B2F2E"/>
    <w:rsid w:val="4A761B16"/>
    <w:rsid w:val="4A827A02"/>
    <w:rsid w:val="4AA173B4"/>
    <w:rsid w:val="4AC40AD3"/>
    <w:rsid w:val="4ACE54AE"/>
    <w:rsid w:val="4AE7656F"/>
    <w:rsid w:val="4B6422B6"/>
    <w:rsid w:val="4B693428"/>
    <w:rsid w:val="4B726781"/>
    <w:rsid w:val="4B7C315C"/>
    <w:rsid w:val="4BCB5E91"/>
    <w:rsid w:val="4C07336D"/>
    <w:rsid w:val="4C0A0767"/>
    <w:rsid w:val="4C4C5224"/>
    <w:rsid w:val="4C804ECE"/>
    <w:rsid w:val="4C8F3363"/>
    <w:rsid w:val="4C8F6EBF"/>
    <w:rsid w:val="4C9E35A6"/>
    <w:rsid w:val="4CD8042C"/>
    <w:rsid w:val="4CE0771A"/>
    <w:rsid w:val="4D023FE8"/>
    <w:rsid w:val="4D0C050F"/>
    <w:rsid w:val="4D153868"/>
    <w:rsid w:val="4D677E3B"/>
    <w:rsid w:val="4D6B7C12"/>
    <w:rsid w:val="4D812CAB"/>
    <w:rsid w:val="4D85183B"/>
    <w:rsid w:val="4D9964EA"/>
    <w:rsid w:val="4DB210B7"/>
    <w:rsid w:val="4DB52E11"/>
    <w:rsid w:val="4DBE3EFF"/>
    <w:rsid w:val="4E2077F1"/>
    <w:rsid w:val="4E5054FE"/>
    <w:rsid w:val="4E564138"/>
    <w:rsid w:val="4E636CCB"/>
    <w:rsid w:val="4E6D76D3"/>
    <w:rsid w:val="4E8B0864"/>
    <w:rsid w:val="4E9702AC"/>
    <w:rsid w:val="4EA50C1B"/>
    <w:rsid w:val="4ECC7F56"/>
    <w:rsid w:val="4F196F13"/>
    <w:rsid w:val="4F1A33B7"/>
    <w:rsid w:val="4F1E452A"/>
    <w:rsid w:val="4F3124AF"/>
    <w:rsid w:val="4F361873"/>
    <w:rsid w:val="4F5A0E97"/>
    <w:rsid w:val="4F67454F"/>
    <w:rsid w:val="4F675ED1"/>
    <w:rsid w:val="4FC41575"/>
    <w:rsid w:val="4FD33566"/>
    <w:rsid w:val="4FE63299"/>
    <w:rsid w:val="501871E4"/>
    <w:rsid w:val="502A762A"/>
    <w:rsid w:val="504908E4"/>
    <w:rsid w:val="507E34D2"/>
    <w:rsid w:val="509E1DC6"/>
    <w:rsid w:val="50AB4FDE"/>
    <w:rsid w:val="50DE0415"/>
    <w:rsid w:val="50E13A61"/>
    <w:rsid w:val="50F32112"/>
    <w:rsid w:val="51181B78"/>
    <w:rsid w:val="513E0EB3"/>
    <w:rsid w:val="515B7CB7"/>
    <w:rsid w:val="517448D5"/>
    <w:rsid w:val="51905BB3"/>
    <w:rsid w:val="51BE389E"/>
    <w:rsid w:val="51C55131"/>
    <w:rsid w:val="51DD247A"/>
    <w:rsid w:val="5201085F"/>
    <w:rsid w:val="52102850"/>
    <w:rsid w:val="52171E30"/>
    <w:rsid w:val="52195BA8"/>
    <w:rsid w:val="522B768A"/>
    <w:rsid w:val="52326C6A"/>
    <w:rsid w:val="525941F7"/>
    <w:rsid w:val="52595FA5"/>
    <w:rsid w:val="52854FEC"/>
    <w:rsid w:val="52A31916"/>
    <w:rsid w:val="52B15DDC"/>
    <w:rsid w:val="52BE04FE"/>
    <w:rsid w:val="52CF270B"/>
    <w:rsid w:val="52CF44B9"/>
    <w:rsid w:val="533407C0"/>
    <w:rsid w:val="53346A12"/>
    <w:rsid w:val="5338205E"/>
    <w:rsid w:val="537B63EF"/>
    <w:rsid w:val="542579E2"/>
    <w:rsid w:val="54640C31"/>
    <w:rsid w:val="54684BC5"/>
    <w:rsid w:val="546C0121"/>
    <w:rsid w:val="54A11E85"/>
    <w:rsid w:val="55061CE8"/>
    <w:rsid w:val="55545149"/>
    <w:rsid w:val="55780E38"/>
    <w:rsid w:val="55825812"/>
    <w:rsid w:val="55B654BC"/>
    <w:rsid w:val="55DA38A0"/>
    <w:rsid w:val="55F304BE"/>
    <w:rsid w:val="56114DE8"/>
    <w:rsid w:val="566B62A7"/>
    <w:rsid w:val="567315FF"/>
    <w:rsid w:val="56B97893"/>
    <w:rsid w:val="56C02A96"/>
    <w:rsid w:val="56D54068"/>
    <w:rsid w:val="56E36785"/>
    <w:rsid w:val="56FB1D20"/>
    <w:rsid w:val="57016C0B"/>
    <w:rsid w:val="571406EC"/>
    <w:rsid w:val="57325016"/>
    <w:rsid w:val="57420092"/>
    <w:rsid w:val="581666E6"/>
    <w:rsid w:val="58247055"/>
    <w:rsid w:val="582901C7"/>
    <w:rsid w:val="583B7EFB"/>
    <w:rsid w:val="58533496"/>
    <w:rsid w:val="58550FBC"/>
    <w:rsid w:val="585F1E3B"/>
    <w:rsid w:val="58705DF6"/>
    <w:rsid w:val="588D58A4"/>
    <w:rsid w:val="58986088"/>
    <w:rsid w:val="58A957AC"/>
    <w:rsid w:val="58B71C77"/>
    <w:rsid w:val="58C13F2C"/>
    <w:rsid w:val="58D97E3F"/>
    <w:rsid w:val="58DA5965"/>
    <w:rsid w:val="58DE1302"/>
    <w:rsid w:val="591B0458"/>
    <w:rsid w:val="593432C8"/>
    <w:rsid w:val="59450443"/>
    <w:rsid w:val="595C281E"/>
    <w:rsid w:val="595E20F3"/>
    <w:rsid w:val="5967369D"/>
    <w:rsid w:val="598002BB"/>
    <w:rsid w:val="5987789B"/>
    <w:rsid w:val="59943D66"/>
    <w:rsid w:val="59A246D5"/>
    <w:rsid w:val="59B144D1"/>
    <w:rsid w:val="59D93E6F"/>
    <w:rsid w:val="59D949F9"/>
    <w:rsid w:val="59DA247B"/>
    <w:rsid w:val="59E52814"/>
    <w:rsid w:val="5A007C9D"/>
    <w:rsid w:val="5A1D3D5C"/>
    <w:rsid w:val="5A2570B4"/>
    <w:rsid w:val="5A284604"/>
    <w:rsid w:val="5A7D0C9E"/>
    <w:rsid w:val="5A9304C2"/>
    <w:rsid w:val="5ADF1011"/>
    <w:rsid w:val="5AE1122D"/>
    <w:rsid w:val="5B123195"/>
    <w:rsid w:val="5B127639"/>
    <w:rsid w:val="5B1909C7"/>
    <w:rsid w:val="5B7E082A"/>
    <w:rsid w:val="5BA109BC"/>
    <w:rsid w:val="5BA87F9D"/>
    <w:rsid w:val="5BB16E51"/>
    <w:rsid w:val="5BBE1C1E"/>
    <w:rsid w:val="5BCE3FA4"/>
    <w:rsid w:val="5BEC7E8A"/>
    <w:rsid w:val="5BF1296B"/>
    <w:rsid w:val="5C05719D"/>
    <w:rsid w:val="5C6A5252"/>
    <w:rsid w:val="5C7659A5"/>
    <w:rsid w:val="5C797243"/>
    <w:rsid w:val="5CB70498"/>
    <w:rsid w:val="5CC74453"/>
    <w:rsid w:val="5CF3609F"/>
    <w:rsid w:val="5CFC40FC"/>
    <w:rsid w:val="5D052C7B"/>
    <w:rsid w:val="5D0D455B"/>
    <w:rsid w:val="5D280CF1"/>
    <w:rsid w:val="5D4D2BAA"/>
    <w:rsid w:val="5D755C5D"/>
    <w:rsid w:val="5D8365CC"/>
    <w:rsid w:val="5D8D2FA6"/>
    <w:rsid w:val="5DC920A6"/>
    <w:rsid w:val="5E086AD1"/>
    <w:rsid w:val="5E317DD6"/>
    <w:rsid w:val="5E39532F"/>
    <w:rsid w:val="5E3D1A44"/>
    <w:rsid w:val="5E652175"/>
    <w:rsid w:val="5E6E2E7C"/>
    <w:rsid w:val="5E9071F2"/>
    <w:rsid w:val="5E960581"/>
    <w:rsid w:val="5ECF75EF"/>
    <w:rsid w:val="5ED82947"/>
    <w:rsid w:val="5EF62DCD"/>
    <w:rsid w:val="5F0C02F6"/>
    <w:rsid w:val="5F4955F3"/>
    <w:rsid w:val="5F661D01"/>
    <w:rsid w:val="5F685A79"/>
    <w:rsid w:val="5FB641C3"/>
    <w:rsid w:val="6071095D"/>
    <w:rsid w:val="60807A38"/>
    <w:rsid w:val="60940AF0"/>
    <w:rsid w:val="609A4358"/>
    <w:rsid w:val="60A246D9"/>
    <w:rsid w:val="60A52CFD"/>
    <w:rsid w:val="60C05441"/>
    <w:rsid w:val="61180C57"/>
    <w:rsid w:val="6162299C"/>
    <w:rsid w:val="61736957"/>
    <w:rsid w:val="61880654"/>
    <w:rsid w:val="618D7A19"/>
    <w:rsid w:val="618F19E3"/>
    <w:rsid w:val="619F14FA"/>
    <w:rsid w:val="620F6680"/>
    <w:rsid w:val="622D4D58"/>
    <w:rsid w:val="62514EEA"/>
    <w:rsid w:val="625D4A21"/>
    <w:rsid w:val="62621930"/>
    <w:rsid w:val="62960B4F"/>
    <w:rsid w:val="62F45876"/>
    <w:rsid w:val="636C18B0"/>
    <w:rsid w:val="63A948B2"/>
    <w:rsid w:val="63CF7CEB"/>
    <w:rsid w:val="63E61662"/>
    <w:rsid w:val="63F55D49"/>
    <w:rsid w:val="64065861"/>
    <w:rsid w:val="642B176B"/>
    <w:rsid w:val="64306D81"/>
    <w:rsid w:val="64422D1C"/>
    <w:rsid w:val="64654C7D"/>
    <w:rsid w:val="6470717E"/>
    <w:rsid w:val="64721148"/>
    <w:rsid w:val="648D7D30"/>
    <w:rsid w:val="64A15589"/>
    <w:rsid w:val="64A37553"/>
    <w:rsid w:val="64BE25DF"/>
    <w:rsid w:val="64C574CA"/>
    <w:rsid w:val="64C86FBA"/>
    <w:rsid w:val="64CA2D32"/>
    <w:rsid w:val="64E02555"/>
    <w:rsid w:val="64E9765C"/>
    <w:rsid w:val="650D1DF0"/>
    <w:rsid w:val="65476131"/>
    <w:rsid w:val="655D5954"/>
    <w:rsid w:val="657F3B1C"/>
    <w:rsid w:val="658A426F"/>
    <w:rsid w:val="65E23AA0"/>
    <w:rsid w:val="65FC33BF"/>
    <w:rsid w:val="66024CEF"/>
    <w:rsid w:val="66065FEC"/>
    <w:rsid w:val="66154481"/>
    <w:rsid w:val="662621EA"/>
    <w:rsid w:val="66377E5A"/>
    <w:rsid w:val="66613222"/>
    <w:rsid w:val="66703465"/>
    <w:rsid w:val="66860EDB"/>
    <w:rsid w:val="66AA4BC9"/>
    <w:rsid w:val="66E520A5"/>
    <w:rsid w:val="66E55C01"/>
    <w:rsid w:val="670B2508"/>
    <w:rsid w:val="673152EA"/>
    <w:rsid w:val="673D5A3D"/>
    <w:rsid w:val="674A63AC"/>
    <w:rsid w:val="67E1286C"/>
    <w:rsid w:val="67E759A9"/>
    <w:rsid w:val="67F44D9B"/>
    <w:rsid w:val="68150768"/>
    <w:rsid w:val="68164673"/>
    <w:rsid w:val="681A18DB"/>
    <w:rsid w:val="68945B31"/>
    <w:rsid w:val="68A45648"/>
    <w:rsid w:val="68D221B5"/>
    <w:rsid w:val="690028D2"/>
    <w:rsid w:val="69085BD7"/>
    <w:rsid w:val="69117181"/>
    <w:rsid w:val="695A0B28"/>
    <w:rsid w:val="695F34EC"/>
    <w:rsid w:val="69BF6BDD"/>
    <w:rsid w:val="69D32689"/>
    <w:rsid w:val="6A0F7559"/>
    <w:rsid w:val="6A3550F2"/>
    <w:rsid w:val="6A4470E3"/>
    <w:rsid w:val="6A4E1D0F"/>
    <w:rsid w:val="6A537326"/>
    <w:rsid w:val="6A554E4C"/>
    <w:rsid w:val="6A6E5F0E"/>
    <w:rsid w:val="6A7C062B"/>
    <w:rsid w:val="6A833F82"/>
    <w:rsid w:val="6A9A63FA"/>
    <w:rsid w:val="6ABE50E7"/>
    <w:rsid w:val="6AE461D0"/>
    <w:rsid w:val="6AE75B67"/>
    <w:rsid w:val="6AF24D91"/>
    <w:rsid w:val="6AF705F9"/>
    <w:rsid w:val="6B030D4C"/>
    <w:rsid w:val="6B056872"/>
    <w:rsid w:val="6B144D07"/>
    <w:rsid w:val="6B2018FE"/>
    <w:rsid w:val="6B2313EE"/>
    <w:rsid w:val="6B275BCB"/>
    <w:rsid w:val="6B560E7C"/>
    <w:rsid w:val="6BB67058"/>
    <w:rsid w:val="6BD050D2"/>
    <w:rsid w:val="6BD3071E"/>
    <w:rsid w:val="6BE24E05"/>
    <w:rsid w:val="6BE26BB3"/>
    <w:rsid w:val="6BFA3041"/>
    <w:rsid w:val="6C0677CC"/>
    <w:rsid w:val="6C07486C"/>
    <w:rsid w:val="6C0C59DE"/>
    <w:rsid w:val="6C1256EA"/>
    <w:rsid w:val="6C264CF2"/>
    <w:rsid w:val="6C3F5DB4"/>
    <w:rsid w:val="6C6677E4"/>
    <w:rsid w:val="6C700663"/>
    <w:rsid w:val="6CC02282"/>
    <w:rsid w:val="6CE30E35"/>
    <w:rsid w:val="6CEE510C"/>
    <w:rsid w:val="6D1234C8"/>
    <w:rsid w:val="6D2356D5"/>
    <w:rsid w:val="6D417909"/>
    <w:rsid w:val="6D526FBD"/>
    <w:rsid w:val="6D527D69"/>
    <w:rsid w:val="6D6830E8"/>
    <w:rsid w:val="6D9B170F"/>
    <w:rsid w:val="6DA02882"/>
    <w:rsid w:val="6DB63E53"/>
    <w:rsid w:val="6DC26C9C"/>
    <w:rsid w:val="6DC5053A"/>
    <w:rsid w:val="6DC9002B"/>
    <w:rsid w:val="6DEF3809"/>
    <w:rsid w:val="6DF64B98"/>
    <w:rsid w:val="6E166FE8"/>
    <w:rsid w:val="6E292877"/>
    <w:rsid w:val="6E7D2BC3"/>
    <w:rsid w:val="6E8403F6"/>
    <w:rsid w:val="6E895A0C"/>
    <w:rsid w:val="6E9E14B7"/>
    <w:rsid w:val="6EB20ABF"/>
    <w:rsid w:val="6EBF31DC"/>
    <w:rsid w:val="6EFE1F56"/>
    <w:rsid w:val="6F071B62"/>
    <w:rsid w:val="6F152DFC"/>
    <w:rsid w:val="6F1C23DC"/>
    <w:rsid w:val="6F235519"/>
    <w:rsid w:val="6F4A519B"/>
    <w:rsid w:val="6F6D70DC"/>
    <w:rsid w:val="70622071"/>
    <w:rsid w:val="707B75D6"/>
    <w:rsid w:val="70967F6C"/>
    <w:rsid w:val="70B2124A"/>
    <w:rsid w:val="70E46F2A"/>
    <w:rsid w:val="70EE5FFA"/>
    <w:rsid w:val="70F353BF"/>
    <w:rsid w:val="711A294B"/>
    <w:rsid w:val="712A2CC6"/>
    <w:rsid w:val="712C3D7F"/>
    <w:rsid w:val="71535E5D"/>
    <w:rsid w:val="7157594D"/>
    <w:rsid w:val="71B7463E"/>
    <w:rsid w:val="71ED1ADC"/>
    <w:rsid w:val="71ED1C78"/>
    <w:rsid w:val="72192C03"/>
    <w:rsid w:val="721E450C"/>
    <w:rsid w:val="727442DD"/>
    <w:rsid w:val="72A252EE"/>
    <w:rsid w:val="72B666A4"/>
    <w:rsid w:val="72D54D7C"/>
    <w:rsid w:val="72D77675"/>
    <w:rsid w:val="72D80D10"/>
    <w:rsid w:val="72FD42D3"/>
    <w:rsid w:val="730E308A"/>
    <w:rsid w:val="7327134F"/>
    <w:rsid w:val="732B0E40"/>
    <w:rsid w:val="732D52E6"/>
    <w:rsid w:val="734343DB"/>
    <w:rsid w:val="734E2D80"/>
    <w:rsid w:val="736B7711"/>
    <w:rsid w:val="73944C37"/>
    <w:rsid w:val="73DB0AB8"/>
    <w:rsid w:val="73E84F83"/>
    <w:rsid w:val="74122000"/>
    <w:rsid w:val="742A7349"/>
    <w:rsid w:val="744114FF"/>
    <w:rsid w:val="748A7DE8"/>
    <w:rsid w:val="749D3FBF"/>
    <w:rsid w:val="749E5641"/>
    <w:rsid w:val="74C4658C"/>
    <w:rsid w:val="74E67714"/>
    <w:rsid w:val="75086FD3"/>
    <w:rsid w:val="750C4CA1"/>
    <w:rsid w:val="7535244A"/>
    <w:rsid w:val="75671ED7"/>
    <w:rsid w:val="75B90985"/>
    <w:rsid w:val="75C630A2"/>
    <w:rsid w:val="75C80BC8"/>
    <w:rsid w:val="75C8506C"/>
    <w:rsid w:val="75CD61DE"/>
    <w:rsid w:val="75D02172"/>
    <w:rsid w:val="76172A46"/>
    <w:rsid w:val="76285B0A"/>
    <w:rsid w:val="7634625D"/>
    <w:rsid w:val="764A3CD3"/>
    <w:rsid w:val="76544B51"/>
    <w:rsid w:val="765E32DA"/>
    <w:rsid w:val="7662101C"/>
    <w:rsid w:val="76685F07"/>
    <w:rsid w:val="768C42EB"/>
    <w:rsid w:val="769B62DC"/>
    <w:rsid w:val="76C515AB"/>
    <w:rsid w:val="76D161A2"/>
    <w:rsid w:val="76EB7264"/>
    <w:rsid w:val="76EE465E"/>
    <w:rsid w:val="771432D8"/>
    <w:rsid w:val="772938E8"/>
    <w:rsid w:val="772C579E"/>
    <w:rsid w:val="77334767"/>
    <w:rsid w:val="77472401"/>
    <w:rsid w:val="777A2396"/>
    <w:rsid w:val="7791050F"/>
    <w:rsid w:val="77976AA4"/>
    <w:rsid w:val="77A86F03"/>
    <w:rsid w:val="77B05DB7"/>
    <w:rsid w:val="77B51620"/>
    <w:rsid w:val="77E15F71"/>
    <w:rsid w:val="77F04406"/>
    <w:rsid w:val="77FA5285"/>
    <w:rsid w:val="78250553"/>
    <w:rsid w:val="783A53EF"/>
    <w:rsid w:val="783E33C3"/>
    <w:rsid w:val="78414C61"/>
    <w:rsid w:val="78852DA0"/>
    <w:rsid w:val="788B412F"/>
    <w:rsid w:val="78A27DF6"/>
    <w:rsid w:val="78A74CC3"/>
    <w:rsid w:val="78C55892"/>
    <w:rsid w:val="78CE0BEB"/>
    <w:rsid w:val="78E0447A"/>
    <w:rsid w:val="79050385"/>
    <w:rsid w:val="79102FB2"/>
    <w:rsid w:val="792273F9"/>
    <w:rsid w:val="79344461"/>
    <w:rsid w:val="793D18CD"/>
    <w:rsid w:val="79740C89"/>
    <w:rsid w:val="79782905"/>
    <w:rsid w:val="798474FC"/>
    <w:rsid w:val="79BC4EE7"/>
    <w:rsid w:val="79F71A7C"/>
    <w:rsid w:val="7A0B2C16"/>
    <w:rsid w:val="7A3C3932"/>
    <w:rsid w:val="7A5213A8"/>
    <w:rsid w:val="7A777060"/>
    <w:rsid w:val="7AB60FB7"/>
    <w:rsid w:val="7ABC3834"/>
    <w:rsid w:val="7AC676A0"/>
    <w:rsid w:val="7ADA28BF"/>
    <w:rsid w:val="7AE475C4"/>
    <w:rsid w:val="7B0501C8"/>
    <w:rsid w:val="7B641393"/>
    <w:rsid w:val="7B812728"/>
    <w:rsid w:val="7BB816DF"/>
    <w:rsid w:val="7BEC4BA1"/>
    <w:rsid w:val="7C2D4B10"/>
    <w:rsid w:val="7C4D62CB"/>
    <w:rsid w:val="7C56738F"/>
    <w:rsid w:val="7C9E6B26"/>
    <w:rsid w:val="7CA37C99"/>
    <w:rsid w:val="7CBC0D5A"/>
    <w:rsid w:val="7CFE5817"/>
    <w:rsid w:val="7D450D50"/>
    <w:rsid w:val="7D5B0573"/>
    <w:rsid w:val="7D684929"/>
    <w:rsid w:val="7D731D61"/>
    <w:rsid w:val="7DAE2D99"/>
    <w:rsid w:val="7DBB1012"/>
    <w:rsid w:val="7DC10D1E"/>
    <w:rsid w:val="7DCC321F"/>
    <w:rsid w:val="7DE92023"/>
    <w:rsid w:val="7DF05160"/>
    <w:rsid w:val="7DF509C8"/>
    <w:rsid w:val="7E215319"/>
    <w:rsid w:val="7E2B43EA"/>
    <w:rsid w:val="7E4436FD"/>
    <w:rsid w:val="7E633B84"/>
    <w:rsid w:val="7E690C76"/>
    <w:rsid w:val="7EDC56E4"/>
    <w:rsid w:val="7EDE320A"/>
    <w:rsid w:val="7F141322"/>
    <w:rsid w:val="7F2C666B"/>
    <w:rsid w:val="7F6D458E"/>
    <w:rsid w:val="7F7447B8"/>
    <w:rsid w:val="7F8A3392"/>
    <w:rsid w:val="7F9229B1"/>
    <w:rsid w:val="7F9D1317"/>
    <w:rsid w:val="7F9D30C5"/>
    <w:rsid w:val="7FAC50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next w:val="1"/>
    <w:unhideWhenUsed/>
    <w:qFormat/>
    <w:uiPriority w:val="0"/>
    <w:pPr>
      <w:widowControl w:val="0"/>
      <w:spacing w:beforeAutospacing="0" w:afterAutospacing="0" w:line="560" w:lineRule="exact"/>
      <w:ind w:firstLine="880" w:firstLineChars="200"/>
      <w:jc w:val="left"/>
      <w:outlineLvl w:val="2"/>
    </w:pPr>
    <w:rPr>
      <w:rFonts w:hint="eastAsia" w:ascii="宋体" w:hAnsi="宋体" w:eastAsia="楷体_GB2312" w:cs="宋体"/>
      <w:b/>
      <w:bCs/>
      <w:kern w:val="0"/>
      <w:sz w:val="32"/>
      <w:szCs w:val="27"/>
      <w:lang w:val="en-US" w:eastAsia="zh-CN" w:bidi="ar"/>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ind w:firstLine="420" w:firstLineChars="200"/>
    </w:pPr>
    <w:rPr>
      <w:rFonts w:ascii="Calibri" w:hAnsi="Calibri" w:eastAsia="宋体" w:cs="Times New Roman"/>
    </w:rPr>
  </w:style>
  <w:style w:type="paragraph" w:styleId="4">
    <w:name w:val="Body Text"/>
    <w:basedOn w:val="1"/>
    <w:qFormat/>
    <w:uiPriority w:val="0"/>
    <w:pPr>
      <w:spacing w:line="600" w:lineRule="exact"/>
    </w:pPr>
    <w:rPr>
      <w:rFonts w:ascii="仿宋_GB2312" w:eastAsia="仿宋_GB2312"/>
      <w:sz w:val="30"/>
    </w:rPr>
  </w:style>
  <w:style w:type="paragraph" w:styleId="5">
    <w:name w:val="Body Text Indent"/>
    <w:basedOn w:val="1"/>
    <w:next w:val="1"/>
    <w:qFormat/>
    <w:uiPriority w:val="0"/>
    <w:pPr>
      <w:ind w:firstLine="425"/>
    </w:pPr>
    <w:rPr>
      <w:sz w:val="28"/>
    </w:rPr>
  </w:style>
  <w:style w:type="paragraph" w:styleId="6">
    <w:name w:val="Body Text Indent 2"/>
    <w:basedOn w:val="1"/>
    <w:qFormat/>
    <w:uiPriority w:val="0"/>
    <w:pPr>
      <w:ind w:firstLine="482" w:firstLineChars="200"/>
    </w:pPr>
    <w:rPr>
      <w:b/>
      <w:bCs/>
      <w:color w:val="005700"/>
      <w:sz w:val="24"/>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w:basedOn w:val="4"/>
    <w:qFormat/>
    <w:uiPriority w:val="0"/>
    <w:pPr>
      <w:ind w:firstLine="420"/>
    </w:pPr>
    <w:rPr>
      <w:rFonts w:ascii="Times New Roman" w:hAnsi="Times New Roman" w:eastAsia="宋体" w:cs="Times New Roman"/>
      <w:bCs/>
    </w:rPr>
  </w:style>
  <w:style w:type="paragraph" w:styleId="11">
    <w:name w:val="Body Text First Indent 2"/>
    <w:basedOn w:val="5"/>
    <w:next w:val="1"/>
    <w:qFormat/>
    <w:uiPriority w:val="0"/>
    <w:pPr>
      <w:ind w:firstLine="420" w:firstLineChars="200"/>
    </w:pPr>
    <w:rPr>
      <w:szCs w:val="22"/>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customStyle="1" w:styleId="16">
    <w:name w:val="font71"/>
    <w:basedOn w:val="14"/>
    <w:qFormat/>
    <w:uiPriority w:val="0"/>
    <w:rPr>
      <w:rFonts w:ascii="微软雅黑" w:hAnsi="微软雅黑" w:eastAsia="微软雅黑" w:cs="微软雅黑"/>
      <w:color w:val="000000"/>
      <w:sz w:val="22"/>
      <w:szCs w:val="22"/>
      <w:u w:val="none"/>
    </w:rPr>
  </w:style>
  <w:style w:type="character" w:customStyle="1" w:styleId="17">
    <w:name w:val="font91"/>
    <w:basedOn w:val="14"/>
    <w:qFormat/>
    <w:uiPriority w:val="0"/>
    <w:rPr>
      <w:rFonts w:ascii="微软雅黑" w:hAnsi="微软雅黑" w:eastAsia="微软雅黑" w:cs="微软雅黑"/>
      <w:color w:val="000000"/>
      <w:sz w:val="27"/>
      <w:szCs w:val="27"/>
      <w:u w:val="none"/>
    </w:rPr>
  </w:style>
  <w:style w:type="character" w:customStyle="1" w:styleId="18">
    <w:name w:val="font101"/>
    <w:basedOn w:val="14"/>
    <w:qFormat/>
    <w:uiPriority w:val="0"/>
    <w:rPr>
      <w:rFonts w:hint="eastAsia" w:ascii="楷体" w:hAnsi="楷体" w:eastAsia="楷体" w:cs="楷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2554</Words>
  <Characters>2734</Characters>
  <Lines>0</Lines>
  <Paragraphs>0</Paragraphs>
  <TotalTime>558</TotalTime>
  <ScaleCrop>false</ScaleCrop>
  <LinksUpToDate>false</LinksUpToDate>
  <CharactersWithSpaces>2736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2025-06-12T07:43:00Z</dcterms:created>
  <dc:creator>宝贝</dc:creator>
  <cp:lastModifiedBy>宝贝</cp:lastModifiedBy>
  <cp:lastPrinted>2025-07-24T00:56:00Z</cp:lastPrinted>
  <dcterms:modified xsi:type="dcterms:W3CDTF">2025-07-30T02:13:44Z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38CD19D00A3A4F2D857E65C2CC565130_13</vt:lpwstr>
  </property>
  <property fmtid="{D5CDD505-2E9C-101B-9397-08002B2CF9AE}" pid="4" name="KSOTemplateDocerSaveRecord">
    <vt:lpwstr>eyJoZGlkIjoiMWYyOTZjMDM4OTExOTU5NDhhZTcxNGMxY2Q4NGY2MGIiLCJ1c2VySWQiOiI2NTIwMDcxMjcifQ==</vt:lpwstr>
  </property>
</Properties>
</file>