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466BED">
      <w:pPr>
        <w:spacing w:after="180" w:line="680" w:lineRule="exact"/>
        <w:ind w:left="0" w:leftChars="0" w:firstLine="0" w:firstLineChars="0"/>
        <w:jc w:val="center"/>
        <w:rPr>
          <w:color w:val="000000"/>
          <w:sz w:val="42"/>
        </w:rPr>
      </w:pPr>
    </w:p>
    <w:p w14:paraId="1DCE03F6">
      <w:pPr>
        <w:spacing w:after="180" w:line="680" w:lineRule="exact"/>
        <w:ind w:left="0" w:leftChars="0" w:firstLine="0" w:firstLineChars="0"/>
        <w:jc w:val="center"/>
        <w:rPr>
          <w:color w:val="000000"/>
          <w:sz w:val="42"/>
        </w:rPr>
      </w:pPr>
    </w:p>
    <w:p w14:paraId="5308569F">
      <w:pPr>
        <w:spacing w:after="180" w:line="680" w:lineRule="exact"/>
        <w:ind w:left="0" w:leftChars="0" w:firstLine="0" w:firstLineChars="0"/>
        <w:jc w:val="center"/>
        <w:rPr>
          <w:color w:val="000000"/>
          <w:sz w:val="42"/>
        </w:rPr>
      </w:pPr>
    </w:p>
    <w:p w14:paraId="56BA1CD1">
      <w:pPr>
        <w:spacing w:after="180" w:line="680" w:lineRule="exact"/>
        <w:ind w:left="0" w:leftChars="0" w:firstLine="0" w:firstLineChars="0"/>
        <w:jc w:val="center"/>
        <w:rPr>
          <w:color w:val="000000"/>
          <w:sz w:val="42"/>
        </w:rPr>
      </w:pPr>
    </w:p>
    <w:p w14:paraId="1AB10618">
      <w:pPr>
        <w:bidi w:val="0"/>
        <w:spacing w:line="240" w:lineRule="auto"/>
        <w:ind w:left="0" w:leftChars="0" w:firstLine="0" w:firstLineChars="0"/>
        <w:jc w:val="center"/>
        <w:rPr>
          <w:rFonts w:hint="eastAsia"/>
          <w:b/>
          <w:bCs/>
          <w:sz w:val="40"/>
          <w:szCs w:val="40"/>
          <w:lang w:val="en-US" w:eastAsia="zh-CN"/>
        </w:rPr>
      </w:pPr>
      <w:bookmarkStart w:id="0" w:name="_Toc29105"/>
      <w:r>
        <w:rPr>
          <w:rFonts w:hint="eastAsia"/>
          <w:b/>
          <w:bCs/>
          <w:sz w:val="40"/>
          <w:szCs w:val="40"/>
          <w:lang w:val="en-US" w:eastAsia="zh-CN"/>
        </w:rPr>
        <w:t>三门峡市陕州区青龙涧河涧里村至杨家河村段</w:t>
      </w:r>
    </w:p>
    <w:p w14:paraId="3A0FD665">
      <w:pPr>
        <w:bidi w:val="0"/>
        <w:spacing w:line="240" w:lineRule="auto"/>
        <w:ind w:left="0" w:leftChars="0" w:firstLine="0" w:firstLineChars="0"/>
        <w:jc w:val="center"/>
        <w:rPr>
          <w:b/>
          <w:bCs/>
          <w:sz w:val="40"/>
          <w:szCs w:val="40"/>
        </w:rPr>
      </w:pPr>
      <w:r>
        <w:rPr>
          <w:rFonts w:hint="eastAsia"/>
          <w:b/>
          <w:bCs/>
          <w:sz w:val="40"/>
          <w:szCs w:val="40"/>
          <w:lang w:val="en-US" w:eastAsia="zh-CN"/>
        </w:rPr>
        <w:t>河道治理工程项目</w:t>
      </w:r>
      <w:r>
        <w:rPr>
          <w:b/>
          <w:bCs/>
          <w:sz w:val="40"/>
          <w:szCs w:val="40"/>
        </w:rPr>
        <w:t>绩效评价报告</w:t>
      </w:r>
    </w:p>
    <w:p w14:paraId="4C76B991">
      <w:pPr>
        <w:bidi w:val="0"/>
        <w:spacing w:line="240" w:lineRule="auto"/>
        <w:ind w:left="0" w:leftChars="0" w:firstLine="0" w:firstLineChars="0"/>
        <w:jc w:val="center"/>
        <w:rPr>
          <w:b/>
          <w:bCs/>
          <w:sz w:val="40"/>
          <w:szCs w:val="40"/>
        </w:rPr>
      </w:pPr>
    </w:p>
    <w:p w14:paraId="5EE79DED">
      <w:pPr>
        <w:ind w:left="0" w:leftChars="0" w:firstLine="0" w:firstLineChars="0"/>
        <w:jc w:val="center"/>
        <w:rPr>
          <w:sz w:val="36"/>
          <w:szCs w:val="40"/>
        </w:rPr>
      </w:pPr>
    </w:p>
    <w:p w14:paraId="67937498">
      <w:pPr>
        <w:ind w:left="0" w:leftChars="0" w:firstLine="0" w:firstLineChars="0"/>
        <w:jc w:val="center"/>
      </w:pPr>
    </w:p>
    <w:p w14:paraId="03F32F0A">
      <w:pPr>
        <w:ind w:left="0" w:leftChars="0" w:firstLine="0" w:firstLineChars="0"/>
        <w:jc w:val="center"/>
      </w:pPr>
    </w:p>
    <w:p w14:paraId="59A13023">
      <w:pPr>
        <w:ind w:left="0" w:leftChars="0" w:firstLine="0" w:firstLineChars="0"/>
        <w:jc w:val="both"/>
      </w:pPr>
    </w:p>
    <w:p w14:paraId="692A8380">
      <w:pPr>
        <w:ind w:left="0" w:leftChars="0" w:firstLine="0" w:firstLineChars="0"/>
        <w:jc w:val="both"/>
      </w:pPr>
    </w:p>
    <w:p w14:paraId="7DDCA30A">
      <w:pPr>
        <w:ind w:left="0" w:leftChars="0" w:firstLine="0" w:firstLineChars="0"/>
        <w:jc w:val="both"/>
      </w:pPr>
    </w:p>
    <w:p w14:paraId="2590CD49">
      <w:pPr>
        <w:ind w:left="0" w:leftChars="0" w:firstLine="0" w:firstLineChars="0"/>
        <w:jc w:val="both"/>
      </w:pPr>
    </w:p>
    <w:p w14:paraId="67B27A52">
      <w:pPr>
        <w:bidi w:val="0"/>
        <w:ind w:left="0" w:leftChars="0" w:firstLine="0" w:firstLineChars="0"/>
        <w:rPr>
          <w:b/>
          <w:bCs/>
          <w:sz w:val="28"/>
          <w:szCs w:val="28"/>
          <w:highlight w:val="none"/>
        </w:rPr>
      </w:pPr>
    </w:p>
    <w:p w14:paraId="5173978F">
      <w:pPr>
        <w:bidi w:val="0"/>
        <w:ind w:firstLine="1687" w:firstLineChars="600"/>
        <w:jc w:val="both"/>
        <w:rPr>
          <w:rFonts w:hint="default"/>
          <w:b/>
          <w:bCs/>
          <w:sz w:val="28"/>
          <w:szCs w:val="28"/>
          <w:highlight w:val="none"/>
          <w:lang w:val="en-US" w:eastAsia="zh-CN"/>
        </w:rPr>
      </w:pPr>
      <w:r>
        <w:rPr>
          <w:rFonts w:hint="eastAsia"/>
          <w:b/>
          <w:bCs/>
          <w:sz w:val="28"/>
          <w:szCs w:val="28"/>
          <w:highlight w:val="none"/>
          <w:lang w:val="en-US" w:eastAsia="zh-CN"/>
        </w:rPr>
        <w:t>实施单位</w:t>
      </w:r>
      <w:r>
        <w:rPr>
          <w:b/>
          <w:bCs/>
          <w:sz w:val="28"/>
          <w:szCs w:val="28"/>
          <w:highlight w:val="none"/>
        </w:rPr>
        <w:t>：三门峡</w:t>
      </w:r>
      <w:r>
        <w:rPr>
          <w:rFonts w:hint="eastAsia"/>
          <w:b/>
          <w:bCs/>
          <w:sz w:val="28"/>
          <w:szCs w:val="28"/>
          <w:highlight w:val="none"/>
          <w:lang w:val="en-US" w:eastAsia="zh-CN"/>
        </w:rPr>
        <w:t>市陕州区水利局</w:t>
      </w:r>
    </w:p>
    <w:p w14:paraId="6C57791B">
      <w:pPr>
        <w:bidi w:val="0"/>
        <w:ind w:firstLine="1687" w:firstLineChars="600"/>
        <w:jc w:val="both"/>
        <w:rPr>
          <w:rFonts w:hint="default" w:eastAsia="宋体"/>
          <w:b/>
          <w:bCs/>
          <w:sz w:val="28"/>
          <w:szCs w:val="28"/>
          <w:highlight w:val="none"/>
          <w:lang w:val="en-US" w:eastAsia="zh-CN"/>
        </w:rPr>
      </w:pPr>
      <w:r>
        <w:rPr>
          <w:b/>
          <w:bCs/>
          <w:sz w:val="28"/>
          <w:szCs w:val="28"/>
          <w:highlight w:val="none"/>
        </w:rPr>
        <w:t>委托单位：三门峡</w:t>
      </w:r>
      <w:r>
        <w:rPr>
          <w:rFonts w:hint="eastAsia"/>
          <w:b/>
          <w:bCs/>
          <w:sz w:val="28"/>
          <w:szCs w:val="28"/>
          <w:highlight w:val="none"/>
          <w:lang w:val="en-US" w:eastAsia="zh-CN"/>
        </w:rPr>
        <w:t>市陕州区财政局</w:t>
      </w:r>
    </w:p>
    <w:p w14:paraId="5311754E">
      <w:pPr>
        <w:bidi w:val="0"/>
        <w:jc w:val="center"/>
        <w:rPr>
          <w:rFonts w:hint="eastAsia"/>
          <w:b/>
          <w:bCs/>
          <w:sz w:val="28"/>
          <w:szCs w:val="28"/>
          <w:highlight w:val="none"/>
          <w:lang w:val="en-US" w:eastAsia="zh-CN"/>
        </w:rPr>
      </w:pPr>
      <w:r>
        <w:rPr>
          <w:rFonts w:hint="eastAsia" w:eastAsia="宋体"/>
          <w:b/>
          <w:bCs/>
          <w:sz w:val="28"/>
          <w:szCs w:val="28"/>
          <w:highlight w:val="none"/>
          <w:lang w:val="en-US" w:eastAsia="zh-CN"/>
        </w:rPr>
        <w:t xml:space="preserve"> </w:t>
      </w:r>
      <w:r>
        <w:rPr>
          <w:b/>
          <w:bCs/>
          <w:sz w:val="28"/>
          <w:szCs w:val="28"/>
          <w:highlight w:val="none"/>
        </w:rPr>
        <w:t>评价机构：</w:t>
      </w:r>
      <w:r>
        <w:rPr>
          <w:rFonts w:hint="eastAsia"/>
          <w:b/>
          <w:bCs/>
          <w:sz w:val="28"/>
          <w:szCs w:val="28"/>
          <w:highlight w:val="none"/>
          <w:lang w:val="en-US" w:eastAsia="zh-CN"/>
        </w:rPr>
        <w:t>三门峡中和会计师事务所(普通合伙)</w:t>
      </w:r>
    </w:p>
    <w:p w14:paraId="3DDE5231">
      <w:pPr>
        <w:bidi w:val="0"/>
        <w:ind w:firstLine="1687" w:firstLineChars="600"/>
        <w:jc w:val="both"/>
        <w:rPr>
          <w:rFonts w:hint="default"/>
          <w:b/>
          <w:bCs/>
          <w:sz w:val="28"/>
          <w:szCs w:val="28"/>
          <w:highlight w:val="none"/>
          <w:lang w:val="en-US" w:eastAsia="zh-CN"/>
        </w:rPr>
      </w:pPr>
      <w:r>
        <w:rPr>
          <w:rFonts w:hint="eastAsia"/>
          <w:b/>
          <w:bCs/>
          <w:sz w:val="28"/>
          <w:szCs w:val="28"/>
          <w:highlight w:val="none"/>
          <w:lang w:val="en-US" w:eastAsia="zh-CN"/>
        </w:rPr>
        <w:t>评价日期：2025年02月13日</w:t>
      </w:r>
    </w:p>
    <w:p w14:paraId="01387A9D">
      <w:pPr>
        <w:bidi w:val="0"/>
        <w:ind w:firstLine="1687" w:firstLineChars="600"/>
        <w:jc w:val="both"/>
        <w:rPr>
          <w:rFonts w:hint="default"/>
          <w:b/>
          <w:bCs/>
          <w:sz w:val="28"/>
          <w:szCs w:val="28"/>
          <w:highlight w:val="none"/>
          <w:lang w:val="en-US" w:eastAsia="zh-CN"/>
        </w:rPr>
      </w:pPr>
    </w:p>
    <w:p w14:paraId="7A11AD81">
      <w:pPr>
        <w:bidi w:val="0"/>
        <w:jc w:val="left"/>
        <w:rPr>
          <w:rFonts w:hint="default"/>
          <w:b/>
          <w:bCs/>
          <w:sz w:val="28"/>
          <w:szCs w:val="28"/>
          <w:highlight w:val="none"/>
          <w:lang w:val="en-US" w:eastAsia="zh-CN"/>
        </w:rPr>
      </w:pPr>
    </w:p>
    <w:p w14:paraId="4D7C95E2">
      <w:pPr>
        <w:rPr>
          <w:rFonts w:hint="eastAsia"/>
          <w:b/>
          <w:bCs/>
          <w:sz w:val="32"/>
          <w:szCs w:val="36"/>
          <w:lang w:val="en-US" w:eastAsia="zh-CN"/>
        </w:rPr>
      </w:pPr>
      <w:r>
        <w:rPr>
          <w:rFonts w:hint="eastAsia"/>
          <w:b/>
          <w:bCs/>
          <w:sz w:val="32"/>
          <w:szCs w:val="36"/>
          <w:lang w:val="en-US" w:eastAsia="zh-CN"/>
        </w:rPr>
        <w:br w:type="page"/>
      </w:r>
    </w:p>
    <w:p w14:paraId="7EF59066">
      <w:pPr>
        <w:bidi w:val="0"/>
        <w:ind w:left="0" w:leftChars="0" w:firstLine="0" w:firstLineChars="0"/>
        <w:jc w:val="center"/>
        <w:rPr>
          <w:rFonts w:hint="eastAsia"/>
          <w:b/>
          <w:bCs/>
          <w:sz w:val="32"/>
          <w:szCs w:val="36"/>
          <w:lang w:val="en-US" w:eastAsia="zh-CN"/>
        </w:rPr>
      </w:pPr>
      <w:r>
        <w:rPr>
          <w:rFonts w:hint="eastAsia"/>
          <w:b/>
          <w:bCs/>
          <w:sz w:val="32"/>
          <w:szCs w:val="36"/>
          <w:lang w:val="en-US" w:eastAsia="zh-CN"/>
        </w:rPr>
        <w:t>摘  要</w:t>
      </w:r>
    </w:p>
    <w:p w14:paraId="5758DD9E">
      <w:pPr>
        <w:bidi w:val="0"/>
        <w:rPr>
          <w:rFonts w:hint="eastAsia"/>
          <w:lang w:val="en-US" w:eastAsia="zh-CN"/>
        </w:rPr>
      </w:pPr>
      <w:r>
        <w:rPr>
          <w:rFonts w:hint="eastAsia"/>
          <w:lang w:val="en-US" w:eastAsia="zh-CN"/>
        </w:rPr>
        <w:t>为全面贯彻实施《中共中央 国务院关于全面实施预算绩效管理的意见》、《中共河南省委 河南省人民政府关于全面实施预算绩效管理的实施意见》及《</w:t>
      </w:r>
      <w:r>
        <w:t>中共三门峡市委</w:t>
      </w:r>
      <w:r>
        <w:rPr>
          <w:rFonts w:hint="eastAsia"/>
          <w:lang w:val="en-US" w:eastAsia="zh-CN"/>
        </w:rPr>
        <w:t xml:space="preserve"> </w:t>
      </w:r>
      <w:r>
        <w:t>三门峡市人民政府关于全面实施预算绩效管理的实施意见》</w:t>
      </w:r>
      <w:r>
        <w:rPr>
          <w:rFonts w:hint="eastAsia"/>
          <w:highlight w:val="none"/>
          <w:lang w:val="en-US" w:eastAsia="zh-CN"/>
        </w:rPr>
        <w:t>等精</w:t>
      </w:r>
      <w:r>
        <w:rPr>
          <w:rFonts w:hint="eastAsia"/>
          <w:lang w:val="en-US" w:eastAsia="zh-CN"/>
        </w:rPr>
        <w:t>神，准确地反映预算资金的投入产出效果，衡量核心业务实施效果，规范资金管理行为，提高财政资金使用效益，强化项目支出责任，受三门峡市陕州区财政局委托，三门峡中和会计师事务所(普通合伙)对三门峡市陕州区青龙涧河涧里村至杨家河村段河道治理工程项目进行绩效评价。</w:t>
      </w:r>
    </w:p>
    <w:p w14:paraId="0744BB41">
      <w:pPr>
        <w:bidi w:val="0"/>
        <w:rPr>
          <w:rFonts w:hint="eastAsia"/>
          <w:lang w:val="en-US" w:eastAsia="zh-CN"/>
        </w:rPr>
      </w:pPr>
      <w:r>
        <w:rPr>
          <w:rFonts w:hint="eastAsia"/>
          <w:lang w:val="en-US" w:eastAsia="zh-CN"/>
        </w:rPr>
        <w:t>评价过程中所取得的相关资料由三门峡市陕州区水利局提供，评价资料的真实性、完整性由提供单位负责。根据委托方的要求，评价组通过制定绩效评价方案、资料数据的核查、现场调查与访谈、指标分析与评价、汇总打分评价得分、撰写评价报告等程序，完成本次绩效评价工作。</w:t>
      </w:r>
    </w:p>
    <w:p w14:paraId="70495B3B">
      <w:pPr>
        <w:bidi w:val="0"/>
        <w:rPr>
          <w:b/>
          <w:bCs/>
        </w:rPr>
      </w:pPr>
      <w:r>
        <w:rPr>
          <w:rFonts w:hint="eastAsia"/>
          <w:b/>
          <w:bCs/>
          <w:lang w:val="en-US" w:eastAsia="zh-CN"/>
        </w:rPr>
        <w:t>1.评价基准日：</w:t>
      </w:r>
      <w:r>
        <w:rPr>
          <w:rFonts w:hint="eastAsia"/>
          <w:b w:val="0"/>
          <w:bCs w:val="0"/>
          <w:lang w:val="en-US" w:eastAsia="zh-CN"/>
        </w:rPr>
        <w:t>2023年1月1日至2023年12月31日</w:t>
      </w:r>
    </w:p>
    <w:p w14:paraId="0ACAF3F0">
      <w:pPr>
        <w:bidi w:val="0"/>
        <w:rPr>
          <w:rFonts w:hint="default" w:eastAsiaTheme="minorEastAsia"/>
          <w:b w:val="0"/>
          <w:bCs w:val="0"/>
          <w:highlight w:val="none"/>
          <w:lang w:val="en-US" w:eastAsia="zh-CN"/>
        </w:rPr>
      </w:pPr>
      <w:r>
        <w:rPr>
          <w:rFonts w:hint="eastAsia"/>
          <w:b/>
          <w:bCs/>
          <w:highlight w:val="none"/>
          <w:lang w:val="en-US" w:eastAsia="zh-CN"/>
        </w:rPr>
        <w:t>2.评价综合评分：</w:t>
      </w:r>
    </w:p>
    <w:tbl>
      <w:tblPr>
        <w:tblStyle w:val="13"/>
        <w:tblW w:w="4998"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535"/>
        <w:gridCol w:w="1675"/>
        <w:gridCol w:w="2013"/>
        <w:gridCol w:w="1663"/>
        <w:gridCol w:w="1675"/>
      </w:tblGrid>
      <w:tr w14:paraId="2D90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jc w:val="right"/>
        </w:trPr>
        <w:tc>
          <w:tcPr>
            <w:tcW w:w="896" w:type="pct"/>
            <w:vAlign w:val="center"/>
          </w:tcPr>
          <w:p w14:paraId="4C77AF3A">
            <w:pPr>
              <w:spacing w:before="0" w:beforeLines="0" w:line="240" w:lineRule="auto"/>
              <w:ind w:firstLine="0" w:firstLineChars="0"/>
              <w:jc w:val="center"/>
              <w:rPr>
                <w:b/>
                <w:bCs/>
                <w:sz w:val="24"/>
                <w:szCs w:val="24"/>
                <w:highlight w:val="none"/>
              </w:rPr>
            </w:pPr>
            <w:r>
              <w:rPr>
                <w:b/>
                <w:bCs/>
                <w:color w:val="000000"/>
                <w:sz w:val="24"/>
                <w:szCs w:val="24"/>
                <w:highlight w:val="none"/>
              </w:rPr>
              <w:t>一级指标</w:t>
            </w:r>
          </w:p>
        </w:tc>
        <w:tc>
          <w:tcPr>
            <w:tcW w:w="978" w:type="pct"/>
            <w:vAlign w:val="center"/>
          </w:tcPr>
          <w:p w14:paraId="12DA263E">
            <w:pPr>
              <w:spacing w:before="0" w:beforeLines="0" w:line="240" w:lineRule="auto"/>
              <w:ind w:firstLine="0" w:firstLineChars="0"/>
              <w:jc w:val="center"/>
              <w:rPr>
                <w:b/>
                <w:bCs/>
                <w:sz w:val="24"/>
                <w:szCs w:val="24"/>
                <w:highlight w:val="none"/>
              </w:rPr>
            </w:pPr>
            <w:r>
              <w:rPr>
                <w:b/>
                <w:bCs/>
                <w:color w:val="000000"/>
                <w:sz w:val="24"/>
                <w:szCs w:val="24"/>
                <w:highlight w:val="none"/>
              </w:rPr>
              <w:t>权重</w:t>
            </w:r>
          </w:p>
        </w:tc>
        <w:tc>
          <w:tcPr>
            <w:tcW w:w="1175" w:type="pct"/>
            <w:vAlign w:val="center"/>
          </w:tcPr>
          <w:p w14:paraId="261F9011">
            <w:pPr>
              <w:spacing w:before="0" w:beforeLines="0" w:line="240" w:lineRule="auto"/>
              <w:ind w:firstLine="0" w:firstLineChars="0"/>
              <w:jc w:val="center"/>
              <w:rPr>
                <w:b/>
                <w:bCs/>
                <w:sz w:val="24"/>
                <w:szCs w:val="24"/>
                <w:highlight w:val="none"/>
              </w:rPr>
            </w:pPr>
            <w:r>
              <w:rPr>
                <w:b/>
                <w:bCs/>
                <w:color w:val="000000"/>
                <w:sz w:val="24"/>
                <w:szCs w:val="24"/>
                <w:highlight w:val="none"/>
              </w:rPr>
              <w:t>得分率</w:t>
            </w:r>
          </w:p>
        </w:tc>
        <w:tc>
          <w:tcPr>
            <w:tcW w:w="971" w:type="pct"/>
            <w:vAlign w:val="center"/>
          </w:tcPr>
          <w:p w14:paraId="664478DA">
            <w:pPr>
              <w:spacing w:before="0" w:beforeLines="0" w:line="240" w:lineRule="auto"/>
              <w:ind w:firstLine="0" w:firstLineChars="0"/>
              <w:jc w:val="center"/>
              <w:rPr>
                <w:b/>
                <w:bCs/>
                <w:sz w:val="24"/>
                <w:szCs w:val="24"/>
                <w:highlight w:val="none"/>
              </w:rPr>
            </w:pPr>
            <w:r>
              <w:rPr>
                <w:b/>
                <w:bCs/>
                <w:color w:val="000000"/>
                <w:sz w:val="24"/>
                <w:szCs w:val="24"/>
                <w:highlight w:val="none"/>
              </w:rPr>
              <w:t>得分</w:t>
            </w:r>
          </w:p>
        </w:tc>
        <w:tc>
          <w:tcPr>
            <w:tcW w:w="978" w:type="pct"/>
            <w:vAlign w:val="center"/>
          </w:tcPr>
          <w:p w14:paraId="3DE9690C">
            <w:pPr>
              <w:spacing w:before="0" w:beforeLines="0" w:line="240" w:lineRule="auto"/>
              <w:ind w:firstLine="0" w:firstLineChars="0"/>
              <w:jc w:val="center"/>
              <w:rPr>
                <w:b/>
                <w:bCs/>
                <w:sz w:val="24"/>
                <w:szCs w:val="24"/>
                <w:highlight w:val="none"/>
              </w:rPr>
            </w:pPr>
            <w:r>
              <w:rPr>
                <w:b/>
                <w:bCs/>
                <w:color w:val="000000"/>
                <w:sz w:val="24"/>
                <w:szCs w:val="24"/>
                <w:highlight w:val="none"/>
              </w:rPr>
              <w:t>绩效等级</w:t>
            </w:r>
          </w:p>
        </w:tc>
      </w:tr>
      <w:tr w14:paraId="0607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jc w:val="right"/>
        </w:trPr>
        <w:tc>
          <w:tcPr>
            <w:tcW w:w="896" w:type="pct"/>
            <w:vAlign w:val="center"/>
          </w:tcPr>
          <w:p w14:paraId="091B4C0E">
            <w:pPr>
              <w:spacing w:before="0" w:beforeLines="0" w:line="240" w:lineRule="auto"/>
              <w:ind w:firstLine="0" w:firstLineChars="0"/>
              <w:jc w:val="center"/>
              <w:rPr>
                <w:sz w:val="24"/>
                <w:szCs w:val="24"/>
                <w:highlight w:val="none"/>
              </w:rPr>
            </w:pPr>
            <w:r>
              <w:rPr>
                <w:color w:val="000000"/>
                <w:sz w:val="24"/>
                <w:szCs w:val="24"/>
                <w:highlight w:val="none"/>
              </w:rPr>
              <w:t>决策</w:t>
            </w:r>
          </w:p>
        </w:tc>
        <w:tc>
          <w:tcPr>
            <w:tcW w:w="978" w:type="pct"/>
            <w:vAlign w:val="center"/>
          </w:tcPr>
          <w:p w14:paraId="5A987112">
            <w:pPr>
              <w:spacing w:before="0" w:beforeLines="0" w:line="240" w:lineRule="auto"/>
              <w:ind w:firstLine="0" w:firstLineChars="0"/>
              <w:jc w:val="center"/>
              <w:rPr>
                <w:rFonts w:hint="default" w:eastAsia="宋体"/>
                <w:sz w:val="24"/>
                <w:szCs w:val="24"/>
                <w:highlight w:val="none"/>
                <w:lang w:val="en-US" w:eastAsia="zh-CN"/>
              </w:rPr>
            </w:pPr>
            <w:r>
              <w:rPr>
                <w:rFonts w:hint="eastAsia"/>
                <w:sz w:val="24"/>
                <w:szCs w:val="24"/>
                <w:highlight w:val="none"/>
                <w:lang w:val="en-US" w:eastAsia="zh-CN"/>
              </w:rPr>
              <w:t>16</w:t>
            </w:r>
          </w:p>
        </w:tc>
        <w:tc>
          <w:tcPr>
            <w:tcW w:w="2013" w:type="dxa"/>
            <w:vAlign w:val="center"/>
          </w:tcPr>
          <w:p w14:paraId="26890982">
            <w:pPr>
              <w:spacing w:before="0" w:beforeLines="0" w:line="240" w:lineRule="auto"/>
              <w:ind w:firstLine="0" w:firstLineChars="0"/>
              <w:jc w:val="center"/>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75.00%</w:t>
            </w:r>
          </w:p>
        </w:tc>
        <w:tc>
          <w:tcPr>
            <w:tcW w:w="1663" w:type="dxa"/>
            <w:vAlign w:val="center"/>
          </w:tcPr>
          <w:p w14:paraId="64CECEA3">
            <w:pPr>
              <w:spacing w:before="0" w:beforeLines="0" w:line="240" w:lineRule="auto"/>
              <w:ind w:firstLine="0" w:firstLineChars="0"/>
              <w:jc w:val="center"/>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12</w:t>
            </w:r>
          </w:p>
        </w:tc>
        <w:tc>
          <w:tcPr>
            <w:tcW w:w="978" w:type="pct"/>
            <w:vAlign w:val="center"/>
          </w:tcPr>
          <w:p w14:paraId="4FAF432C">
            <w:pPr>
              <w:spacing w:before="0" w:beforeLines="0" w:line="240" w:lineRule="auto"/>
              <w:ind w:firstLine="0" w:firstLineChars="0"/>
              <w:jc w:val="center"/>
              <w:rPr>
                <w:sz w:val="24"/>
                <w:szCs w:val="24"/>
                <w:highlight w:val="none"/>
              </w:rPr>
            </w:pPr>
            <w:r>
              <w:rPr>
                <w:color w:val="000000"/>
                <w:sz w:val="24"/>
                <w:szCs w:val="24"/>
                <w:highlight w:val="none"/>
              </w:rPr>
              <w:t>-</w:t>
            </w:r>
          </w:p>
        </w:tc>
      </w:tr>
      <w:tr w14:paraId="7250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jc w:val="right"/>
        </w:trPr>
        <w:tc>
          <w:tcPr>
            <w:tcW w:w="896" w:type="pct"/>
            <w:vAlign w:val="center"/>
          </w:tcPr>
          <w:p w14:paraId="7AC77F9B">
            <w:pPr>
              <w:spacing w:before="0" w:beforeLines="0" w:line="240" w:lineRule="auto"/>
              <w:ind w:firstLine="0" w:firstLineChars="0"/>
              <w:jc w:val="center"/>
              <w:rPr>
                <w:sz w:val="24"/>
                <w:szCs w:val="24"/>
                <w:highlight w:val="none"/>
              </w:rPr>
            </w:pPr>
            <w:r>
              <w:rPr>
                <w:color w:val="000000"/>
                <w:sz w:val="24"/>
                <w:szCs w:val="24"/>
                <w:highlight w:val="none"/>
              </w:rPr>
              <w:t>过程</w:t>
            </w:r>
          </w:p>
        </w:tc>
        <w:tc>
          <w:tcPr>
            <w:tcW w:w="978" w:type="pct"/>
            <w:vAlign w:val="center"/>
          </w:tcPr>
          <w:p w14:paraId="44601208">
            <w:pPr>
              <w:spacing w:before="0" w:beforeLines="0" w:line="240" w:lineRule="auto"/>
              <w:ind w:firstLine="0" w:firstLineChars="0"/>
              <w:jc w:val="center"/>
              <w:rPr>
                <w:rFonts w:hint="default" w:eastAsia="宋体"/>
                <w:sz w:val="24"/>
                <w:szCs w:val="24"/>
                <w:highlight w:val="none"/>
                <w:lang w:val="en-US" w:eastAsia="zh-CN"/>
              </w:rPr>
            </w:pPr>
            <w:r>
              <w:rPr>
                <w:rFonts w:hint="eastAsia"/>
                <w:sz w:val="24"/>
                <w:szCs w:val="24"/>
                <w:highlight w:val="none"/>
                <w:lang w:val="en-US" w:eastAsia="zh-CN"/>
              </w:rPr>
              <w:t>24</w:t>
            </w:r>
          </w:p>
        </w:tc>
        <w:tc>
          <w:tcPr>
            <w:tcW w:w="2013" w:type="dxa"/>
            <w:vAlign w:val="center"/>
          </w:tcPr>
          <w:p w14:paraId="568DA0C4">
            <w:pPr>
              <w:spacing w:before="0" w:beforeLines="0" w:line="240" w:lineRule="auto"/>
              <w:ind w:firstLine="0" w:firstLineChars="0"/>
              <w:jc w:val="center"/>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89.42%</w:t>
            </w:r>
          </w:p>
        </w:tc>
        <w:tc>
          <w:tcPr>
            <w:tcW w:w="1663" w:type="dxa"/>
            <w:vAlign w:val="center"/>
          </w:tcPr>
          <w:p w14:paraId="1099016F">
            <w:pPr>
              <w:spacing w:before="0" w:beforeLines="0" w:line="240" w:lineRule="auto"/>
              <w:ind w:firstLine="0" w:firstLineChars="0"/>
              <w:jc w:val="center"/>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21.46</w:t>
            </w:r>
          </w:p>
        </w:tc>
        <w:tc>
          <w:tcPr>
            <w:tcW w:w="978" w:type="pct"/>
            <w:vAlign w:val="center"/>
          </w:tcPr>
          <w:p w14:paraId="7CB5F6CE">
            <w:pPr>
              <w:spacing w:before="0" w:beforeLines="0" w:line="240" w:lineRule="auto"/>
              <w:ind w:firstLine="0" w:firstLineChars="0"/>
              <w:jc w:val="center"/>
              <w:rPr>
                <w:sz w:val="24"/>
                <w:szCs w:val="24"/>
                <w:highlight w:val="none"/>
              </w:rPr>
            </w:pPr>
            <w:r>
              <w:rPr>
                <w:color w:val="000000"/>
                <w:sz w:val="24"/>
                <w:szCs w:val="24"/>
                <w:highlight w:val="none"/>
              </w:rPr>
              <w:t>-</w:t>
            </w:r>
          </w:p>
        </w:tc>
      </w:tr>
      <w:tr w14:paraId="52E1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jc w:val="right"/>
        </w:trPr>
        <w:tc>
          <w:tcPr>
            <w:tcW w:w="896" w:type="pct"/>
            <w:vAlign w:val="center"/>
          </w:tcPr>
          <w:p w14:paraId="6B08F683">
            <w:pPr>
              <w:spacing w:before="0" w:beforeLines="0" w:line="240" w:lineRule="auto"/>
              <w:ind w:firstLine="0" w:firstLineChars="0"/>
              <w:jc w:val="center"/>
              <w:rPr>
                <w:sz w:val="24"/>
                <w:szCs w:val="24"/>
                <w:highlight w:val="none"/>
              </w:rPr>
            </w:pPr>
            <w:r>
              <w:rPr>
                <w:color w:val="000000"/>
                <w:sz w:val="24"/>
                <w:szCs w:val="24"/>
                <w:highlight w:val="none"/>
              </w:rPr>
              <w:t>产出</w:t>
            </w:r>
          </w:p>
        </w:tc>
        <w:tc>
          <w:tcPr>
            <w:tcW w:w="978" w:type="pct"/>
            <w:vAlign w:val="center"/>
          </w:tcPr>
          <w:p w14:paraId="15AC5B86">
            <w:pPr>
              <w:spacing w:before="0" w:beforeLines="0" w:line="240" w:lineRule="auto"/>
              <w:ind w:firstLine="0" w:firstLineChars="0"/>
              <w:jc w:val="center"/>
              <w:rPr>
                <w:rFonts w:hint="default" w:eastAsia="宋体"/>
                <w:sz w:val="24"/>
                <w:szCs w:val="24"/>
                <w:highlight w:val="none"/>
                <w:lang w:val="en-US" w:eastAsia="zh-CN"/>
              </w:rPr>
            </w:pPr>
            <w:r>
              <w:rPr>
                <w:rFonts w:hint="eastAsia"/>
                <w:sz w:val="24"/>
                <w:szCs w:val="24"/>
                <w:highlight w:val="none"/>
                <w:lang w:val="en-US" w:eastAsia="zh-CN"/>
              </w:rPr>
              <w:t>40</w:t>
            </w:r>
          </w:p>
        </w:tc>
        <w:tc>
          <w:tcPr>
            <w:tcW w:w="2013" w:type="dxa"/>
            <w:vAlign w:val="center"/>
          </w:tcPr>
          <w:p w14:paraId="0DC2DC32">
            <w:pPr>
              <w:spacing w:before="0" w:beforeLines="0" w:line="240" w:lineRule="auto"/>
              <w:ind w:firstLine="0" w:firstLineChars="0"/>
              <w:jc w:val="center"/>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92.50%</w:t>
            </w:r>
          </w:p>
        </w:tc>
        <w:tc>
          <w:tcPr>
            <w:tcW w:w="1663" w:type="dxa"/>
            <w:vAlign w:val="center"/>
          </w:tcPr>
          <w:p w14:paraId="0BB98E1F">
            <w:pPr>
              <w:spacing w:before="0" w:beforeLines="0" w:line="240" w:lineRule="auto"/>
              <w:ind w:firstLine="0" w:firstLineChars="0"/>
              <w:jc w:val="center"/>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37</w:t>
            </w:r>
          </w:p>
        </w:tc>
        <w:tc>
          <w:tcPr>
            <w:tcW w:w="978" w:type="pct"/>
            <w:vAlign w:val="center"/>
          </w:tcPr>
          <w:p w14:paraId="0ED308F3">
            <w:pPr>
              <w:spacing w:before="0" w:beforeLines="0" w:line="240" w:lineRule="auto"/>
              <w:ind w:firstLine="0" w:firstLineChars="0"/>
              <w:jc w:val="center"/>
              <w:rPr>
                <w:sz w:val="24"/>
                <w:szCs w:val="24"/>
                <w:highlight w:val="none"/>
              </w:rPr>
            </w:pPr>
            <w:r>
              <w:rPr>
                <w:color w:val="000000"/>
                <w:sz w:val="24"/>
                <w:szCs w:val="24"/>
                <w:highlight w:val="none"/>
              </w:rPr>
              <w:t>-</w:t>
            </w:r>
          </w:p>
        </w:tc>
      </w:tr>
      <w:tr w14:paraId="0F84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jc w:val="right"/>
        </w:trPr>
        <w:tc>
          <w:tcPr>
            <w:tcW w:w="896" w:type="pct"/>
            <w:vAlign w:val="center"/>
          </w:tcPr>
          <w:p w14:paraId="42FCB1ED">
            <w:pPr>
              <w:spacing w:before="0" w:beforeLines="0" w:line="240" w:lineRule="auto"/>
              <w:ind w:firstLine="0" w:firstLineChars="0"/>
              <w:jc w:val="center"/>
              <w:rPr>
                <w:sz w:val="24"/>
                <w:szCs w:val="24"/>
                <w:highlight w:val="none"/>
              </w:rPr>
            </w:pPr>
            <w:r>
              <w:rPr>
                <w:color w:val="000000"/>
                <w:sz w:val="24"/>
                <w:szCs w:val="24"/>
                <w:highlight w:val="none"/>
              </w:rPr>
              <w:t>效益</w:t>
            </w:r>
          </w:p>
        </w:tc>
        <w:tc>
          <w:tcPr>
            <w:tcW w:w="978" w:type="pct"/>
            <w:vAlign w:val="center"/>
          </w:tcPr>
          <w:p w14:paraId="7BF56649">
            <w:pPr>
              <w:spacing w:before="0" w:beforeLines="0" w:line="240" w:lineRule="auto"/>
              <w:ind w:firstLine="0" w:firstLineChars="0"/>
              <w:jc w:val="center"/>
              <w:rPr>
                <w:rFonts w:hint="default" w:eastAsia="宋体"/>
                <w:sz w:val="24"/>
                <w:szCs w:val="24"/>
                <w:highlight w:val="none"/>
                <w:lang w:val="en-US" w:eastAsia="zh-CN"/>
              </w:rPr>
            </w:pPr>
            <w:r>
              <w:rPr>
                <w:rFonts w:hint="eastAsia"/>
                <w:sz w:val="24"/>
                <w:szCs w:val="24"/>
                <w:highlight w:val="none"/>
                <w:lang w:val="en-US" w:eastAsia="zh-CN"/>
              </w:rPr>
              <w:t>20</w:t>
            </w:r>
          </w:p>
        </w:tc>
        <w:tc>
          <w:tcPr>
            <w:tcW w:w="2013" w:type="dxa"/>
            <w:vAlign w:val="center"/>
          </w:tcPr>
          <w:p w14:paraId="7B119C7F">
            <w:pPr>
              <w:spacing w:before="0" w:beforeLines="0" w:line="240" w:lineRule="auto"/>
              <w:ind w:firstLine="0" w:firstLineChars="0"/>
              <w:jc w:val="center"/>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100.00%</w:t>
            </w:r>
          </w:p>
        </w:tc>
        <w:tc>
          <w:tcPr>
            <w:tcW w:w="1663" w:type="dxa"/>
            <w:vAlign w:val="center"/>
          </w:tcPr>
          <w:p w14:paraId="3BE37FBB">
            <w:pPr>
              <w:spacing w:before="0" w:beforeLines="0" w:line="240" w:lineRule="auto"/>
              <w:ind w:firstLine="0" w:firstLineChars="0"/>
              <w:jc w:val="center"/>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20</w:t>
            </w:r>
          </w:p>
        </w:tc>
        <w:tc>
          <w:tcPr>
            <w:tcW w:w="978" w:type="pct"/>
            <w:vAlign w:val="center"/>
          </w:tcPr>
          <w:p w14:paraId="3A24F495">
            <w:pPr>
              <w:spacing w:before="0" w:beforeLines="0" w:line="240" w:lineRule="auto"/>
              <w:ind w:firstLine="0" w:firstLineChars="0"/>
              <w:jc w:val="center"/>
              <w:rPr>
                <w:sz w:val="24"/>
                <w:szCs w:val="24"/>
                <w:highlight w:val="none"/>
              </w:rPr>
            </w:pPr>
            <w:r>
              <w:rPr>
                <w:color w:val="000000"/>
                <w:sz w:val="24"/>
                <w:szCs w:val="24"/>
                <w:highlight w:val="none"/>
              </w:rPr>
              <w:t>-</w:t>
            </w:r>
          </w:p>
        </w:tc>
      </w:tr>
      <w:tr w14:paraId="048D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jc w:val="right"/>
        </w:trPr>
        <w:tc>
          <w:tcPr>
            <w:tcW w:w="896" w:type="pct"/>
            <w:vAlign w:val="center"/>
          </w:tcPr>
          <w:p w14:paraId="2E0ADE5D">
            <w:pPr>
              <w:spacing w:before="0" w:beforeLines="0" w:line="240" w:lineRule="auto"/>
              <w:ind w:firstLine="0" w:firstLineChars="0"/>
              <w:jc w:val="center"/>
              <w:rPr>
                <w:b/>
                <w:bCs/>
                <w:sz w:val="24"/>
                <w:szCs w:val="24"/>
                <w:highlight w:val="none"/>
              </w:rPr>
            </w:pPr>
            <w:r>
              <w:rPr>
                <w:b/>
                <w:bCs/>
                <w:color w:val="000000"/>
                <w:sz w:val="24"/>
                <w:szCs w:val="24"/>
                <w:highlight w:val="none"/>
              </w:rPr>
              <w:t>合计</w:t>
            </w:r>
          </w:p>
        </w:tc>
        <w:tc>
          <w:tcPr>
            <w:tcW w:w="978" w:type="pct"/>
            <w:vAlign w:val="center"/>
          </w:tcPr>
          <w:p w14:paraId="6ACD26EA">
            <w:pPr>
              <w:spacing w:before="0" w:beforeLines="0" w:line="240" w:lineRule="auto"/>
              <w:ind w:firstLine="0" w:firstLineChars="0"/>
              <w:jc w:val="center"/>
              <w:rPr>
                <w:rFonts w:hint="default" w:eastAsiaTheme="minorEastAsia"/>
                <w:b/>
                <w:bCs/>
                <w:sz w:val="24"/>
                <w:szCs w:val="24"/>
                <w:highlight w:val="none"/>
                <w:lang w:val="en-US" w:eastAsia="zh-CN"/>
              </w:rPr>
            </w:pPr>
            <w:r>
              <w:rPr>
                <w:b/>
                <w:bCs/>
                <w:color w:val="000000"/>
                <w:sz w:val="24"/>
                <w:szCs w:val="24"/>
                <w:highlight w:val="none"/>
              </w:rPr>
              <w:t>100</w:t>
            </w:r>
          </w:p>
        </w:tc>
        <w:tc>
          <w:tcPr>
            <w:tcW w:w="2013" w:type="dxa"/>
            <w:vAlign w:val="center"/>
          </w:tcPr>
          <w:p w14:paraId="6B1DFF26">
            <w:pPr>
              <w:spacing w:before="0" w:beforeLines="0" w:line="240" w:lineRule="auto"/>
              <w:ind w:firstLine="0" w:firstLineChars="0"/>
              <w:jc w:val="center"/>
              <w:rPr>
                <w:b/>
                <w:bCs/>
                <w:color w:val="000000"/>
                <w:sz w:val="24"/>
                <w:szCs w:val="24"/>
                <w:highlight w:val="none"/>
              </w:rPr>
            </w:pPr>
            <w:r>
              <w:rPr>
                <w:rFonts w:hint="eastAsia"/>
                <w:b/>
                <w:bCs/>
                <w:color w:val="000000"/>
                <w:sz w:val="24"/>
                <w:szCs w:val="24"/>
                <w:highlight w:val="none"/>
                <w:lang w:val="en-US" w:eastAsia="zh-CN"/>
              </w:rPr>
              <w:t>90.46%</w:t>
            </w:r>
          </w:p>
        </w:tc>
        <w:tc>
          <w:tcPr>
            <w:tcW w:w="1663" w:type="dxa"/>
            <w:vAlign w:val="center"/>
          </w:tcPr>
          <w:p w14:paraId="22E4E9DF">
            <w:pPr>
              <w:spacing w:before="0" w:beforeLines="0" w:line="240" w:lineRule="auto"/>
              <w:ind w:firstLine="0" w:firstLineChars="0"/>
              <w:jc w:val="center"/>
              <w:rPr>
                <w:rFonts w:hint="default"/>
                <w:b/>
                <w:bCs/>
                <w:color w:val="000000"/>
                <w:sz w:val="24"/>
                <w:szCs w:val="24"/>
                <w:highlight w:val="none"/>
                <w:lang w:val="en-US" w:eastAsia="zh-CN"/>
              </w:rPr>
            </w:pPr>
            <w:r>
              <w:rPr>
                <w:rFonts w:hint="eastAsia"/>
                <w:b/>
                <w:bCs/>
                <w:color w:val="000000"/>
                <w:sz w:val="24"/>
                <w:szCs w:val="24"/>
                <w:highlight w:val="none"/>
                <w:lang w:val="en-US" w:eastAsia="zh-CN"/>
              </w:rPr>
              <w:t>90.46</w:t>
            </w:r>
          </w:p>
        </w:tc>
        <w:tc>
          <w:tcPr>
            <w:tcW w:w="978" w:type="pct"/>
            <w:vAlign w:val="center"/>
          </w:tcPr>
          <w:p w14:paraId="1751DD14">
            <w:pPr>
              <w:spacing w:before="0" w:beforeLines="0" w:line="240" w:lineRule="auto"/>
              <w:ind w:firstLine="0" w:firstLineChars="0"/>
              <w:jc w:val="center"/>
              <w:rPr>
                <w:rFonts w:hint="eastAsia" w:eastAsia="宋体"/>
                <w:b/>
                <w:bCs/>
                <w:sz w:val="24"/>
                <w:szCs w:val="24"/>
                <w:highlight w:val="none"/>
                <w:lang w:val="en-US" w:eastAsia="zh-CN"/>
              </w:rPr>
            </w:pPr>
            <w:r>
              <w:rPr>
                <w:rFonts w:hint="eastAsia"/>
                <w:b/>
                <w:bCs/>
                <w:sz w:val="24"/>
                <w:szCs w:val="24"/>
                <w:highlight w:val="none"/>
                <w:lang w:val="en-US" w:eastAsia="zh-CN"/>
              </w:rPr>
              <w:t>优</w:t>
            </w:r>
          </w:p>
        </w:tc>
      </w:tr>
    </w:tbl>
    <w:p w14:paraId="2152D5FD">
      <w:pPr>
        <w:rPr>
          <w:rFonts w:hint="eastAsia" w:eastAsia="宋体"/>
          <w:b/>
          <w:bCs/>
          <w:color w:val="000000"/>
          <w:sz w:val="26"/>
          <w:lang w:eastAsia="zh-CN"/>
        </w:rPr>
      </w:pPr>
      <w:r>
        <w:rPr>
          <w:rFonts w:hint="eastAsia"/>
          <w:b/>
          <w:bCs/>
          <w:color w:val="000000"/>
          <w:sz w:val="26"/>
          <w:lang w:val="en-US" w:eastAsia="zh-CN"/>
        </w:rPr>
        <w:t>3.</w:t>
      </w:r>
      <w:r>
        <w:rPr>
          <w:rFonts w:hint="eastAsia"/>
          <w:b/>
          <w:bCs/>
          <w:color w:val="000000"/>
          <w:sz w:val="26"/>
        </w:rPr>
        <w:t>综合评价结论</w:t>
      </w:r>
      <w:r>
        <w:rPr>
          <w:rFonts w:hint="eastAsia"/>
          <w:b/>
          <w:bCs/>
          <w:color w:val="000000"/>
          <w:sz w:val="26"/>
          <w:lang w:eastAsia="zh-CN"/>
        </w:rPr>
        <w:t>：</w:t>
      </w:r>
    </w:p>
    <w:p w14:paraId="505D688D">
      <w:pPr>
        <w:bidi w:val="0"/>
        <w:rPr>
          <w:rFonts w:hint="eastAsia"/>
        </w:rPr>
      </w:pPr>
      <w:r>
        <w:rPr>
          <w:rFonts w:hint="eastAsia"/>
        </w:rPr>
        <w:t>三门峡市陕州区青龙涧河涧里村至杨家河村河道治理工程项目立项依据充分、招投标程序规范，总体目标设置合理但具体绩效指标不明确，缺少可量化指标，与实施内容相关性较差。</w:t>
      </w:r>
    </w:p>
    <w:p w14:paraId="40DC73CE">
      <w:pPr>
        <w:bidi w:val="0"/>
        <w:rPr>
          <w:rFonts w:hint="eastAsia"/>
        </w:rPr>
      </w:pPr>
      <w:r>
        <w:rPr>
          <w:rFonts w:hint="eastAsia"/>
        </w:rPr>
        <w:t>组织实施分工明确、实施方案完备；资金方面存在预算编制与执行不到位情况，在资金到位率与预算执行率方面存在延迟支付的情况。</w:t>
      </w:r>
    </w:p>
    <w:p w14:paraId="567D8FCD">
      <w:pPr>
        <w:bidi w:val="0"/>
        <w:rPr>
          <w:color w:val="000000"/>
        </w:rPr>
      </w:pPr>
      <w:r>
        <w:rPr>
          <w:rFonts w:hint="eastAsia"/>
        </w:rPr>
        <w:t>截至评价期结束，三门峡市陕州区青龙涧河涧里村至杨家河村河道治理工程项目的各项目标均已完成并通过预验收，项目整体情况良好，社会效益明显，可持续性强，受益群众总体满意度达90.00％以上。</w:t>
      </w:r>
      <w:r>
        <w:rPr>
          <w:color w:val="000000"/>
        </w:rPr>
        <w:br w:type="page"/>
      </w:r>
    </w:p>
    <w:p w14:paraId="298B686A">
      <w:pPr>
        <w:spacing w:after="540" w:line="420" w:lineRule="exact"/>
        <w:ind w:left="0" w:leftChars="0" w:firstLine="0" w:firstLineChars="0"/>
        <w:jc w:val="center"/>
        <w:rPr>
          <w:color w:val="000000"/>
          <w:sz w:val="28"/>
          <w:szCs w:val="28"/>
          <w:highlight w:val="none"/>
        </w:rPr>
        <w:sectPr>
          <w:pgSz w:w="11900" w:h="16840"/>
          <w:pgMar w:top="1134" w:right="1678" w:bottom="1440" w:left="1678" w:header="0" w:footer="1440" w:gutter="0"/>
          <w:cols w:space="0" w:num="1"/>
          <w:rtlGutter w:val="0"/>
          <w:docGrid w:type="lines" w:linePitch="386" w:charSpace="0"/>
        </w:sectPr>
      </w:pPr>
    </w:p>
    <w:sdt>
      <w:sdtPr>
        <w:rPr>
          <w:rFonts w:ascii="宋体" w:hAnsi="宋体" w:eastAsia="宋体" w:cs="宋体"/>
          <w:sz w:val="21"/>
          <w:szCs w:val="28"/>
        </w:rPr>
        <w:id w:val="147480622"/>
        <w15:color w:val="DBDBDB"/>
        <w:docPartObj>
          <w:docPartGallery w:val="Table of Contents"/>
          <w:docPartUnique/>
        </w:docPartObj>
      </w:sdtPr>
      <w:sdtEndPr>
        <w:rPr>
          <w:rFonts w:ascii="宋体" w:hAnsi="宋体" w:eastAsia="宋体" w:cs="宋体"/>
          <w:sz w:val="21"/>
          <w:szCs w:val="28"/>
        </w:rPr>
      </w:sdtEndPr>
      <w:sdtContent>
        <w:p w14:paraId="34EB4429">
          <w:pPr>
            <w:spacing w:before="0" w:beforeLines="0" w:after="0" w:afterLines="0" w:line="240" w:lineRule="auto"/>
            <w:ind w:left="0" w:leftChars="0" w:right="0" w:rightChars="0" w:firstLine="0" w:firstLineChars="0"/>
            <w:jc w:val="center"/>
            <w:rPr>
              <w:b/>
              <w:bCs/>
              <w:sz w:val="32"/>
              <w:szCs w:val="32"/>
            </w:rPr>
          </w:pPr>
          <w:bookmarkStart w:id="1" w:name="_Toc24580"/>
          <w:r>
            <w:rPr>
              <w:rFonts w:ascii="宋体" w:hAnsi="宋体" w:eastAsia="宋体"/>
              <w:b/>
              <w:bCs/>
              <w:sz w:val="32"/>
              <w:szCs w:val="32"/>
            </w:rPr>
            <w:t>目</w:t>
          </w:r>
          <w:r>
            <w:rPr>
              <w:rFonts w:hint="eastAsia" w:eastAsia="宋体"/>
              <w:b/>
              <w:bCs/>
              <w:sz w:val="32"/>
              <w:szCs w:val="32"/>
              <w:lang w:val="en-US" w:eastAsia="zh-CN"/>
            </w:rPr>
            <w:t xml:space="preserve">  </w:t>
          </w:r>
          <w:r>
            <w:rPr>
              <w:rFonts w:ascii="宋体" w:hAnsi="宋体" w:eastAsia="宋体"/>
              <w:b/>
              <w:bCs/>
              <w:sz w:val="32"/>
              <w:szCs w:val="32"/>
            </w:rPr>
            <w:t>录</w:t>
          </w:r>
        </w:p>
        <w:p w14:paraId="3DC9BE56">
          <w:pPr>
            <w:pStyle w:val="10"/>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TOC \o "1-3" \h \u </w:instrText>
          </w:r>
          <w:r>
            <w:fldChar w:fldCharType="separate"/>
          </w:r>
          <w:r>
            <w:fldChar w:fldCharType="begin"/>
          </w:r>
          <w:r>
            <w:instrText xml:space="preserve"> HYPERLINK \l _Toc28493 </w:instrText>
          </w:r>
          <w:r>
            <w:fldChar w:fldCharType="separate"/>
          </w:r>
          <w:r>
            <w:t>一、</w:t>
          </w:r>
          <w:r>
            <w:rPr>
              <w:rFonts w:hint="eastAsia"/>
              <w:lang w:val="en-US" w:eastAsia="zh-CN"/>
            </w:rPr>
            <w:t>概述</w:t>
          </w:r>
          <w:r>
            <w:tab/>
          </w:r>
          <w:r>
            <w:fldChar w:fldCharType="begin"/>
          </w:r>
          <w:r>
            <w:instrText xml:space="preserve"> PAGEREF _Toc28493 \h </w:instrText>
          </w:r>
          <w:r>
            <w:fldChar w:fldCharType="separate"/>
          </w:r>
          <w:r>
            <w:t>- 1 -</w:t>
          </w:r>
          <w:r>
            <w:fldChar w:fldCharType="end"/>
          </w:r>
          <w:r>
            <w:fldChar w:fldCharType="end"/>
          </w:r>
        </w:p>
        <w:p w14:paraId="04F6476C">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_Toc24535 </w:instrText>
          </w:r>
          <w:r>
            <w:fldChar w:fldCharType="separate"/>
          </w:r>
          <w:r>
            <w:t>（一）项目概况</w:t>
          </w:r>
          <w:r>
            <w:tab/>
          </w:r>
          <w:r>
            <w:fldChar w:fldCharType="begin"/>
          </w:r>
          <w:r>
            <w:instrText xml:space="preserve"> PAGEREF _Toc24535 \h </w:instrText>
          </w:r>
          <w:r>
            <w:fldChar w:fldCharType="separate"/>
          </w:r>
          <w:r>
            <w:t>- 1 -</w:t>
          </w:r>
          <w:r>
            <w:fldChar w:fldCharType="end"/>
          </w:r>
          <w:r>
            <w:fldChar w:fldCharType="end"/>
          </w:r>
        </w:p>
        <w:p w14:paraId="518D769F">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_Toc28136 </w:instrText>
          </w:r>
          <w:r>
            <w:fldChar w:fldCharType="separate"/>
          </w:r>
          <w:r>
            <w:rPr>
              <w:highlight w:val="none"/>
            </w:rPr>
            <w:t>1</w:t>
          </w:r>
          <w:r>
            <w:rPr>
              <w:rFonts w:hint="eastAsia"/>
              <w:highlight w:val="none"/>
              <w:lang w:val="en-US" w:eastAsia="zh-CN"/>
            </w:rPr>
            <w:t>.</w:t>
          </w:r>
          <w:r>
            <w:rPr>
              <w:highlight w:val="none"/>
            </w:rPr>
            <w:t>项目背景</w:t>
          </w:r>
          <w:r>
            <w:tab/>
          </w:r>
          <w:r>
            <w:fldChar w:fldCharType="begin"/>
          </w:r>
          <w:r>
            <w:instrText xml:space="preserve"> PAGEREF _Toc28136 \h </w:instrText>
          </w:r>
          <w:r>
            <w:fldChar w:fldCharType="separate"/>
          </w:r>
          <w:r>
            <w:t>- 1 -</w:t>
          </w:r>
          <w:r>
            <w:fldChar w:fldCharType="end"/>
          </w:r>
          <w:r>
            <w:fldChar w:fldCharType="end"/>
          </w:r>
        </w:p>
        <w:p w14:paraId="14015555">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_Toc12375 </w:instrText>
          </w:r>
          <w:r>
            <w:fldChar w:fldCharType="separate"/>
          </w:r>
          <w:r>
            <w:rPr>
              <w:rFonts w:hint="eastAsia"/>
              <w:highlight w:val="none"/>
              <w:lang w:val="en-US" w:eastAsia="zh-CN"/>
            </w:rPr>
            <w:t>2.</w:t>
          </w:r>
          <w:r>
            <w:rPr>
              <w:rFonts w:hint="eastAsia"/>
              <w:highlight w:val="none"/>
            </w:rPr>
            <w:t>项目实施主体及职能</w:t>
          </w:r>
          <w:r>
            <w:rPr>
              <w:rFonts w:hint="eastAsia"/>
              <w:highlight w:val="none"/>
              <w:lang w:val="en-US" w:eastAsia="zh-CN"/>
            </w:rPr>
            <w:t>职责</w:t>
          </w:r>
          <w:r>
            <w:tab/>
          </w:r>
          <w:r>
            <w:fldChar w:fldCharType="begin"/>
          </w:r>
          <w:r>
            <w:instrText xml:space="preserve"> PAGEREF _Toc12375 \h </w:instrText>
          </w:r>
          <w:r>
            <w:fldChar w:fldCharType="separate"/>
          </w:r>
          <w:r>
            <w:t>- 2 -</w:t>
          </w:r>
          <w:r>
            <w:fldChar w:fldCharType="end"/>
          </w:r>
          <w:r>
            <w:fldChar w:fldCharType="end"/>
          </w:r>
        </w:p>
        <w:p w14:paraId="2B71AFF6">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_Toc16405 </w:instrText>
          </w:r>
          <w:r>
            <w:fldChar w:fldCharType="separate"/>
          </w:r>
          <w:r>
            <w:rPr>
              <w:rFonts w:hint="eastAsia"/>
              <w:lang w:val="en-US" w:eastAsia="zh-CN"/>
            </w:rPr>
            <w:t>3.项目</w:t>
          </w:r>
          <w:r>
            <w:t>主要内容及实施情况</w:t>
          </w:r>
          <w:r>
            <w:tab/>
          </w:r>
          <w:r>
            <w:fldChar w:fldCharType="begin"/>
          </w:r>
          <w:r>
            <w:instrText xml:space="preserve"> PAGEREF _Toc16405 \h </w:instrText>
          </w:r>
          <w:r>
            <w:fldChar w:fldCharType="separate"/>
          </w:r>
          <w:r>
            <w:t>- 4 -</w:t>
          </w:r>
          <w:r>
            <w:fldChar w:fldCharType="end"/>
          </w:r>
          <w:r>
            <w:fldChar w:fldCharType="end"/>
          </w:r>
        </w:p>
        <w:p w14:paraId="39B5D979">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_Toc29937 </w:instrText>
          </w:r>
          <w:r>
            <w:fldChar w:fldCharType="separate"/>
          </w:r>
          <w:r>
            <w:rPr>
              <w:rFonts w:hint="eastAsia"/>
              <w:lang w:val="en-US" w:eastAsia="zh-CN"/>
            </w:rPr>
            <w:t>4.项目</w:t>
          </w:r>
          <w:r>
            <w:t>资金投入和使用情况</w:t>
          </w:r>
          <w:r>
            <w:tab/>
          </w:r>
          <w:r>
            <w:fldChar w:fldCharType="begin"/>
          </w:r>
          <w:r>
            <w:instrText xml:space="preserve"> PAGEREF _Toc29937 \h </w:instrText>
          </w:r>
          <w:r>
            <w:fldChar w:fldCharType="separate"/>
          </w:r>
          <w:r>
            <w:t>- 5 -</w:t>
          </w:r>
          <w:r>
            <w:fldChar w:fldCharType="end"/>
          </w:r>
          <w:r>
            <w:fldChar w:fldCharType="end"/>
          </w:r>
        </w:p>
        <w:p w14:paraId="41DDE62C">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_Toc11913 </w:instrText>
          </w:r>
          <w:r>
            <w:fldChar w:fldCharType="separate"/>
          </w:r>
          <w:r>
            <w:rPr>
              <w:rFonts w:hint="eastAsia"/>
            </w:rPr>
            <w:t xml:space="preserve">（二） </w:t>
          </w:r>
          <w:r>
            <w:t>项目立项依据</w:t>
          </w:r>
          <w:r>
            <w:tab/>
          </w:r>
          <w:r>
            <w:fldChar w:fldCharType="begin"/>
          </w:r>
          <w:r>
            <w:instrText xml:space="preserve"> PAGEREF _Toc11913 \h </w:instrText>
          </w:r>
          <w:r>
            <w:fldChar w:fldCharType="separate"/>
          </w:r>
          <w:r>
            <w:t>- 6 -</w:t>
          </w:r>
          <w:r>
            <w:fldChar w:fldCharType="end"/>
          </w:r>
          <w:r>
            <w:fldChar w:fldCharType="end"/>
          </w:r>
        </w:p>
        <w:p w14:paraId="4C3717A7">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_Toc11243 </w:instrText>
          </w:r>
          <w:r>
            <w:fldChar w:fldCharType="separate"/>
          </w:r>
          <w:r>
            <w:rPr>
              <w:rFonts w:hint="eastAsia"/>
            </w:rPr>
            <w:t xml:space="preserve">（三） </w:t>
          </w:r>
          <w:r>
            <w:t>项目组织管理情况</w:t>
          </w:r>
          <w:r>
            <w:tab/>
          </w:r>
          <w:r>
            <w:fldChar w:fldCharType="begin"/>
          </w:r>
          <w:r>
            <w:instrText xml:space="preserve"> PAGEREF _Toc11243 \h </w:instrText>
          </w:r>
          <w:r>
            <w:fldChar w:fldCharType="separate"/>
          </w:r>
          <w:r>
            <w:t>- 8 -</w:t>
          </w:r>
          <w:r>
            <w:fldChar w:fldCharType="end"/>
          </w:r>
          <w:r>
            <w:fldChar w:fldCharType="end"/>
          </w:r>
        </w:p>
        <w:p w14:paraId="1BE67DF7">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_Toc23864 </w:instrText>
          </w:r>
          <w:r>
            <w:fldChar w:fldCharType="separate"/>
          </w:r>
          <w:r>
            <w:t>1</w:t>
          </w:r>
          <w:r>
            <w:rPr>
              <w:rFonts w:hint="eastAsia"/>
              <w:lang w:val="en-US" w:eastAsia="zh-CN"/>
            </w:rPr>
            <w:t>.</w:t>
          </w:r>
          <w:r>
            <w:t>项目组织管理机构</w:t>
          </w:r>
          <w:r>
            <w:tab/>
          </w:r>
          <w:r>
            <w:fldChar w:fldCharType="begin"/>
          </w:r>
          <w:r>
            <w:instrText xml:space="preserve"> PAGEREF _Toc23864 \h </w:instrText>
          </w:r>
          <w:r>
            <w:fldChar w:fldCharType="separate"/>
          </w:r>
          <w:r>
            <w:t>- 8 -</w:t>
          </w:r>
          <w:r>
            <w:fldChar w:fldCharType="end"/>
          </w:r>
          <w:r>
            <w:fldChar w:fldCharType="end"/>
          </w:r>
        </w:p>
        <w:p w14:paraId="32464B57">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_Toc5412 </w:instrText>
          </w:r>
          <w:r>
            <w:fldChar w:fldCharType="separate"/>
          </w:r>
          <w:r>
            <w:t>2</w:t>
          </w:r>
          <w:r>
            <w:rPr>
              <w:rFonts w:hint="eastAsia"/>
              <w:lang w:val="en-US" w:eastAsia="zh-CN"/>
            </w:rPr>
            <w:t>.</w:t>
          </w:r>
          <w:r>
            <w:t>项目具体实施流程</w:t>
          </w:r>
          <w:r>
            <w:tab/>
          </w:r>
          <w:r>
            <w:fldChar w:fldCharType="begin"/>
          </w:r>
          <w:r>
            <w:instrText xml:space="preserve"> PAGEREF _Toc5412 \h </w:instrText>
          </w:r>
          <w:r>
            <w:fldChar w:fldCharType="separate"/>
          </w:r>
          <w:r>
            <w:t>- 8 -</w:t>
          </w:r>
          <w:r>
            <w:fldChar w:fldCharType="end"/>
          </w:r>
          <w:r>
            <w:fldChar w:fldCharType="end"/>
          </w:r>
        </w:p>
        <w:p w14:paraId="27DB2070">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_Toc29016 </w:instrText>
          </w:r>
          <w:r>
            <w:fldChar w:fldCharType="separate"/>
          </w:r>
          <w:r>
            <w:rPr>
              <w:rFonts w:hint="eastAsia"/>
            </w:rPr>
            <w:t>（四）项目利益相关方</w:t>
          </w:r>
          <w:r>
            <w:tab/>
          </w:r>
          <w:r>
            <w:fldChar w:fldCharType="begin"/>
          </w:r>
          <w:r>
            <w:instrText xml:space="preserve"> PAGEREF _Toc29016 \h </w:instrText>
          </w:r>
          <w:r>
            <w:fldChar w:fldCharType="separate"/>
          </w:r>
          <w:r>
            <w:t>- 9 -</w:t>
          </w:r>
          <w:r>
            <w:fldChar w:fldCharType="end"/>
          </w:r>
          <w:r>
            <w:fldChar w:fldCharType="end"/>
          </w:r>
        </w:p>
        <w:p w14:paraId="6DBC4BAB">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_Toc23174 </w:instrText>
          </w:r>
          <w:r>
            <w:fldChar w:fldCharType="separate"/>
          </w:r>
          <w:r>
            <w:t>（五）项目绩效目标</w:t>
          </w:r>
          <w:r>
            <w:tab/>
          </w:r>
          <w:r>
            <w:fldChar w:fldCharType="begin"/>
          </w:r>
          <w:r>
            <w:instrText xml:space="preserve"> PAGEREF _Toc23174 \h </w:instrText>
          </w:r>
          <w:r>
            <w:fldChar w:fldCharType="separate"/>
          </w:r>
          <w:r>
            <w:t>- 9 -</w:t>
          </w:r>
          <w:r>
            <w:fldChar w:fldCharType="end"/>
          </w:r>
          <w:r>
            <w:fldChar w:fldCharType="end"/>
          </w:r>
        </w:p>
        <w:p w14:paraId="61959E6A">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_Toc18568 </w:instrText>
          </w:r>
          <w:r>
            <w:fldChar w:fldCharType="separate"/>
          </w:r>
          <w:r>
            <w:t>1</w:t>
          </w:r>
          <w:r>
            <w:rPr>
              <w:rFonts w:hint="eastAsia"/>
              <w:lang w:val="en-US" w:eastAsia="zh-CN"/>
            </w:rPr>
            <w:t>.</w:t>
          </w:r>
          <w:r>
            <w:t>总体</w:t>
          </w:r>
          <w:r>
            <w:rPr>
              <w:rFonts w:hint="eastAsia"/>
              <w:lang w:val="en-US" w:eastAsia="zh-CN"/>
            </w:rPr>
            <w:t>绩效</w:t>
          </w:r>
          <w:r>
            <w:t>目标</w:t>
          </w:r>
          <w:r>
            <w:tab/>
          </w:r>
          <w:r>
            <w:fldChar w:fldCharType="begin"/>
          </w:r>
          <w:r>
            <w:instrText xml:space="preserve"> PAGEREF _Toc18568 \h </w:instrText>
          </w:r>
          <w:r>
            <w:fldChar w:fldCharType="separate"/>
          </w:r>
          <w:r>
            <w:t>- 9 -</w:t>
          </w:r>
          <w:r>
            <w:fldChar w:fldCharType="end"/>
          </w:r>
          <w:r>
            <w:fldChar w:fldCharType="end"/>
          </w:r>
        </w:p>
        <w:p w14:paraId="616B3B08">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_Toc22798 </w:instrText>
          </w:r>
          <w:r>
            <w:fldChar w:fldCharType="separate"/>
          </w:r>
          <w:r>
            <w:t>2</w:t>
          </w:r>
          <w:r>
            <w:rPr>
              <w:rFonts w:hint="eastAsia"/>
              <w:lang w:val="en-US" w:eastAsia="zh-CN"/>
            </w:rPr>
            <w:t>.具体绩效</w:t>
          </w:r>
          <w:r>
            <w:t>目标</w:t>
          </w:r>
          <w:r>
            <w:tab/>
          </w:r>
          <w:r>
            <w:fldChar w:fldCharType="begin"/>
          </w:r>
          <w:r>
            <w:instrText xml:space="preserve"> PAGEREF _Toc22798 \h </w:instrText>
          </w:r>
          <w:r>
            <w:fldChar w:fldCharType="separate"/>
          </w:r>
          <w:r>
            <w:t>- 9 -</w:t>
          </w:r>
          <w:r>
            <w:fldChar w:fldCharType="end"/>
          </w:r>
          <w:r>
            <w:fldChar w:fldCharType="end"/>
          </w:r>
        </w:p>
        <w:p w14:paraId="21BD6F26">
          <w:pPr>
            <w:pStyle w:val="10"/>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_Toc21066 </w:instrText>
          </w:r>
          <w:r>
            <w:fldChar w:fldCharType="separate"/>
          </w:r>
          <w:r>
            <w:t>二、绩效评价工作开展情况</w:t>
          </w:r>
          <w:r>
            <w:tab/>
          </w:r>
          <w:r>
            <w:fldChar w:fldCharType="begin"/>
          </w:r>
          <w:r>
            <w:instrText xml:space="preserve"> PAGEREF _Toc21066 \h </w:instrText>
          </w:r>
          <w:r>
            <w:fldChar w:fldCharType="separate"/>
          </w:r>
          <w:r>
            <w:t>- 10 -</w:t>
          </w:r>
          <w:r>
            <w:fldChar w:fldCharType="end"/>
          </w:r>
          <w:r>
            <w:fldChar w:fldCharType="end"/>
          </w:r>
        </w:p>
        <w:p w14:paraId="16A91A1D">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_Toc30433 </w:instrText>
          </w:r>
          <w:r>
            <w:fldChar w:fldCharType="separate"/>
          </w:r>
          <w:r>
            <w:t>（一）评价目的</w:t>
          </w:r>
          <w:r>
            <w:tab/>
          </w:r>
          <w:r>
            <w:fldChar w:fldCharType="begin"/>
          </w:r>
          <w:r>
            <w:instrText xml:space="preserve"> PAGEREF _Toc30433 \h </w:instrText>
          </w:r>
          <w:r>
            <w:fldChar w:fldCharType="separate"/>
          </w:r>
          <w:r>
            <w:t>- 10 -</w:t>
          </w:r>
          <w:r>
            <w:fldChar w:fldCharType="end"/>
          </w:r>
          <w:r>
            <w:fldChar w:fldCharType="end"/>
          </w:r>
        </w:p>
        <w:p w14:paraId="0B77EA0F">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_Toc26154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评价对象、资金范围及时间段</w:t>
          </w:r>
          <w:r>
            <w:tab/>
          </w:r>
          <w:r>
            <w:fldChar w:fldCharType="begin"/>
          </w:r>
          <w:r>
            <w:instrText xml:space="preserve"> PAGEREF _Toc26154 \h </w:instrText>
          </w:r>
          <w:r>
            <w:fldChar w:fldCharType="separate"/>
          </w:r>
          <w:r>
            <w:t>- 11 -</w:t>
          </w:r>
          <w:r>
            <w:fldChar w:fldCharType="end"/>
          </w:r>
          <w:r>
            <w:fldChar w:fldCharType="end"/>
          </w:r>
        </w:p>
        <w:p w14:paraId="52956892">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_Toc5967 </w:instrText>
          </w:r>
          <w:r>
            <w:fldChar w:fldCharType="separate"/>
          </w:r>
          <w:r>
            <w:t>（</w:t>
          </w:r>
          <w:r>
            <w:rPr>
              <w:rFonts w:hint="eastAsia"/>
              <w:lang w:val="en-US" w:eastAsia="zh-CN"/>
            </w:rPr>
            <w:t>三</w:t>
          </w:r>
          <w:r>
            <w:t>）评价依据</w:t>
          </w:r>
          <w:r>
            <w:tab/>
          </w:r>
          <w:r>
            <w:fldChar w:fldCharType="begin"/>
          </w:r>
          <w:r>
            <w:instrText xml:space="preserve"> PAGEREF _Toc5967 \h </w:instrText>
          </w:r>
          <w:r>
            <w:fldChar w:fldCharType="separate"/>
          </w:r>
          <w:r>
            <w:t>- 11 -</w:t>
          </w:r>
          <w:r>
            <w:fldChar w:fldCharType="end"/>
          </w:r>
          <w:r>
            <w:fldChar w:fldCharType="end"/>
          </w:r>
        </w:p>
        <w:p w14:paraId="74E8779E">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_Toc1102 </w:instrText>
          </w:r>
          <w:r>
            <w:fldChar w:fldCharType="separate"/>
          </w:r>
          <w:r>
            <w:t>（</w:t>
          </w:r>
          <w:r>
            <w:rPr>
              <w:rFonts w:hint="eastAsia"/>
              <w:lang w:val="en-US" w:eastAsia="zh-CN"/>
            </w:rPr>
            <w:t>四</w:t>
          </w:r>
          <w:r>
            <w:t>）评价的原则</w:t>
          </w:r>
          <w:r>
            <w:rPr>
              <w:rFonts w:hint="eastAsia"/>
              <w:lang w:eastAsia="zh-CN"/>
            </w:rPr>
            <w:t>、</w:t>
          </w:r>
          <w:r>
            <w:t>方法</w:t>
          </w:r>
          <w:r>
            <w:rPr>
              <w:rFonts w:hint="eastAsia"/>
              <w:lang w:val="en-US" w:eastAsia="zh-CN"/>
            </w:rPr>
            <w:t>和标准</w:t>
          </w:r>
          <w:r>
            <w:tab/>
          </w:r>
          <w:r>
            <w:fldChar w:fldCharType="begin"/>
          </w:r>
          <w:r>
            <w:instrText xml:space="preserve"> PAGEREF _Toc1102 \h </w:instrText>
          </w:r>
          <w:r>
            <w:fldChar w:fldCharType="separate"/>
          </w:r>
          <w:r>
            <w:t>- 13 -</w:t>
          </w:r>
          <w:r>
            <w:fldChar w:fldCharType="end"/>
          </w:r>
          <w:r>
            <w:fldChar w:fldCharType="end"/>
          </w:r>
        </w:p>
        <w:p w14:paraId="44D1B7D0">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_Toc951 </w:instrText>
          </w:r>
          <w:r>
            <w:fldChar w:fldCharType="separate"/>
          </w:r>
          <w:r>
            <w:rPr>
              <w:rFonts w:hint="eastAsia"/>
            </w:rPr>
            <w:t>1.绩效评价原则</w:t>
          </w:r>
          <w:r>
            <w:tab/>
          </w:r>
          <w:r>
            <w:fldChar w:fldCharType="begin"/>
          </w:r>
          <w:r>
            <w:instrText xml:space="preserve"> PAGEREF _Toc951 \h </w:instrText>
          </w:r>
          <w:r>
            <w:fldChar w:fldCharType="separate"/>
          </w:r>
          <w:r>
            <w:t>- 13 -</w:t>
          </w:r>
          <w:r>
            <w:fldChar w:fldCharType="end"/>
          </w:r>
          <w:r>
            <w:fldChar w:fldCharType="end"/>
          </w:r>
        </w:p>
        <w:p w14:paraId="5953C112">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_Toc6973 </w:instrText>
          </w:r>
          <w:r>
            <w:fldChar w:fldCharType="separate"/>
          </w:r>
          <w:r>
            <w:rPr>
              <w:rFonts w:hint="eastAsia"/>
            </w:rPr>
            <w:t>2.绩效评价方法</w:t>
          </w:r>
          <w:r>
            <w:tab/>
          </w:r>
          <w:r>
            <w:fldChar w:fldCharType="begin"/>
          </w:r>
          <w:r>
            <w:instrText xml:space="preserve"> PAGEREF _Toc6973 \h </w:instrText>
          </w:r>
          <w:r>
            <w:fldChar w:fldCharType="separate"/>
          </w:r>
          <w:r>
            <w:t>- 13 -</w:t>
          </w:r>
          <w:r>
            <w:fldChar w:fldCharType="end"/>
          </w:r>
          <w:r>
            <w:fldChar w:fldCharType="end"/>
          </w:r>
        </w:p>
        <w:p w14:paraId="1AD0F4CE">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_Toc6300 </w:instrText>
          </w:r>
          <w:r>
            <w:fldChar w:fldCharType="separate"/>
          </w:r>
          <w:r>
            <w:rPr>
              <w:rFonts w:hint="eastAsia"/>
            </w:rPr>
            <w:t>3.绩效评价标准</w:t>
          </w:r>
          <w:r>
            <w:tab/>
          </w:r>
          <w:r>
            <w:fldChar w:fldCharType="begin"/>
          </w:r>
          <w:r>
            <w:instrText xml:space="preserve"> PAGEREF _Toc6300 \h </w:instrText>
          </w:r>
          <w:r>
            <w:fldChar w:fldCharType="separate"/>
          </w:r>
          <w:r>
            <w:t>- 14 -</w:t>
          </w:r>
          <w:r>
            <w:fldChar w:fldCharType="end"/>
          </w:r>
          <w:r>
            <w:fldChar w:fldCharType="end"/>
          </w:r>
        </w:p>
        <w:p w14:paraId="3C18FF29">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_Toc1307 </w:instrText>
          </w:r>
          <w:r>
            <w:fldChar w:fldCharType="separate"/>
          </w:r>
          <w:r>
            <w:rPr>
              <w:rFonts w:hint="eastAsia"/>
              <w:lang w:eastAsia="zh-CN"/>
            </w:rPr>
            <w:t>（</w:t>
          </w:r>
          <w:r>
            <w:rPr>
              <w:rFonts w:hint="eastAsia"/>
              <w:lang w:val="en-US" w:eastAsia="zh-CN"/>
            </w:rPr>
            <w:t>五</w:t>
          </w:r>
          <w:r>
            <w:rPr>
              <w:rFonts w:hint="eastAsia"/>
              <w:lang w:eastAsia="zh-CN"/>
            </w:rPr>
            <w:t>）</w:t>
          </w:r>
          <w:r>
            <w:rPr>
              <w:rFonts w:hint="eastAsia"/>
            </w:rPr>
            <w:t>绩效评价</w:t>
          </w:r>
          <w:r>
            <w:t>指标体系</w:t>
          </w:r>
          <w:r>
            <w:tab/>
          </w:r>
          <w:r>
            <w:fldChar w:fldCharType="begin"/>
          </w:r>
          <w:r>
            <w:instrText xml:space="preserve"> PAGEREF _Toc1307 \h </w:instrText>
          </w:r>
          <w:r>
            <w:fldChar w:fldCharType="separate"/>
          </w:r>
          <w:r>
            <w:t>- 14 -</w:t>
          </w:r>
          <w:r>
            <w:fldChar w:fldCharType="end"/>
          </w:r>
          <w:r>
            <w:fldChar w:fldCharType="end"/>
          </w:r>
        </w:p>
        <w:p w14:paraId="778E2BFF">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_Toc16505 </w:instrText>
          </w:r>
          <w:r>
            <w:fldChar w:fldCharType="separate"/>
          </w:r>
          <w:r>
            <w:rPr>
              <w:rFonts w:hint="eastAsia"/>
              <w:lang w:val="en-US" w:eastAsia="zh-CN"/>
            </w:rPr>
            <w:t>1.</w:t>
          </w:r>
          <w:r>
            <w:t>评价指标设计的总体思路</w:t>
          </w:r>
          <w:r>
            <w:tab/>
          </w:r>
          <w:r>
            <w:fldChar w:fldCharType="begin"/>
          </w:r>
          <w:r>
            <w:instrText xml:space="preserve"> PAGEREF _Toc16505 \h </w:instrText>
          </w:r>
          <w:r>
            <w:fldChar w:fldCharType="separate"/>
          </w:r>
          <w:r>
            <w:t>- 14 -</w:t>
          </w:r>
          <w:r>
            <w:fldChar w:fldCharType="end"/>
          </w:r>
          <w:r>
            <w:fldChar w:fldCharType="end"/>
          </w:r>
        </w:p>
        <w:p w14:paraId="7BAA53B7">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_Toc16316 </w:instrText>
          </w:r>
          <w:r>
            <w:fldChar w:fldCharType="separate"/>
          </w:r>
          <w:r>
            <w:rPr>
              <w:rFonts w:hint="eastAsia"/>
              <w:lang w:val="en-US" w:eastAsia="zh-CN"/>
            </w:rPr>
            <w:t>2.</w:t>
          </w:r>
          <w:r>
            <w:t>评价指标</w:t>
          </w:r>
          <w:r>
            <w:tab/>
          </w:r>
          <w:r>
            <w:fldChar w:fldCharType="begin"/>
          </w:r>
          <w:r>
            <w:instrText xml:space="preserve"> PAGEREF _Toc16316 \h </w:instrText>
          </w:r>
          <w:r>
            <w:fldChar w:fldCharType="separate"/>
          </w:r>
          <w:r>
            <w:t>- 15 -</w:t>
          </w:r>
          <w:r>
            <w:fldChar w:fldCharType="end"/>
          </w:r>
          <w:r>
            <w:fldChar w:fldCharType="end"/>
          </w:r>
        </w:p>
        <w:p w14:paraId="30BA8A7C">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_Toc21007 </w:instrText>
          </w:r>
          <w:r>
            <w:fldChar w:fldCharType="separate"/>
          </w:r>
          <w:r>
            <w:rPr>
              <w:rFonts w:hint="eastAsia"/>
              <w:lang w:val="en-US" w:eastAsia="zh-CN"/>
            </w:rPr>
            <w:t>3.评价结果的确定</w:t>
          </w:r>
          <w:r>
            <w:tab/>
          </w:r>
          <w:r>
            <w:fldChar w:fldCharType="begin"/>
          </w:r>
          <w:r>
            <w:instrText xml:space="preserve"> PAGEREF _Toc21007 \h </w:instrText>
          </w:r>
          <w:r>
            <w:fldChar w:fldCharType="separate"/>
          </w:r>
          <w:r>
            <w:t>- 17 -</w:t>
          </w:r>
          <w:r>
            <w:fldChar w:fldCharType="end"/>
          </w:r>
          <w:r>
            <w:fldChar w:fldCharType="end"/>
          </w:r>
        </w:p>
        <w:p w14:paraId="3CB75BA4">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_Toc15917 </w:instrText>
          </w:r>
          <w:r>
            <w:fldChar w:fldCharType="separate"/>
          </w:r>
          <w:r>
            <w:rPr>
              <w:rFonts w:hint="eastAsia"/>
              <w:lang w:val="en-US" w:eastAsia="zh-CN"/>
            </w:rPr>
            <w:t>（六）评价工作过程</w:t>
          </w:r>
          <w:r>
            <w:tab/>
          </w:r>
          <w:r>
            <w:fldChar w:fldCharType="begin"/>
          </w:r>
          <w:r>
            <w:instrText xml:space="preserve"> PAGEREF _Toc15917 \h </w:instrText>
          </w:r>
          <w:r>
            <w:fldChar w:fldCharType="separate"/>
          </w:r>
          <w:r>
            <w:t>- 18 -</w:t>
          </w:r>
          <w:r>
            <w:fldChar w:fldCharType="end"/>
          </w:r>
          <w:r>
            <w:fldChar w:fldCharType="end"/>
          </w:r>
        </w:p>
        <w:p w14:paraId="3DF5535E">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_Toc22082 </w:instrText>
          </w:r>
          <w:r>
            <w:fldChar w:fldCharType="separate"/>
          </w:r>
          <w:r>
            <w:rPr>
              <w:rFonts w:hint="eastAsia"/>
              <w:lang w:val="en-US" w:eastAsia="zh-CN"/>
            </w:rPr>
            <w:t>1.评价工作安排</w:t>
          </w:r>
          <w:r>
            <w:tab/>
          </w:r>
          <w:r>
            <w:fldChar w:fldCharType="begin"/>
          </w:r>
          <w:r>
            <w:instrText xml:space="preserve"> PAGEREF _Toc22082 \h </w:instrText>
          </w:r>
          <w:r>
            <w:fldChar w:fldCharType="separate"/>
          </w:r>
          <w:r>
            <w:t>- 18 -</w:t>
          </w:r>
          <w:r>
            <w:fldChar w:fldCharType="end"/>
          </w:r>
          <w:r>
            <w:fldChar w:fldCharType="end"/>
          </w:r>
        </w:p>
        <w:p w14:paraId="7F7E0484">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_Toc26534 </w:instrText>
          </w:r>
          <w:r>
            <w:fldChar w:fldCharType="separate"/>
          </w:r>
          <w:r>
            <w:rPr>
              <w:rFonts w:hint="eastAsia" w:ascii="宋体" w:hAnsi="宋体" w:eastAsia="宋体" w:cs="宋体"/>
              <w:szCs w:val="28"/>
              <w:lang w:val="en-US" w:eastAsia="zh-CN"/>
            </w:rPr>
            <w:t>2.</w:t>
          </w:r>
          <w:r>
            <w:rPr>
              <w:rFonts w:hint="eastAsia"/>
              <w:highlight w:val="none"/>
              <w:lang w:val="en-US" w:eastAsia="zh-CN"/>
            </w:rPr>
            <w:t>现场评价过程</w:t>
          </w:r>
          <w:r>
            <w:tab/>
          </w:r>
          <w:r>
            <w:fldChar w:fldCharType="begin"/>
          </w:r>
          <w:r>
            <w:instrText xml:space="preserve"> PAGEREF _Toc26534 \h </w:instrText>
          </w:r>
          <w:r>
            <w:fldChar w:fldCharType="separate"/>
          </w:r>
          <w:r>
            <w:t>- 19 -</w:t>
          </w:r>
          <w:r>
            <w:fldChar w:fldCharType="end"/>
          </w:r>
          <w:r>
            <w:fldChar w:fldCharType="end"/>
          </w:r>
        </w:p>
        <w:p w14:paraId="0C9A7E28">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_Toc20749 </w:instrText>
          </w:r>
          <w:r>
            <w:fldChar w:fldCharType="separate"/>
          </w:r>
          <w:r>
            <w:rPr>
              <w:rFonts w:hint="eastAsia"/>
              <w:highlight w:val="none"/>
              <w:lang w:val="en-US" w:eastAsia="zh-CN"/>
            </w:rPr>
            <w:t>3.</w:t>
          </w:r>
          <w:r>
            <w:rPr>
              <w:highlight w:val="none"/>
            </w:rPr>
            <w:t>评价</w:t>
          </w:r>
          <w:r>
            <w:rPr>
              <w:rFonts w:hint="eastAsia"/>
              <w:highlight w:val="none"/>
              <w:lang w:val="en-US" w:eastAsia="zh-CN"/>
            </w:rPr>
            <w:t>小组人员</w:t>
          </w:r>
          <w:r>
            <w:rPr>
              <w:highlight w:val="none"/>
            </w:rPr>
            <w:t>安排</w:t>
          </w:r>
          <w:r>
            <w:tab/>
          </w:r>
          <w:r>
            <w:fldChar w:fldCharType="begin"/>
          </w:r>
          <w:r>
            <w:instrText xml:space="preserve"> PAGEREF _Toc20749 \h </w:instrText>
          </w:r>
          <w:r>
            <w:fldChar w:fldCharType="separate"/>
          </w:r>
          <w:r>
            <w:t>- 26 -</w:t>
          </w:r>
          <w:r>
            <w:fldChar w:fldCharType="end"/>
          </w:r>
          <w:r>
            <w:fldChar w:fldCharType="end"/>
          </w:r>
        </w:p>
        <w:p w14:paraId="29970889">
          <w:pPr>
            <w:pStyle w:val="10"/>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_Toc18268 </w:instrText>
          </w:r>
          <w:r>
            <w:fldChar w:fldCharType="separate"/>
          </w:r>
          <w:r>
            <w:t>三、综合评价情况及评价结论</w:t>
          </w:r>
          <w:r>
            <w:tab/>
          </w:r>
          <w:r>
            <w:fldChar w:fldCharType="begin"/>
          </w:r>
          <w:r>
            <w:instrText xml:space="preserve"> PAGEREF _Toc18268 \h </w:instrText>
          </w:r>
          <w:r>
            <w:fldChar w:fldCharType="separate"/>
          </w:r>
          <w:r>
            <w:t>- 28 -</w:t>
          </w:r>
          <w:r>
            <w:fldChar w:fldCharType="end"/>
          </w:r>
          <w:r>
            <w:fldChar w:fldCharType="end"/>
          </w:r>
        </w:p>
        <w:p w14:paraId="3B988B80">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_Toc2459 </w:instrText>
          </w:r>
          <w:r>
            <w:fldChar w:fldCharType="separate"/>
          </w:r>
          <w:r>
            <w:rPr>
              <w:highlight w:val="none"/>
            </w:rPr>
            <w:t>（一）总体评价得分</w:t>
          </w:r>
          <w:r>
            <w:tab/>
          </w:r>
          <w:r>
            <w:fldChar w:fldCharType="begin"/>
          </w:r>
          <w:r>
            <w:instrText xml:space="preserve"> PAGEREF _Toc2459 \h </w:instrText>
          </w:r>
          <w:r>
            <w:fldChar w:fldCharType="separate"/>
          </w:r>
          <w:r>
            <w:t>- 28 -</w:t>
          </w:r>
          <w:r>
            <w:fldChar w:fldCharType="end"/>
          </w:r>
          <w:r>
            <w:fldChar w:fldCharType="end"/>
          </w:r>
        </w:p>
        <w:p w14:paraId="10A23454">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_Toc15562 </w:instrText>
          </w:r>
          <w:r>
            <w:fldChar w:fldCharType="separate"/>
          </w:r>
          <w:r>
            <w:rPr>
              <w:highlight w:val="none"/>
            </w:rPr>
            <w:t>（二）综合评价结论</w:t>
          </w:r>
          <w:r>
            <w:tab/>
          </w:r>
          <w:r>
            <w:fldChar w:fldCharType="begin"/>
          </w:r>
          <w:r>
            <w:instrText xml:space="preserve"> PAGEREF _Toc15562 \h </w:instrText>
          </w:r>
          <w:r>
            <w:fldChar w:fldCharType="separate"/>
          </w:r>
          <w:r>
            <w:t>- 28 -</w:t>
          </w:r>
          <w:r>
            <w:fldChar w:fldCharType="end"/>
          </w:r>
          <w:r>
            <w:fldChar w:fldCharType="end"/>
          </w:r>
        </w:p>
        <w:p w14:paraId="46A263E9">
          <w:pPr>
            <w:pStyle w:val="10"/>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_Toc14630 </w:instrText>
          </w:r>
          <w:r>
            <w:fldChar w:fldCharType="separate"/>
          </w:r>
          <w:r>
            <w:rPr>
              <w:rFonts w:hint="eastAsia"/>
              <w:lang w:val="en-US" w:eastAsia="zh-CN"/>
            </w:rPr>
            <w:t>四</w:t>
          </w:r>
          <w:r>
            <w:t>、取得成效</w:t>
          </w:r>
          <w:r>
            <w:tab/>
          </w:r>
          <w:r>
            <w:fldChar w:fldCharType="begin"/>
          </w:r>
          <w:r>
            <w:instrText xml:space="preserve"> PAGEREF _Toc14630 \h </w:instrText>
          </w:r>
          <w:r>
            <w:fldChar w:fldCharType="separate"/>
          </w:r>
          <w:r>
            <w:t>- 29 -</w:t>
          </w:r>
          <w:r>
            <w:fldChar w:fldCharType="end"/>
          </w:r>
          <w:r>
            <w:fldChar w:fldCharType="end"/>
          </w:r>
        </w:p>
        <w:p w14:paraId="3E288C5C">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_Toc14154 </w:instrText>
          </w:r>
          <w:r>
            <w:fldChar w:fldCharType="separate"/>
          </w:r>
          <w:r>
            <w:rPr>
              <w:rFonts w:hint="eastAsia"/>
              <w:lang w:val="en-US" w:eastAsia="zh-CN"/>
            </w:rPr>
            <w:t>1.保护两岸公共设施，保证人民安居乐业</w:t>
          </w:r>
          <w:r>
            <w:tab/>
          </w:r>
          <w:r>
            <w:fldChar w:fldCharType="begin"/>
          </w:r>
          <w:r>
            <w:instrText xml:space="preserve"> PAGEREF _Toc14154 \h </w:instrText>
          </w:r>
          <w:r>
            <w:fldChar w:fldCharType="separate"/>
          </w:r>
          <w:r>
            <w:t>- 29 -</w:t>
          </w:r>
          <w:r>
            <w:fldChar w:fldCharType="end"/>
          </w:r>
          <w:r>
            <w:fldChar w:fldCharType="end"/>
          </w:r>
        </w:p>
        <w:p w14:paraId="55F97349">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_Toc1129 </w:instrText>
          </w:r>
          <w:r>
            <w:fldChar w:fldCharType="separate"/>
          </w:r>
          <w:r>
            <w:rPr>
              <w:rFonts w:hint="eastAsia"/>
              <w:lang w:val="en-US" w:eastAsia="zh-CN"/>
            </w:rPr>
            <w:t>2.为乡村振兴建设提供保障</w:t>
          </w:r>
          <w:r>
            <w:tab/>
          </w:r>
          <w:r>
            <w:fldChar w:fldCharType="begin"/>
          </w:r>
          <w:r>
            <w:instrText xml:space="preserve"> PAGEREF _Toc1129 \h </w:instrText>
          </w:r>
          <w:r>
            <w:fldChar w:fldCharType="separate"/>
          </w:r>
          <w:r>
            <w:t>- 29 -</w:t>
          </w:r>
          <w:r>
            <w:fldChar w:fldCharType="end"/>
          </w:r>
          <w:r>
            <w:fldChar w:fldCharType="end"/>
          </w:r>
        </w:p>
        <w:p w14:paraId="66FF1AAC">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_Toc8918 </w:instrText>
          </w:r>
          <w:r>
            <w:fldChar w:fldCharType="separate"/>
          </w:r>
          <w:r>
            <w:rPr>
              <w:rFonts w:hint="eastAsia"/>
              <w:lang w:val="en-US" w:eastAsia="zh-CN"/>
            </w:rPr>
            <w:t>3.保障耕地面积</w:t>
          </w:r>
          <w:r>
            <w:tab/>
          </w:r>
          <w:r>
            <w:fldChar w:fldCharType="begin"/>
          </w:r>
          <w:r>
            <w:instrText xml:space="preserve"> PAGEREF _Toc8918 \h </w:instrText>
          </w:r>
          <w:r>
            <w:fldChar w:fldCharType="separate"/>
          </w:r>
          <w:r>
            <w:t>- 29 -</w:t>
          </w:r>
          <w:r>
            <w:fldChar w:fldCharType="end"/>
          </w:r>
          <w:r>
            <w:fldChar w:fldCharType="end"/>
          </w:r>
        </w:p>
        <w:p w14:paraId="66BB7CA7">
          <w:pPr>
            <w:pStyle w:val="10"/>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_Toc24798 </w:instrText>
          </w:r>
          <w:r>
            <w:fldChar w:fldCharType="separate"/>
          </w:r>
          <w:r>
            <w:rPr>
              <w:rFonts w:hint="eastAsia"/>
              <w:lang w:val="en-US" w:eastAsia="zh-CN"/>
            </w:rPr>
            <w:t>五</w:t>
          </w:r>
          <w:r>
            <w:t>、存在问题及下一步改进建议</w:t>
          </w:r>
          <w:r>
            <w:tab/>
          </w:r>
          <w:r>
            <w:fldChar w:fldCharType="begin"/>
          </w:r>
          <w:r>
            <w:instrText xml:space="preserve"> PAGEREF _Toc24798 \h </w:instrText>
          </w:r>
          <w:r>
            <w:fldChar w:fldCharType="separate"/>
          </w:r>
          <w:r>
            <w:t>- 30 -</w:t>
          </w:r>
          <w:r>
            <w:fldChar w:fldCharType="end"/>
          </w:r>
          <w:r>
            <w:fldChar w:fldCharType="end"/>
          </w:r>
        </w:p>
        <w:p w14:paraId="66F87366">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_Toc6857 </w:instrText>
          </w:r>
          <w:r>
            <w:fldChar w:fldCharType="separate"/>
          </w:r>
          <w:r>
            <w:t>（一）存在问题</w:t>
          </w:r>
          <w:r>
            <w:tab/>
          </w:r>
          <w:r>
            <w:fldChar w:fldCharType="begin"/>
          </w:r>
          <w:r>
            <w:instrText xml:space="preserve"> PAGEREF _Toc6857 \h </w:instrText>
          </w:r>
          <w:r>
            <w:fldChar w:fldCharType="separate"/>
          </w:r>
          <w:r>
            <w:t>- 30 -</w:t>
          </w:r>
          <w:r>
            <w:fldChar w:fldCharType="end"/>
          </w:r>
          <w:r>
            <w:fldChar w:fldCharType="end"/>
          </w:r>
        </w:p>
        <w:p w14:paraId="2B07849C">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_Toc4400 </w:instrText>
          </w:r>
          <w:r>
            <w:fldChar w:fldCharType="separate"/>
          </w:r>
          <w:r>
            <w:rPr>
              <w:rFonts w:hint="eastAsia"/>
              <w:lang w:val="en-US" w:eastAsia="zh-CN"/>
            </w:rPr>
            <w:t>1.绩效意识淡薄，相关资料不完善</w:t>
          </w:r>
          <w:r>
            <w:tab/>
          </w:r>
          <w:r>
            <w:fldChar w:fldCharType="begin"/>
          </w:r>
          <w:r>
            <w:instrText xml:space="preserve"> PAGEREF _Toc4400 \h </w:instrText>
          </w:r>
          <w:r>
            <w:fldChar w:fldCharType="separate"/>
          </w:r>
          <w:r>
            <w:t>- 30 -</w:t>
          </w:r>
          <w:r>
            <w:fldChar w:fldCharType="end"/>
          </w:r>
          <w:r>
            <w:fldChar w:fldCharType="end"/>
          </w:r>
        </w:p>
        <w:p w14:paraId="6D326B04">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_Toc240 </w:instrText>
          </w:r>
          <w:r>
            <w:fldChar w:fldCharType="separate"/>
          </w:r>
          <w:r>
            <w:rPr>
              <w:rFonts w:hint="eastAsia"/>
              <w:lang w:val="en-US" w:eastAsia="zh-CN"/>
            </w:rPr>
            <w:t>2.工程决算不及时</w:t>
          </w:r>
          <w:r>
            <w:tab/>
          </w:r>
          <w:r>
            <w:fldChar w:fldCharType="begin"/>
          </w:r>
          <w:r>
            <w:instrText xml:space="preserve"> PAGEREF _Toc240 \h </w:instrText>
          </w:r>
          <w:r>
            <w:fldChar w:fldCharType="separate"/>
          </w:r>
          <w:r>
            <w:t>- 30 -</w:t>
          </w:r>
          <w:r>
            <w:fldChar w:fldCharType="end"/>
          </w:r>
          <w:r>
            <w:fldChar w:fldCharType="end"/>
          </w:r>
        </w:p>
        <w:p w14:paraId="0BD7867C">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_Toc14979 </w:instrText>
          </w:r>
          <w:r>
            <w:fldChar w:fldCharType="separate"/>
          </w:r>
          <w:r>
            <w:rPr>
              <w:rFonts w:hint="eastAsia"/>
              <w:lang w:val="en-US" w:eastAsia="zh-CN"/>
            </w:rPr>
            <w:t>3.资金到位率有待提高</w:t>
          </w:r>
          <w:r>
            <w:tab/>
          </w:r>
          <w:r>
            <w:fldChar w:fldCharType="begin"/>
          </w:r>
          <w:r>
            <w:instrText xml:space="preserve"> PAGEREF _Toc14979 \h </w:instrText>
          </w:r>
          <w:r>
            <w:fldChar w:fldCharType="separate"/>
          </w:r>
          <w:r>
            <w:t>- 30 -</w:t>
          </w:r>
          <w:r>
            <w:fldChar w:fldCharType="end"/>
          </w:r>
          <w:r>
            <w:fldChar w:fldCharType="end"/>
          </w:r>
        </w:p>
        <w:p w14:paraId="6EF9AEA3">
          <w:pPr>
            <w:pStyle w:val="11"/>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_Toc11844 </w:instrText>
          </w:r>
          <w:r>
            <w:fldChar w:fldCharType="separate"/>
          </w:r>
          <w:r>
            <w:t>（二）下一步改进建议</w:t>
          </w:r>
          <w:r>
            <w:tab/>
          </w:r>
          <w:r>
            <w:fldChar w:fldCharType="begin"/>
          </w:r>
          <w:r>
            <w:instrText xml:space="preserve"> PAGEREF _Toc11844 \h </w:instrText>
          </w:r>
          <w:r>
            <w:fldChar w:fldCharType="separate"/>
          </w:r>
          <w:r>
            <w:t>- 30 -</w:t>
          </w:r>
          <w:r>
            <w:fldChar w:fldCharType="end"/>
          </w:r>
          <w:r>
            <w:fldChar w:fldCharType="end"/>
          </w:r>
        </w:p>
        <w:p w14:paraId="446E1475">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_Toc194 </w:instrText>
          </w:r>
          <w:r>
            <w:fldChar w:fldCharType="separate"/>
          </w:r>
          <w:r>
            <w:rPr>
              <w:rFonts w:hint="eastAsia"/>
              <w:lang w:val="en-US" w:eastAsia="zh-CN"/>
            </w:rPr>
            <w:t>1.加强绩效管理意识</w:t>
          </w:r>
          <w:r>
            <w:tab/>
          </w:r>
          <w:r>
            <w:fldChar w:fldCharType="begin"/>
          </w:r>
          <w:r>
            <w:instrText xml:space="preserve"> PAGEREF _Toc194 \h </w:instrText>
          </w:r>
          <w:r>
            <w:fldChar w:fldCharType="separate"/>
          </w:r>
          <w:r>
            <w:t>- 30 -</w:t>
          </w:r>
          <w:r>
            <w:fldChar w:fldCharType="end"/>
          </w:r>
          <w:r>
            <w:fldChar w:fldCharType="end"/>
          </w:r>
        </w:p>
        <w:p w14:paraId="657B5F70">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_Toc4724 </w:instrText>
          </w:r>
          <w:r>
            <w:fldChar w:fldCharType="separate"/>
          </w:r>
          <w:r>
            <w:rPr>
              <w:rFonts w:hint="eastAsia"/>
              <w:lang w:val="en-US" w:eastAsia="zh-CN"/>
            </w:rPr>
            <w:t>2.项目</w:t>
          </w:r>
          <w:r>
            <w:rPr>
              <w:rFonts w:hint="eastAsia"/>
            </w:rPr>
            <w:t>工程及时进行竣工决算</w:t>
          </w:r>
          <w:r>
            <w:rPr>
              <w:rFonts w:hint="eastAsia"/>
              <w:lang w:val="en-US" w:eastAsia="zh-CN"/>
            </w:rPr>
            <w:t>及验收工作</w:t>
          </w:r>
          <w:r>
            <w:tab/>
          </w:r>
          <w:r>
            <w:fldChar w:fldCharType="begin"/>
          </w:r>
          <w:r>
            <w:instrText xml:space="preserve"> PAGEREF _Toc4724 \h </w:instrText>
          </w:r>
          <w:r>
            <w:fldChar w:fldCharType="separate"/>
          </w:r>
          <w:r>
            <w:t>- 31 -</w:t>
          </w:r>
          <w:r>
            <w:fldChar w:fldCharType="end"/>
          </w:r>
          <w:r>
            <w:fldChar w:fldCharType="end"/>
          </w:r>
        </w:p>
        <w:p w14:paraId="28693BE6">
          <w:pPr>
            <w:pStyle w:val="7"/>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_Toc19087 </w:instrText>
          </w:r>
          <w:r>
            <w:fldChar w:fldCharType="separate"/>
          </w:r>
          <w:r>
            <w:rPr>
              <w:rFonts w:hint="eastAsia"/>
              <w:lang w:val="en-US" w:eastAsia="zh-CN"/>
            </w:rPr>
            <w:t>3.加强项目预算执行效率</w:t>
          </w:r>
          <w:r>
            <w:tab/>
          </w:r>
          <w:r>
            <w:fldChar w:fldCharType="begin"/>
          </w:r>
          <w:r>
            <w:instrText xml:space="preserve"> PAGEREF _Toc19087 \h </w:instrText>
          </w:r>
          <w:r>
            <w:fldChar w:fldCharType="separate"/>
          </w:r>
          <w:r>
            <w:t>- 31 -</w:t>
          </w:r>
          <w:r>
            <w:fldChar w:fldCharType="end"/>
          </w:r>
          <w:r>
            <w:fldChar w:fldCharType="end"/>
          </w:r>
        </w:p>
        <w:p w14:paraId="61FDA133">
          <w:pPr>
            <w:pStyle w:val="10"/>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_Toc154 </w:instrText>
          </w:r>
          <w:r>
            <w:fldChar w:fldCharType="separate"/>
          </w:r>
          <w:r>
            <w:rPr>
              <w:rFonts w:hint="eastAsia"/>
              <w:lang w:val="en-US" w:eastAsia="zh-CN"/>
            </w:rPr>
            <w:t>六、其他需要说明的问题</w:t>
          </w:r>
          <w:r>
            <w:tab/>
          </w:r>
          <w:r>
            <w:fldChar w:fldCharType="begin"/>
          </w:r>
          <w:r>
            <w:instrText xml:space="preserve"> PAGEREF _Toc154 \h </w:instrText>
          </w:r>
          <w:r>
            <w:fldChar w:fldCharType="separate"/>
          </w:r>
          <w:r>
            <w:t>- 31 -</w:t>
          </w:r>
          <w:r>
            <w:fldChar w:fldCharType="end"/>
          </w:r>
          <w:r>
            <w:fldChar w:fldCharType="end"/>
          </w:r>
        </w:p>
        <w:p w14:paraId="77F1E114">
          <w:pPr>
            <w:pStyle w:val="10"/>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_Toc4495 </w:instrText>
          </w:r>
          <w:r>
            <w:fldChar w:fldCharType="separate"/>
          </w:r>
          <w:r>
            <w:t>附件一</w:t>
          </w:r>
          <w:r>
            <w:rPr>
              <w:rFonts w:hint="eastAsia"/>
              <w:lang w:val="en-US" w:eastAsia="zh-CN"/>
            </w:rPr>
            <w:t xml:space="preserve"> </w:t>
          </w:r>
          <w:r>
            <w:t>指标体系综合评分表</w:t>
          </w:r>
          <w:r>
            <w:tab/>
          </w:r>
          <w:r>
            <w:fldChar w:fldCharType="begin"/>
          </w:r>
          <w:r>
            <w:instrText xml:space="preserve"> PAGEREF _Toc4495 \h </w:instrText>
          </w:r>
          <w:r>
            <w:fldChar w:fldCharType="separate"/>
          </w:r>
          <w:r>
            <w:t>- 33 -</w:t>
          </w:r>
          <w:r>
            <w:fldChar w:fldCharType="end"/>
          </w:r>
          <w:r>
            <w:fldChar w:fldCharType="end"/>
          </w:r>
        </w:p>
        <w:p w14:paraId="639375D2">
          <w:pPr>
            <w:pStyle w:val="10"/>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_Toc6877 </w:instrText>
          </w:r>
          <w:r>
            <w:fldChar w:fldCharType="separate"/>
          </w:r>
          <w:r>
            <w:t>附件二 满意度分析报告</w:t>
          </w:r>
          <w:r>
            <w:tab/>
          </w:r>
          <w:r>
            <w:fldChar w:fldCharType="begin"/>
          </w:r>
          <w:r>
            <w:instrText xml:space="preserve"> PAGEREF _Toc6877 \h </w:instrText>
          </w:r>
          <w:r>
            <w:fldChar w:fldCharType="separate"/>
          </w:r>
          <w:r>
            <w:t>- 44 -</w:t>
          </w:r>
          <w:r>
            <w:fldChar w:fldCharType="end"/>
          </w:r>
          <w:r>
            <w:fldChar w:fldCharType="end"/>
          </w:r>
        </w:p>
        <w:p w14:paraId="7FA2CF61">
          <w:pPr>
            <w:pStyle w:val="10"/>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_Toc2592 </w:instrText>
          </w:r>
          <w:r>
            <w:fldChar w:fldCharType="separate"/>
          </w:r>
          <w:r>
            <w:t>附件三 访谈报告</w:t>
          </w:r>
          <w:r>
            <w:tab/>
          </w:r>
          <w:r>
            <w:fldChar w:fldCharType="begin"/>
          </w:r>
          <w:r>
            <w:instrText xml:space="preserve"> PAGEREF _Toc2592 \h </w:instrText>
          </w:r>
          <w:r>
            <w:fldChar w:fldCharType="separate"/>
          </w:r>
          <w:r>
            <w:t>- 46 -</w:t>
          </w:r>
          <w:r>
            <w:fldChar w:fldCharType="end"/>
          </w:r>
          <w:r>
            <w:fldChar w:fldCharType="end"/>
          </w:r>
        </w:p>
        <w:p w14:paraId="1993AE79">
          <w:pPr>
            <w:pStyle w:val="10"/>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pPr>
          <w:r>
            <w:fldChar w:fldCharType="begin"/>
          </w:r>
          <w:r>
            <w:instrText xml:space="preserve"> HYPERLINK \l _Toc7108 </w:instrText>
          </w:r>
          <w:r>
            <w:fldChar w:fldCharType="separate"/>
          </w:r>
          <w:r>
            <w:rPr>
              <w:highlight w:val="none"/>
            </w:rPr>
            <w:t>附件</w:t>
          </w:r>
          <w:r>
            <w:rPr>
              <w:rFonts w:hint="eastAsia"/>
              <w:highlight w:val="none"/>
              <w:lang w:val="en-US" w:eastAsia="zh-CN"/>
            </w:rPr>
            <w:t>四</w:t>
          </w:r>
          <w:r>
            <w:rPr>
              <w:highlight w:val="none"/>
            </w:rPr>
            <w:t xml:space="preserve"> </w:t>
          </w:r>
          <w:r>
            <w:rPr>
              <w:rFonts w:hint="eastAsia"/>
              <w:highlight w:val="none"/>
              <w:lang w:val="en-US" w:eastAsia="zh-CN"/>
            </w:rPr>
            <w:t>评价小组成员资质证书</w:t>
          </w:r>
          <w:r>
            <w:tab/>
          </w:r>
          <w:r>
            <w:fldChar w:fldCharType="begin"/>
          </w:r>
          <w:r>
            <w:instrText xml:space="preserve"> PAGEREF _Toc7108 \h </w:instrText>
          </w:r>
          <w:r>
            <w:fldChar w:fldCharType="separate"/>
          </w:r>
          <w:r>
            <w:t>- 47 -</w:t>
          </w:r>
          <w:r>
            <w:fldChar w:fldCharType="end"/>
          </w:r>
          <w:r>
            <w:fldChar w:fldCharType="end"/>
          </w:r>
        </w:p>
        <w:p w14:paraId="5C9DBC98">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bCs/>
              <w:sz w:val="36"/>
              <w:szCs w:val="36"/>
            </w:rPr>
            <w:sectPr>
              <w:headerReference r:id="rId5" w:type="default"/>
              <w:footerReference r:id="rId6" w:type="default"/>
              <w:pgSz w:w="12130" w:h="17000"/>
              <w:pgMar w:top="1445" w:right="1695" w:bottom="1562" w:left="1650" w:header="0" w:footer="1304" w:gutter="0"/>
              <w:pgNumType w:fmt="numberInDash" w:start="1"/>
              <w:cols w:space="720" w:num="1"/>
            </w:sectPr>
          </w:pPr>
          <w:r>
            <w:fldChar w:fldCharType="end"/>
          </w:r>
          <w:bookmarkEnd w:id="1"/>
        </w:p>
      </w:sdtContent>
    </w:sdt>
    <w:p w14:paraId="0964F147">
      <w:pPr>
        <w:bidi w:val="0"/>
        <w:ind w:left="0" w:leftChars="0" w:firstLine="0" w:firstLineChars="0"/>
        <w:jc w:val="center"/>
        <w:rPr>
          <w:rFonts w:hint="eastAsia"/>
          <w:b/>
          <w:bCs/>
          <w:sz w:val="36"/>
          <w:szCs w:val="36"/>
        </w:rPr>
      </w:pPr>
      <w:bookmarkStart w:id="2" w:name="_Toc24263"/>
      <w:r>
        <w:rPr>
          <w:rFonts w:hint="eastAsia"/>
          <w:b/>
          <w:bCs/>
          <w:sz w:val="36"/>
          <w:szCs w:val="36"/>
        </w:rPr>
        <w:t>三门峡市陕州区青龙涧河涧里村至杨家河村段</w:t>
      </w:r>
    </w:p>
    <w:p w14:paraId="21EBFFAE">
      <w:pPr>
        <w:bidi w:val="0"/>
        <w:ind w:left="0" w:leftChars="0" w:firstLine="0" w:firstLineChars="0"/>
        <w:jc w:val="center"/>
        <w:rPr>
          <w:rFonts w:hint="eastAsia"/>
          <w:b/>
          <w:bCs/>
          <w:sz w:val="36"/>
          <w:szCs w:val="36"/>
        </w:rPr>
      </w:pPr>
      <w:r>
        <w:rPr>
          <w:rFonts w:hint="eastAsia"/>
          <w:b/>
          <w:bCs/>
          <w:sz w:val="36"/>
          <w:szCs w:val="36"/>
        </w:rPr>
        <w:t>河道治理工程项目绩效评价报告</w:t>
      </w:r>
    </w:p>
    <w:p w14:paraId="69648C97">
      <w:pPr>
        <w:ind w:left="0" w:leftChars="0" w:firstLine="0" w:firstLineChars="0"/>
      </w:pPr>
    </w:p>
    <w:p w14:paraId="3124EC2C">
      <w:pPr>
        <w:pStyle w:val="2"/>
        <w:bidi w:val="0"/>
        <w:rPr>
          <w:rFonts w:hint="eastAsia"/>
          <w:lang w:val="en-US" w:eastAsia="zh-CN"/>
        </w:rPr>
      </w:pPr>
      <w:bookmarkStart w:id="3" w:name="_Toc28493"/>
      <w:r>
        <w:t>一、</w:t>
      </w:r>
      <w:bookmarkEnd w:id="2"/>
      <w:r>
        <w:rPr>
          <w:rFonts w:hint="eastAsia"/>
          <w:lang w:val="en-US" w:eastAsia="zh-CN"/>
        </w:rPr>
        <w:t>概述</w:t>
      </w:r>
      <w:bookmarkEnd w:id="3"/>
    </w:p>
    <w:p w14:paraId="379FEEEE">
      <w:pPr>
        <w:pStyle w:val="3"/>
        <w:bidi w:val="0"/>
      </w:pPr>
      <w:bookmarkStart w:id="4" w:name="_Toc9270"/>
      <w:bookmarkStart w:id="5" w:name="_Toc24535"/>
      <w:r>
        <w:t>（一）项目概况</w:t>
      </w:r>
      <w:bookmarkEnd w:id="4"/>
      <w:bookmarkEnd w:id="5"/>
    </w:p>
    <w:p w14:paraId="3D64BDFC">
      <w:pPr>
        <w:pStyle w:val="4"/>
        <w:bidi w:val="0"/>
        <w:rPr>
          <w:highlight w:val="none"/>
        </w:rPr>
      </w:pPr>
      <w:bookmarkStart w:id="6" w:name="_Toc28136"/>
      <w:bookmarkStart w:id="7" w:name="_Toc244"/>
      <w:r>
        <w:rPr>
          <w:highlight w:val="none"/>
        </w:rPr>
        <w:t>1</w:t>
      </w:r>
      <w:r>
        <w:rPr>
          <w:rFonts w:hint="eastAsia"/>
          <w:highlight w:val="none"/>
          <w:lang w:val="en-US" w:eastAsia="zh-CN"/>
        </w:rPr>
        <w:t>.</w:t>
      </w:r>
      <w:r>
        <w:rPr>
          <w:highlight w:val="none"/>
        </w:rPr>
        <w:t>项目背景</w:t>
      </w:r>
      <w:bookmarkEnd w:id="6"/>
      <w:bookmarkEnd w:id="7"/>
    </w:p>
    <w:p w14:paraId="72E269CE">
      <w:pPr>
        <w:bidi w:val="0"/>
        <w:rPr>
          <w:rFonts w:hint="eastAsia"/>
          <w:highlight w:val="none"/>
          <w:lang w:val="en-US" w:eastAsia="zh-CN"/>
        </w:rPr>
      </w:pPr>
      <w:bookmarkStart w:id="8" w:name="_Toc19719"/>
      <w:r>
        <w:rPr>
          <w:rFonts w:hint="eastAsia"/>
          <w:highlight w:val="none"/>
          <w:lang w:val="en-US" w:eastAsia="zh-CN"/>
        </w:rPr>
        <w:t>青龙涧河属黄河一级支流，发源于河南省三门峡市陕州区店子乡杨家河村，地理坐标为东经111°01’～111°44’，北纬34°24’～34°51’，总流经三门峡市陕州区、湖滨区（陕州区店子乡、西张村镇、店子乡；湖滨区交口乡、崖底街道），于三门峡市湖滨区崖底街道向阳村入黄河，河道全长44km（其中陕州区分县河长26.51km，湖滨区分县河长20.19km），总流域面积511km2，河流平均比降12.2‰，多年平均降水量620.0mm，多年平均径流深101.7mm。</w:t>
      </w:r>
    </w:p>
    <w:p w14:paraId="446927AC">
      <w:pPr>
        <w:bidi w:val="0"/>
        <w:rPr>
          <w:rFonts w:hint="eastAsia"/>
          <w:highlight w:val="none"/>
          <w:lang w:val="en-US" w:eastAsia="zh-CN"/>
        </w:rPr>
      </w:pPr>
      <w:r>
        <w:rPr>
          <w:rFonts w:hint="eastAsia"/>
          <w:highlight w:val="none"/>
          <w:lang w:val="en-US" w:eastAsia="zh-CN"/>
        </w:rPr>
        <w:t>青龙涧河流域内洪水主要由暴雨形成，其洪水径流特性与暴雨特性和流域地形特征紧密相关，洪水汇流迅速，峰高势猛，陡涨陡落，历时短。目前治理段河道现状处于不设防状态，洪水灾害频繁，威胁两岸群众的生命财产安全。</w:t>
      </w:r>
    </w:p>
    <w:p w14:paraId="509A84A8">
      <w:pPr>
        <w:bidi w:val="0"/>
        <w:rPr>
          <w:rFonts w:hint="eastAsia"/>
          <w:highlight w:val="none"/>
          <w:lang w:val="en-US" w:eastAsia="zh-CN"/>
        </w:rPr>
      </w:pPr>
      <w:r>
        <w:rPr>
          <w:rFonts w:hint="eastAsia"/>
          <w:highlight w:val="none"/>
          <w:lang w:val="en-US" w:eastAsia="zh-CN"/>
        </w:rPr>
        <w:t>陕州区水利局根据《河南省水利厅、财政厅关于进一步做好中小河流治理项目前期工作的通知》（豫水计</w:t>
      </w:r>
      <w:r>
        <w:rPr>
          <w:highlight w:val="none"/>
        </w:rPr>
        <w:t>〔20</w:t>
      </w:r>
      <w:r>
        <w:rPr>
          <w:rFonts w:hint="eastAsia"/>
          <w:highlight w:val="none"/>
          <w:lang w:val="en-US" w:eastAsia="zh-CN"/>
        </w:rPr>
        <w:t>16</w:t>
      </w:r>
      <w:r>
        <w:rPr>
          <w:highlight w:val="none"/>
        </w:rPr>
        <w:t>〕</w:t>
      </w:r>
      <w:r>
        <w:rPr>
          <w:rFonts w:hint="eastAsia"/>
          <w:highlight w:val="none"/>
          <w:lang w:val="en-US" w:eastAsia="zh-CN"/>
        </w:rPr>
        <w:t>71</w:t>
      </w:r>
      <w:r>
        <w:rPr>
          <w:highlight w:val="none"/>
        </w:rPr>
        <w:t>号</w:t>
      </w:r>
      <w:r>
        <w:rPr>
          <w:rFonts w:hint="eastAsia"/>
          <w:highlight w:val="none"/>
          <w:lang w:val="en-US" w:eastAsia="zh-CN"/>
        </w:rPr>
        <w:t>）文件的相关要求，聘请郑州大学综合设计研究院有限公司涉及此项工程的设计方案，报请三门峡市水利局批复，三门峡是水利局根据初步设计专家审查意见及工程概算审查评审结论（三财评审</w:t>
      </w:r>
      <w:r>
        <w:rPr>
          <w:highlight w:val="none"/>
        </w:rPr>
        <w:t>〔20</w:t>
      </w:r>
      <w:r>
        <w:rPr>
          <w:rFonts w:hint="eastAsia"/>
          <w:highlight w:val="none"/>
          <w:lang w:val="en-US" w:eastAsia="zh-CN"/>
        </w:rPr>
        <w:t>22</w:t>
      </w:r>
      <w:r>
        <w:rPr>
          <w:highlight w:val="none"/>
        </w:rPr>
        <w:t>〕</w:t>
      </w:r>
      <w:r>
        <w:rPr>
          <w:rFonts w:hint="eastAsia"/>
          <w:highlight w:val="none"/>
          <w:lang w:val="en-US" w:eastAsia="zh-CN"/>
        </w:rPr>
        <w:t>16</w:t>
      </w:r>
      <w:r>
        <w:rPr>
          <w:highlight w:val="none"/>
        </w:rPr>
        <w:t>号</w:t>
      </w:r>
      <w:r>
        <w:rPr>
          <w:rFonts w:hint="eastAsia"/>
          <w:highlight w:val="none"/>
          <w:lang w:val="en-US" w:eastAsia="zh-CN"/>
        </w:rPr>
        <w:t>），于2022年3月14日下发批复文件（三水发</w:t>
      </w:r>
      <w:r>
        <w:rPr>
          <w:highlight w:val="none"/>
        </w:rPr>
        <w:t>〔20</w:t>
      </w:r>
      <w:r>
        <w:rPr>
          <w:rFonts w:hint="eastAsia"/>
          <w:highlight w:val="none"/>
          <w:lang w:val="en-US" w:eastAsia="zh-CN"/>
        </w:rPr>
        <w:t>22</w:t>
      </w:r>
      <w:r>
        <w:rPr>
          <w:highlight w:val="none"/>
        </w:rPr>
        <w:t>〕</w:t>
      </w:r>
      <w:r>
        <w:rPr>
          <w:rFonts w:hint="eastAsia"/>
          <w:highlight w:val="none"/>
          <w:lang w:val="en-US" w:eastAsia="zh-CN"/>
        </w:rPr>
        <w:t>17</w:t>
      </w:r>
      <w:r>
        <w:rPr>
          <w:highlight w:val="none"/>
        </w:rPr>
        <w:t>号</w:t>
      </w:r>
      <w:r>
        <w:rPr>
          <w:rFonts w:hint="eastAsia"/>
          <w:highlight w:val="none"/>
          <w:lang w:val="en-US" w:eastAsia="zh-CN"/>
        </w:rPr>
        <w:t>）。陕州区水利局依据三门峡市水利局批复文件及区人民政府同意，于2022年4月25日成立三门峡市陕州区青龙涧河涧里村至杨家河村河道治理工程建设管理处。</w:t>
      </w:r>
    </w:p>
    <w:p w14:paraId="31B4AD58">
      <w:pPr>
        <w:bidi w:val="0"/>
        <w:rPr>
          <w:rFonts w:hint="eastAsia"/>
          <w:lang w:val="en-US" w:eastAsia="zh-CN"/>
        </w:rPr>
      </w:pPr>
      <w:r>
        <w:rPr>
          <w:rFonts w:hint="eastAsia"/>
          <w:lang w:val="en-US" w:eastAsia="zh-CN"/>
        </w:rPr>
        <w:t>本次治理段起始端位于店子乡杨家河村上游30m处，治理末端位于涧里水库库尾处，治理段全长为6.605km。主要建设内容为两岸新建护岸总长5.25km（其中左岸新建1.893km，右岸新建3.357km），河道疏浚6.605km（桩号0+000～6+605），拆除重建生产桥1座，新建漫水桥1座，拆除重建漫水桥3座，支沟口防护3条，修建排水涵2座，拆除重建交通道路205.0m。</w:t>
      </w:r>
    </w:p>
    <w:p w14:paraId="3BC370C5">
      <w:pPr>
        <w:pStyle w:val="4"/>
        <w:bidi w:val="0"/>
        <w:rPr>
          <w:rFonts w:hint="eastAsia"/>
          <w:highlight w:val="none"/>
          <w:lang w:val="en-US" w:eastAsia="zh-CN"/>
        </w:rPr>
      </w:pPr>
      <w:bookmarkStart w:id="9" w:name="_Toc12375"/>
      <w:r>
        <w:rPr>
          <w:rFonts w:hint="eastAsia"/>
          <w:highlight w:val="none"/>
          <w:lang w:val="en-US" w:eastAsia="zh-CN"/>
        </w:rPr>
        <w:t>2.</w:t>
      </w:r>
      <w:r>
        <w:rPr>
          <w:rFonts w:hint="eastAsia"/>
          <w:highlight w:val="none"/>
        </w:rPr>
        <w:t>项目实施主体及职能</w:t>
      </w:r>
      <w:r>
        <w:rPr>
          <w:rFonts w:hint="eastAsia"/>
          <w:highlight w:val="none"/>
          <w:lang w:val="en-US" w:eastAsia="zh-CN"/>
        </w:rPr>
        <w:t>职责</w:t>
      </w:r>
      <w:bookmarkEnd w:id="9"/>
    </w:p>
    <w:p w14:paraId="48F74263">
      <w:pPr>
        <w:pStyle w:val="5"/>
        <w:numPr>
          <w:ilvl w:val="0"/>
          <w:numId w:val="0"/>
        </w:numPr>
        <w:bidi w:val="0"/>
        <w:ind w:leftChars="200"/>
        <w:rPr>
          <w:rFonts w:hint="eastAsia"/>
          <w:lang w:val="en-US" w:eastAsia="zh-CN"/>
        </w:rPr>
      </w:pPr>
      <w:r>
        <w:rPr>
          <w:rFonts w:hint="eastAsia"/>
          <w:lang w:val="en-US" w:eastAsia="zh-CN"/>
        </w:rPr>
        <w:t>（1）项目实施主体</w:t>
      </w:r>
    </w:p>
    <w:p w14:paraId="57800E22">
      <w:pPr>
        <w:bidi w:val="0"/>
        <w:rPr>
          <w:rFonts w:hint="default"/>
          <w:lang w:val="en-US" w:eastAsia="zh-CN"/>
        </w:rPr>
      </w:pPr>
      <w:r>
        <w:rPr>
          <w:rFonts w:hint="eastAsia"/>
          <w:lang w:val="en-US" w:eastAsia="zh-CN"/>
        </w:rPr>
        <w:t>本项目实施主体为三门峡市陕州区水利局。具体项目实施由三门峡市陕州区青龙涧河涧里村至杨家河村段河道治理工程建设管理处作为项目法人。</w:t>
      </w:r>
    </w:p>
    <w:p w14:paraId="17F3978A">
      <w:pPr>
        <w:pStyle w:val="5"/>
        <w:bidi w:val="0"/>
        <w:rPr>
          <w:rFonts w:hint="eastAsia"/>
          <w:lang w:val="en-US" w:eastAsia="zh-CN"/>
        </w:rPr>
      </w:pPr>
      <w:r>
        <w:rPr>
          <w:rFonts w:hint="eastAsia"/>
          <w:lang w:val="en-US" w:eastAsia="zh-CN"/>
        </w:rPr>
        <w:t>（2）项目实施主体的主要职责</w:t>
      </w:r>
    </w:p>
    <w:p w14:paraId="53A986A7">
      <w:pPr>
        <w:bidi w:val="0"/>
        <w:rPr>
          <w:rFonts w:hint="eastAsia"/>
          <w:lang w:val="en-US" w:eastAsia="zh-CN"/>
        </w:rPr>
      </w:pPr>
      <w:r>
        <w:rPr>
          <w:rFonts w:hint="eastAsia"/>
          <w:lang w:val="en-US" w:eastAsia="zh-CN"/>
        </w:rPr>
        <w:t xml:space="preserve">建管处下设办公室、工程科、质量安全科、财务科、档案管理科，相关职责依据《水利工程建设项目法人管理指导意见》行使，内部管理制度由建管处另行制定印发。主要职责包括：   </w:t>
      </w:r>
    </w:p>
    <w:p w14:paraId="08FB3F78">
      <w:pPr>
        <w:bidi w:val="0"/>
        <w:rPr>
          <w:rFonts w:hint="eastAsia"/>
          <w:lang w:val="en-US" w:eastAsia="zh-CN"/>
        </w:rPr>
      </w:pPr>
      <w:r>
        <w:rPr>
          <w:rFonts w:hint="eastAsia"/>
          <w:lang w:val="en-US" w:eastAsia="zh-CN"/>
        </w:rPr>
        <w:t>① 项目法人应当根据明确质量管理机构,实施工程建设的全过程质量管理。</w:t>
      </w:r>
    </w:p>
    <w:p w14:paraId="368EA9E5">
      <w:pPr>
        <w:bidi w:val="0"/>
        <w:rPr>
          <w:rFonts w:hint="eastAsia"/>
          <w:lang w:val="en-US" w:eastAsia="zh-CN"/>
        </w:rPr>
      </w:pPr>
      <w:r>
        <w:rPr>
          <w:rFonts w:hint="eastAsia"/>
          <w:lang w:val="en-US" w:eastAsia="zh-CN"/>
        </w:rPr>
        <w:t>② 项目法人与参建单位签订的合同文件中,应当包括工程质量条款,明确工程质量要求,并约定合同各方的质量责任。</w:t>
      </w:r>
    </w:p>
    <w:p w14:paraId="2B1294F0">
      <w:pPr>
        <w:bidi w:val="0"/>
        <w:rPr>
          <w:rFonts w:hint="eastAsia"/>
          <w:lang w:val="en-US" w:eastAsia="zh-CN"/>
        </w:rPr>
      </w:pPr>
      <w:r>
        <w:rPr>
          <w:rFonts w:hint="eastAsia"/>
          <w:lang w:val="en-US" w:eastAsia="zh-CN"/>
        </w:rPr>
        <w:t>③ 项目法人不得任意压缩合理工期；不得明示或者暗示勘察、设计、施工单位违反工程建设强制性标准，降低工程质量；不得明示或者暗示施工单位使用不合格的原材料、中间产品和设备。</w:t>
      </w:r>
    </w:p>
    <w:p w14:paraId="4A75225A">
      <w:pPr>
        <w:bidi w:val="0"/>
        <w:rPr>
          <w:rFonts w:hint="eastAsia"/>
          <w:lang w:val="en-US" w:eastAsia="zh-CN"/>
        </w:rPr>
      </w:pPr>
      <w:r>
        <w:rPr>
          <w:rFonts w:hint="eastAsia"/>
          <w:lang w:val="en-US" w:eastAsia="zh-CN"/>
        </w:rPr>
        <w:t>④ 项目法人应当按照国家有关规定办理工程质量监督及开工备案手续,并书面明确各参建单位项目负责人和技术负责人。</w:t>
      </w:r>
    </w:p>
    <w:p w14:paraId="0C2B737B">
      <w:pPr>
        <w:bidi w:val="0"/>
        <w:rPr>
          <w:rFonts w:hint="default"/>
          <w:lang w:val="en-US" w:eastAsia="zh-CN"/>
        </w:rPr>
      </w:pPr>
      <w:r>
        <w:rPr>
          <w:rFonts w:hint="eastAsia"/>
          <w:lang w:val="en-US" w:eastAsia="zh-CN"/>
        </w:rPr>
        <w:t>⑤</w:t>
      </w:r>
      <w:r>
        <w:rPr>
          <w:rFonts w:hint="default"/>
          <w:lang w:val="en-US" w:eastAsia="zh-CN"/>
        </w:rPr>
        <w:t xml:space="preserve"> 项目法人应当依据经批准的设计文件,组织编制工程建设执行技术标准清单，明确工程建设质量标准。</w:t>
      </w:r>
    </w:p>
    <w:p w14:paraId="7B5949B5">
      <w:pPr>
        <w:bidi w:val="0"/>
        <w:rPr>
          <w:rFonts w:hint="default"/>
          <w:lang w:val="en-US" w:eastAsia="zh-CN"/>
        </w:rPr>
      </w:pPr>
      <w:r>
        <w:rPr>
          <w:rFonts w:hint="eastAsia"/>
          <w:lang w:val="en-US" w:eastAsia="zh-CN"/>
        </w:rPr>
        <w:t>⑥</w:t>
      </w:r>
      <w:r>
        <w:rPr>
          <w:rFonts w:hint="default"/>
          <w:lang w:val="en-US" w:eastAsia="zh-CN"/>
        </w:rPr>
        <w:t xml:space="preserve"> 项目法人应当组织开展施工图设计文件审查</w:t>
      </w:r>
      <w:r>
        <w:rPr>
          <w:rFonts w:hint="eastAsia"/>
          <w:lang w:val="en-US" w:eastAsia="zh-CN"/>
        </w:rPr>
        <w:t>；</w:t>
      </w:r>
      <w:r>
        <w:rPr>
          <w:rFonts w:hint="default"/>
          <w:lang w:val="en-US" w:eastAsia="zh-CN"/>
        </w:rPr>
        <w:t>组织或者委托监理单位组织有关参建单位进行勘察、设计交底</w:t>
      </w:r>
      <w:r>
        <w:rPr>
          <w:rFonts w:hint="eastAsia"/>
          <w:lang w:val="en-US" w:eastAsia="zh-CN"/>
        </w:rPr>
        <w:t>；</w:t>
      </w:r>
      <w:r>
        <w:rPr>
          <w:rFonts w:hint="default"/>
          <w:lang w:val="en-US" w:eastAsia="zh-CN"/>
        </w:rPr>
        <w:t>应当加强设计变更管理，按照规定履行设计变更程序。设计变更未经审查同意的，不得擅自实施。</w:t>
      </w:r>
    </w:p>
    <w:p w14:paraId="5B149874">
      <w:pPr>
        <w:bidi w:val="0"/>
        <w:rPr>
          <w:rFonts w:hint="default"/>
          <w:lang w:val="en-US" w:eastAsia="zh-CN"/>
        </w:rPr>
      </w:pPr>
      <w:r>
        <w:rPr>
          <w:rFonts w:hint="eastAsia"/>
          <w:lang w:val="en-US" w:eastAsia="zh-CN"/>
        </w:rPr>
        <w:t>⑦</w:t>
      </w:r>
      <w:r>
        <w:rPr>
          <w:rFonts w:hint="default"/>
          <w:lang w:val="en-US" w:eastAsia="zh-CN"/>
        </w:rPr>
        <w:t xml:space="preserve"> 项目法人应当严格依照有关法律、法规、规章、技术标准、批准的设计文件和合同开展验收工作。工程质量符合相关要求的，方可通过验收。</w:t>
      </w:r>
    </w:p>
    <w:p w14:paraId="2C285E45">
      <w:pPr>
        <w:bidi w:val="0"/>
        <w:rPr>
          <w:rFonts w:hint="default"/>
          <w:lang w:val="en-US" w:eastAsia="zh-CN"/>
        </w:rPr>
      </w:pPr>
      <w:r>
        <w:rPr>
          <w:rFonts w:hint="eastAsia"/>
          <w:lang w:val="en-US" w:eastAsia="zh-CN"/>
        </w:rPr>
        <w:t>⑧</w:t>
      </w:r>
      <w:r>
        <w:rPr>
          <w:rFonts w:hint="default"/>
          <w:lang w:val="en-US" w:eastAsia="zh-CN"/>
        </w:rPr>
        <w:t xml:space="preserve"> 项目法人应当对参建单位的质量行为和工程实体质量进行检查，对发现的问题组织责任单位进行整改落实。对发生严重违规行为和质量事故的,应当及时报告具有管辖权的水行政主管部门。</w:t>
      </w:r>
    </w:p>
    <w:p w14:paraId="4D9A15E7">
      <w:pPr>
        <w:bidi w:val="0"/>
        <w:rPr>
          <w:rFonts w:hint="default"/>
          <w:lang w:val="en-US" w:eastAsia="zh-CN"/>
        </w:rPr>
      </w:pPr>
      <w:r>
        <w:rPr>
          <w:rFonts w:hint="eastAsia"/>
          <w:lang w:val="en-US" w:eastAsia="zh-CN"/>
        </w:rPr>
        <w:t>⑨</w:t>
      </w:r>
      <w:r>
        <w:rPr>
          <w:rFonts w:hint="default"/>
          <w:lang w:val="en-US" w:eastAsia="zh-CN"/>
        </w:rPr>
        <w:t xml:space="preserve"> 工程开工后,项目法人应当在工程施工现场明显部位设立质量责任公示牌，公示项目法人、勘察、设计、施工、监理等参建单位的名称、项目负责人姓名以及质量举报电话，接受社会监督。工程竣工验收后，项目法人应当在工程明显部位设置永久性标志，载明项目法人、勘察、设计、施工、监理等参建单位名称、项目负责人姓名。</w:t>
      </w:r>
    </w:p>
    <w:p w14:paraId="3E1F0B29">
      <w:pPr>
        <w:bidi w:val="0"/>
        <w:rPr>
          <w:rFonts w:hint="default"/>
          <w:lang w:val="en-US" w:eastAsia="zh-CN"/>
        </w:rPr>
      </w:pPr>
      <w:r>
        <w:rPr>
          <w:rFonts w:hint="eastAsia"/>
          <w:lang w:val="en-US" w:eastAsia="zh-CN"/>
        </w:rPr>
        <w:t>⑩</w:t>
      </w:r>
      <w:r>
        <w:rPr>
          <w:rFonts w:hint="default"/>
          <w:lang w:val="en-US" w:eastAsia="zh-CN"/>
        </w:rPr>
        <w:t xml:space="preserve"> 项目法人应当按照档案管理的有关规定,及时收集、整理并督促指导其他参建单位收集、整理工程建设各环节的文件资料，建立健全项目档案，并在工程竣工验收后，办理移交手续。</w:t>
      </w:r>
    </w:p>
    <w:bookmarkEnd w:id="8"/>
    <w:p w14:paraId="2FABEB48">
      <w:pPr>
        <w:pStyle w:val="4"/>
        <w:bidi w:val="0"/>
      </w:pPr>
      <w:bookmarkStart w:id="10" w:name="_Toc16405"/>
      <w:bookmarkStart w:id="11" w:name="_Toc10451"/>
      <w:r>
        <w:rPr>
          <w:rFonts w:hint="eastAsia"/>
          <w:lang w:val="en-US" w:eastAsia="zh-CN"/>
        </w:rPr>
        <w:t>3.项目</w:t>
      </w:r>
      <w:r>
        <w:t>主要内容及实施情况</w:t>
      </w:r>
      <w:bookmarkEnd w:id="10"/>
      <w:bookmarkEnd w:id="11"/>
    </w:p>
    <w:p w14:paraId="2CC9C09F">
      <w:pPr>
        <w:pStyle w:val="5"/>
        <w:bidi w:val="0"/>
      </w:pPr>
      <w:r>
        <w:t>（1）项目</w:t>
      </w:r>
      <w:r>
        <w:rPr>
          <w:rFonts w:hint="eastAsia"/>
          <w:lang w:val="en-US" w:eastAsia="zh-CN"/>
        </w:rPr>
        <w:t>主要</w:t>
      </w:r>
      <w:r>
        <w:t>内容</w:t>
      </w:r>
    </w:p>
    <w:p w14:paraId="3860AB81">
      <w:pPr>
        <w:bidi w:val="0"/>
        <w:rPr>
          <w:rFonts w:hint="eastAsia"/>
          <w:lang w:val="en-US" w:eastAsia="zh-CN"/>
        </w:rPr>
      </w:pPr>
      <w:r>
        <w:rPr>
          <w:rFonts w:hint="eastAsia"/>
          <w:lang w:val="en-US" w:eastAsia="zh-CN"/>
        </w:rPr>
        <w:t>工程内容建设内容:本次治理段起始端位于店子乡杨家河村上游30m处，治理末端位于涧里水库库尾处，治理段全长为6.605km。主要建设内容为两岸新建护岸总长5.25km（其中左岸新建1.893km，右岸新建3.357km），河道疏浚6.605km（桩号0+000～6+605），拆除重建生产桥1座，新建漫水桥1座，拆除重建漫水桥3座，支沟口防护3条，修建排水涵2座，拆除重建交通道路205.0m。</w:t>
      </w:r>
    </w:p>
    <w:p w14:paraId="455D6BE3">
      <w:pPr>
        <w:bidi w:val="0"/>
        <w:rPr>
          <w:rFonts w:hint="default"/>
          <w:lang w:val="en-US" w:eastAsia="zh-CN"/>
        </w:rPr>
      </w:pPr>
      <w:r>
        <w:rPr>
          <w:rFonts w:hint="eastAsia"/>
          <w:lang w:val="en-US" w:eastAsia="zh-CN"/>
        </w:rPr>
        <w:t>经施工图优化设计后，主要建设内容为两岸新建护岸总长3.814km(其中左岸新建1.248km，右岸新建2.566km)，河道疏浚6.605km(桩号0+000-6+605)，拆除重建箱涵桥1座，新建漫水路1条，拆除重建生产桥3座，支沟口防护3条，修建排水涵2座，拆除重建交通道路155.00m。</w:t>
      </w:r>
    </w:p>
    <w:p w14:paraId="65B6E1F2">
      <w:pPr>
        <w:pStyle w:val="5"/>
        <w:bidi w:val="0"/>
        <w:rPr>
          <w:highlight w:val="none"/>
        </w:rPr>
      </w:pPr>
      <w:r>
        <w:rPr>
          <w:highlight w:val="none"/>
        </w:rPr>
        <w:t>（2）</w:t>
      </w:r>
      <w:r>
        <w:rPr>
          <w:rFonts w:hint="eastAsia"/>
          <w:highlight w:val="none"/>
          <w:lang w:val="en-US" w:eastAsia="zh-CN"/>
        </w:rPr>
        <w:t>项目</w:t>
      </w:r>
      <w:r>
        <w:rPr>
          <w:highlight w:val="none"/>
        </w:rPr>
        <w:t>实施情况</w:t>
      </w:r>
    </w:p>
    <w:p w14:paraId="294E015B">
      <w:pPr>
        <w:bidi w:val="0"/>
        <w:rPr>
          <w:rFonts w:hint="default"/>
          <w:lang w:val="en-US" w:eastAsia="zh-CN"/>
        </w:rPr>
      </w:pPr>
      <w:r>
        <w:rPr>
          <w:rFonts w:hint="eastAsia"/>
          <w:lang w:val="en-US" w:eastAsia="zh-CN"/>
        </w:rPr>
        <w:t>陕州区水利局根据《河南省水利厅、财政厅关于进一步做好中小河流治理项目前期工作的通知》（豫水计〔2016〕71号）文件的相关要求，聘请郑州大学综合设计研究院有限公司涉及此项工程的设计方案，报请三门峡市水利局</w:t>
      </w:r>
      <w:r>
        <w:rPr>
          <w:rFonts w:hint="eastAsia"/>
          <w:highlight w:val="none"/>
          <w:lang w:val="en-US" w:eastAsia="zh-CN"/>
        </w:rPr>
        <w:t>批复，三门峡市水利局根据初步设计专家审查意</w:t>
      </w:r>
      <w:r>
        <w:rPr>
          <w:rFonts w:hint="eastAsia"/>
          <w:lang w:val="en-US" w:eastAsia="zh-CN"/>
        </w:rPr>
        <w:t>见及工程概算审查评审结论（三财评审〔2022〕16号），于2022年3月14日下发批复文件（三水发〔2022〕17号）。陕州区水利局依据三门峡市水利局批复文件及区人民政府同意，于2022年4月25日成立三门峡市陕州区青龙涧河涧里村至杨家河村河道治理工程建设管理处。三门峡市生态环境局第二分局于2023年2月8日下发关于三门峡市陕州区青龙涧河涧里村至杨家河村河道治理工程环境影响报告表的批复。</w:t>
      </w:r>
    </w:p>
    <w:p w14:paraId="0E2C28A2">
      <w:pPr>
        <w:bidi w:val="0"/>
        <w:rPr>
          <w:rFonts w:hint="eastAsia"/>
          <w:lang w:val="en-US" w:eastAsia="zh-CN"/>
        </w:rPr>
      </w:pPr>
      <w:r>
        <w:rPr>
          <w:rFonts w:hint="eastAsia"/>
          <w:lang w:val="en-US" w:eastAsia="zh-CN"/>
        </w:rPr>
        <w:t>2022年3月1日，三门峡市陕州区水利局以竞争性磋商的方式，确定郑州大学综合设计研究院有限公司为设计中标单位；</w:t>
      </w:r>
    </w:p>
    <w:p w14:paraId="29FCDEC3">
      <w:pPr>
        <w:bidi w:val="0"/>
        <w:rPr>
          <w:rFonts w:hint="eastAsia"/>
          <w:lang w:val="en-US" w:eastAsia="zh-CN"/>
        </w:rPr>
      </w:pPr>
      <w:r>
        <w:rPr>
          <w:rFonts w:hint="eastAsia"/>
          <w:lang w:val="en-US" w:eastAsia="zh-CN"/>
        </w:rPr>
        <w:t>2022年7月6日，三门峡市陕州区水利局以竞争性磋商的方式，确定河南省日月工程管理有限公司为中标监理单位；</w:t>
      </w:r>
    </w:p>
    <w:p w14:paraId="6CDC902D">
      <w:pPr>
        <w:bidi w:val="0"/>
        <w:rPr>
          <w:rFonts w:hint="eastAsia"/>
          <w:lang w:val="en-US" w:eastAsia="zh-CN"/>
        </w:rPr>
      </w:pPr>
      <w:r>
        <w:rPr>
          <w:rFonts w:hint="eastAsia"/>
          <w:lang w:val="en-US" w:eastAsia="zh-CN"/>
        </w:rPr>
        <w:t>2022年7月6日，三门峡市陕州区水利局以竞争性磋商的方式，确定河南鼎铭检测有限公司为工程质量检测中标单位；</w:t>
      </w:r>
    </w:p>
    <w:p w14:paraId="2F97B53E">
      <w:pPr>
        <w:bidi w:val="0"/>
        <w:rPr>
          <w:rFonts w:hint="default"/>
          <w:lang w:val="en-US" w:eastAsia="zh-CN"/>
        </w:rPr>
      </w:pPr>
      <w:r>
        <w:rPr>
          <w:rFonts w:hint="eastAsia"/>
          <w:lang w:val="en-US" w:eastAsia="zh-CN"/>
        </w:rPr>
        <w:t>2022年7月14日，三门峡市陕州区水利局以公开招标的方式，确定河南润杰建设工程有限公司为一标段施工中标单位；确定中水华通工程有限公司为二标段施工中标单位。</w:t>
      </w:r>
    </w:p>
    <w:p w14:paraId="52A6B293">
      <w:pPr>
        <w:pStyle w:val="4"/>
        <w:bidi w:val="0"/>
      </w:pPr>
      <w:bookmarkStart w:id="12" w:name="_Toc29937"/>
      <w:r>
        <w:rPr>
          <w:rFonts w:hint="eastAsia"/>
          <w:lang w:val="en-US" w:eastAsia="zh-CN"/>
        </w:rPr>
        <w:t>4.项目</w:t>
      </w:r>
      <w:r>
        <w:t>资金投入和使用情况</w:t>
      </w:r>
      <w:bookmarkEnd w:id="12"/>
    </w:p>
    <w:p w14:paraId="0B78FA13">
      <w:pPr>
        <w:pStyle w:val="5"/>
        <w:bidi w:val="0"/>
        <w:rPr>
          <w:rFonts w:hint="default" w:eastAsia="宋体"/>
          <w:highlight w:val="none"/>
          <w:lang w:val="en-US" w:eastAsia="zh-CN"/>
        </w:rPr>
      </w:pPr>
      <w:r>
        <w:rPr>
          <w:highlight w:val="none"/>
        </w:rPr>
        <w:t>（1）资金</w:t>
      </w:r>
      <w:r>
        <w:rPr>
          <w:rFonts w:hint="eastAsia"/>
          <w:highlight w:val="none"/>
          <w:lang w:val="en-US" w:eastAsia="zh-CN"/>
        </w:rPr>
        <w:t>投入情况</w:t>
      </w:r>
    </w:p>
    <w:p w14:paraId="4B8AE788">
      <w:pPr>
        <w:bidi w:val="0"/>
        <w:rPr>
          <w:rFonts w:hint="eastAsia"/>
          <w:highlight w:val="none"/>
        </w:rPr>
      </w:pPr>
      <w:r>
        <w:rPr>
          <w:rFonts w:hint="eastAsia"/>
          <w:highlight w:val="none"/>
          <w:lang w:val="en-US" w:eastAsia="zh-CN"/>
        </w:rPr>
        <w:t>根据三门峡市陕州区水利局提供的三财预〔2021〕1052号文件及三财预〔2022〕249号文件显示，</w:t>
      </w:r>
      <w:r>
        <w:rPr>
          <w:rFonts w:hint="eastAsia"/>
          <w:lang w:val="en-US" w:eastAsia="zh-CN"/>
        </w:rPr>
        <w:t>三门峡市陕州区青龙涧河涧里村至杨家河村河道治理工程</w:t>
      </w:r>
      <w:r>
        <w:rPr>
          <w:rFonts w:hint="eastAsia"/>
          <w:highlight w:val="none"/>
          <w:lang w:val="en-US" w:eastAsia="zh-CN"/>
        </w:rPr>
        <w:t>项目2022</w:t>
      </w:r>
      <w:r>
        <w:rPr>
          <w:rFonts w:hint="eastAsia"/>
          <w:highlight w:val="none"/>
        </w:rPr>
        <w:t>年度预算资金</w:t>
      </w:r>
      <w:r>
        <w:rPr>
          <w:rFonts w:hint="eastAsia"/>
          <w:highlight w:val="none"/>
          <w:lang w:val="en-US" w:eastAsia="zh-CN"/>
        </w:rPr>
        <w:t>总额共计1541万</w:t>
      </w:r>
      <w:r>
        <w:rPr>
          <w:rFonts w:hint="eastAsia"/>
          <w:highlight w:val="none"/>
        </w:rPr>
        <w:t>元</w:t>
      </w:r>
      <w:r>
        <w:rPr>
          <w:rFonts w:hint="eastAsia"/>
          <w:highlight w:val="none"/>
          <w:lang w:eastAsia="zh-CN"/>
        </w:rPr>
        <w:t>（</w:t>
      </w:r>
      <w:r>
        <w:rPr>
          <w:rFonts w:hint="eastAsia"/>
          <w:highlight w:val="none"/>
          <w:lang w:val="en-US" w:eastAsia="zh-CN"/>
        </w:rPr>
        <w:t>其中中央资金1193万元，省级资金348万元</w:t>
      </w:r>
      <w:r>
        <w:rPr>
          <w:rFonts w:hint="eastAsia"/>
          <w:highlight w:val="none"/>
          <w:lang w:eastAsia="zh-CN"/>
        </w:rPr>
        <w:t>）</w:t>
      </w:r>
      <w:r>
        <w:rPr>
          <w:rFonts w:hint="eastAsia"/>
          <w:highlight w:val="none"/>
        </w:rPr>
        <w:t>。</w:t>
      </w:r>
    </w:p>
    <w:p w14:paraId="47E62502">
      <w:pPr>
        <w:bidi w:val="0"/>
        <w:rPr>
          <w:rFonts w:hint="default"/>
          <w:highlight w:val="none"/>
          <w:lang w:val="en-US" w:eastAsia="zh-CN"/>
        </w:rPr>
      </w:pPr>
      <w:r>
        <w:rPr>
          <w:rFonts w:hint="eastAsia"/>
          <w:highlight w:val="none"/>
          <w:lang w:val="en-US" w:eastAsia="zh-CN"/>
        </w:rPr>
        <w:t>根据三门峡市陕州区水利局提供的竣工财务决算审计报告显示，三门峡市陕州区财政局于2022年6月30日根据三门峡市陕州区水利局提出的《关于</w:t>
      </w:r>
      <w:r>
        <w:rPr>
          <w:rFonts w:hint="eastAsia"/>
          <w:lang w:val="en-US" w:eastAsia="zh-CN"/>
        </w:rPr>
        <w:t>三门峡市陕州区青龙涧河涧里村至杨家河村河道治理工程建设管理费的请示</w:t>
      </w:r>
      <w:r>
        <w:rPr>
          <w:rFonts w:hint="eastAsia"/>
          <w:highlight w:val="none"/>
          <w:lang w:val="en-US" w:eastAsia="zh-CN"/>
        </w:rPr>
        <w:t>》，拨付资金73.99万元，2023年11月2日，依据三门峡市陕州区财政局《关于下达陕州区</w:t>
      </w:r>
      <w:r>
        <w:rPr>
          <w:rFonts w:hint="eastAsia"/>
          <w:lang w:val="en-US" w:eastAsia="zh-CN"/>
        </w:rPr>
        <w:t>青龙涧河涧里村至杨家河村河道治理工程资金的通知</w:t>
      </w:r>
      <w:r>
        <w:rPr>
          <w:rFonts w:hint="eastAsia"/>
          <w:highlight w:val="none"/>
          <w:lang w:val="en-US" w:eastAsia="zh-CN"/>
        </w:rPr>
        <w:t>》（三陕财预〔2023〕1322号）下达资金1009.22万元。</w:t>
      </w:r>
    </w:p>
    <w:p w14:paraId="536C3911">
      <w:pPr>
        <w:bidi w:val="0"/>
        <w:rPr>
          <w:rFonts w:hint="eastAsia"/>
          <w:highlight w:val="none"/>
          <w:lang w:val="en-US" w:eastAsia="zh-CN"/>
        </w:rPr>
      </w:pPr>
      <w:r>
        <w:rPr>
          <w:rFonts w:hint="eastAsia"/>
          <w:highlight w:val="none"/>
          <w:lang w:val="en-US" w:eastAsia="zh-CN"/>
        </w:rPr>
        <w:t>根据项目财务资料显示，项目2022年度预算资金实际到位1614.99万元,2023年实际到位资金1099.22万元。</w:t>
      </w:r>
    </w:p>
    <w:p w14:paraId="75767BC7">
      <w:pPr>
        <w:pStyle w:val="5"/>
        <w:bidi w:val="0"/>
        <w:rPr>
          <w:highlight w:val="none"/>
        </w:rPr>
      </w:pPr>
      <w:r>
        <w:rPr>
          <w:highlight w:val="none"/>
        </w:rPr>
        <w:t>（2）资金使用情况</w:t>
      </w:r>
    </w:p>
    <w:p w14:paraId="01097560">
      <w:pPr>
        <w:bidi w:val="0"/>
        <w:rPr>
          <w:rFonts w:hint="default" w:eastAsia="宋体"/>
          <w:lang w:val="en-US" w:eastAsia="zh-CN"/>
        </w:rPr>
      </w:pPr>
      <w:r>
        <w:rPr>
          <w:rFonts w:hint="eastAsia"/>
          <w:lang w:val="en-US" w:eastAsia="zh-CN"/>
        </w:rPr>
        <w:t>三门峡市陕州区青龙涧河涧里村至杨家河村河道治理工程</w:t>
      </w:r>
      <w:r>
        <w:rPr>
          <w:rFonts w:hint="eastAsia"/>
          <w:highlight w:val="none"/>
          <w:lang w:val="en-US" w:eastAsia="zh-CN"/>
        </w:rPr>
        <w:t>项目</w:t>
      </w:r>
      <w:r>
        <w:t>共计支出</w:t>
      </w:r>
      <w:r>
        <w:rPr>
          <w:rFonts w:hint="eastAsia"/>
          <w:lang w:val="en-US" w:eastAsia="zh-CN"/>
        </w:rPr>
        <w:t>2,413,000.00</w:t>
      </w:r>
      <w:r>
        <w:t>元</w:t>
      </w:r>
      <w:r>
        <w:rPr>
          <w:rFonts w:hint="eastAsia"/>
          <w:lang w:eastAsia="zh-CN"/>
        </w:rPr>
        <w:t>（</w:t>
      </w:r>
      <w:r>
        <w:rPr>
          <w:rFonts w:hint="eastAsia"/>
          <w:lang w:val="en-US" w:eastAsia="zh-CN"/>
        </w:rPr>
        <w:t>其中：2024年支付1,661,000.00元，2025年支付752,000.00元</w:t>
      </w:r>
      <w:r>
        <w:rPr>
          <w:rFonts w:hint="eastAsia"/>
          <w:lang w:eastAsia="zh-CN"/>
        </w:rPr>
        <w:t>）</w:t>
      </w:r>
      <w:r>
        <w:t>，</w:t>
      </w:r>
      <w:r>
        <w:rPr>
          <w:rFonts w:hint="eastAsia"/>
          <w:lang w:val="en-US" w:eastAsia="zh-CN"/>
        </w:rPr>
        <w:t>具体支出情况为：支付河南润杰建设工程有限公司1,182,000.00元，支付中水华通工程有限公司840,000.00元，支付河南省日月工程管理有限公司100,000.00元，支付郑州大学综合设计研究院有限公司152,000.00元。</w:t>
      </w:r>
    </w:p>
    <w:p w14:paraId="76F0B18F">
      <w:pPr>
        <w:pStyle w:val="3"/>
        <w:numPr>
          <w:ilvl w:val="0"/>
          <w:numId w:val="1"/>
        </w:numPr>
        <w:bidi w:val="0"/>
      </w:pPr>
      <w:bookmarkStart w:id="13" w:name="_Toc11913"/>
      <w:r>
        <w:t>项目立项依据</w:t>
      </w:r>
      <w:bookmarkEnd w:id="13"/>
    </w:p>
    <w:p w14:paraId="27CCB6C5">
      <w:pPr>
        <w:numPr>
          <w:ilvl w:val="0"/>
          <w:numId w:val="2"/>
        </w:numPr>
        <w:ind w:firstLine="560" w:firstLineChars="200"/>
        <w:rPr>
          <w:rFonts w:hint="eastAsia"/>
          <w:lang w:eastAsia="zh-CN"/>
        </w:rPr>
      </w:pPr>
      <w:r>
        <w:rPr>
          <w:rFonts w:hint="eastAsia"/>
          <w:lang w:val="en-US" w:eastAsia="zh-CN"/>
        </w:rPr>
        <w:t>《河南省水利厅、财政厅关于进一步做好中小河流治理项目前期工作的通知》（豫水计〔2016〕71号）</w:t>
      </w:r>
      <w:r>
        <w:rPr>
          <w:rFonts w:hint="eastAsia"/>
          <w:lang w:eastAsia="zh-CN"/>
        </w:rPr>
        <w:t>；</w:t>
      </w:r>
    </w:p>
    <w:p w14:paraId="18A027CB">
      <w:pPr>
        <w:numPr>
          <w:ilvl w:val="0"/>
          <w:numId w:val="2"/>
        </w:numPr>
        <w:ind w:firstLine="560" w:firstLineChars="200"/>
        <w:rPr>
          <w:rFonts w:hint="eastAsia"/>
          <w:lang w:eastAsia="zh-CN"/>
        </w:rPr>
      </w:pPr>
      <w:r>
        <w:rPr>
          <w:rFonts w:hint="eastAsia"/>
          <w:highlight w:val="none"/>
          <w:lang w:val="en-US" w:eastAsia="zh-CN"/>
        </w:rPr>
        <w:t>《关于呈报</w:t>
      </w:r>
      <w:r>
        <w:rPr>
          <w:rFonts w:hint="eastAsia"/>
          <w:lang w:val="en-US" w:eastAsia="zh-CN"/>
        </w:rPr>
        <w:t>三门峡市陕州区青龙涧河涧里村至杨家河村河道治理工程初步设计报告的请示</w:t>
      </w:r>
      <w:r>
        <w:rPr>
          <w:rFonts w:hint="eastAsia"/>
          <w:highlight w:val="none"/>
          <w:lang w:val="en-US" w:eastAsia="zh-CN"/>
        </w:rPr>
        <w:t>》</w:t>
      </w:r>
      <w:r>
        <w:rPr>
          <w:rFonts w:hint="eastAsia"/>
          <w:lang w:val="en-US" w:eastAsia="zh-CN"/>
        </w:rPr>
        <w:t>（三陕水字〔2022〕74号）</w:t>
      </w:r>
      <w:r>
        <w:rPr>
          <w:rFonts w:hint="eastAsia"/>
          <w:lang w:eastAsia="zh-CN"/>
        </w:rPr>
        <w:t>；</w:t>
      </w:r>
    </w:p>
    <w:p w14:paraId="0EBF42C5">
      <w:pPr>
        <w:bidi w:val="0"/>
        <w:rPr>
          <w:rFonts w:hint="eastAsia" w:eastAsia="宋体"/>
          <w:lang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关于三门峡市陕州区青龙涧河涧里村至杨家河村河道治理工程初步设计报告的批复</w:t>
      </w:r>
      <w:r>
        <w:rPr>
          <w:rFonts w:hint="eastAsia"/>
          <w:lang w:eastAsia="zh-CN"/>
        </w:rPr>
        <w:t>》</w:t>
      </w:r>
      <w:r>
        <w:t>（</w:t>
      </w:r>
      <w:r>
        <w:rPr>
          <w:rFonts w:hint="eastAsia"/>
          <w:lang w:val="en-US" w:eastAsia="zh-CN"/>
        </w:rPr>
        <w:t>三水发〔2022〕17号</w:t>
      </w:r>
      <w:r>
        <w:t>）</w:t>
      </w:r>
      <w:r>
        <w:rPr>
          <w:rFonts w:hint="eastAsia"/>
          <w:lang w:eastAsia="zh-CN"/>
        </w:rPr>
        <w:t>；</w:t>
      </w:r>
    </w:p>
    <w:p w14:paraId="5CA405A9">
      <w:pPr>
        <w:bidi w:val="0"/>
        <w:rPr>
          <w:rFonts w:hint="eastAsia" w:eastAsia="宋体"/>
          <w:lang w:eastAsia="zh-CN"/>
        </w:rPr>
      </w:pPr>
      <w:r>
        <w:t>（</w:t>
      </w:r>
      <w:r>
        <w:rPr>
          <w:rFonts w:hint="eastAsia"/>
          <w:lang w:val="en-US" w:eastAsia="zh-CN"/>
        </w:rPr>
        <w:t>4</w:t>
      </w:r>
      <w:r>
        <w:t>）</w:t>
      </w:r>
      <w:r>
        <w:rPr>
          <w:rFonts w:hint="eastAsia"/>
          <w:lang w:eastAsia="zh-CN"/>
        </w:rPr>
        <w:t>《</w:t>
      </w:r>
      <w:r>
        <w:rPr>
          <w:rFonts w:hint="eastAsia"/>
          <w:lang w:val="en-US" w:eastAsia="zh-CN"/>
        </w:rPr>
        <w:t>三门峡市陕州区青龙涧河涧里村至杨家河村河道治理工程概算审查评审结论》</w:t>
      </w:r>
      <w:r>
        <w:t>（</w:t>
      </w:r>
      <w:r>
        <w:rPr>
          <w:rFonts w:hint="eastAsia"/>
          <w:lang w:val="en-US" w:eastAsia="zh-CN"/>
        </w:rPr>
        <w:t>三财评审</w:t>
      </w:r>
      <w:r>
        <w:t>〔20</w:t>
      </w:r>
      <w:r>
        <w:rPr>
          <w:rFonts w:hint="eastAsia"/>
          <w:lang w:val="en-US" w:eastAsia="zh-CN"/>
        </w:rPr>
        <w:t>22</w:t>
      </w:r>
      <w:r>
        <w:t>〕</w:t>
      </w:r>
      <w:r>
        <w:rPr>
          <w:rFonts w:hint="eastAsia"/>
          <w:lang w:val="en-US" w:eastAsia="zh-CN"/>
        </w:rPr>
        <w:t>16</w:t>
      </w:r>
      <w:r>
        <w:t>号）</w:t>
      </w:r>
      <w:r>
        <w:rPr>
          <w:rFonts w:hint="eastAsia"/>
          <w:lang w:eastAsia="zh-CN"/>
        </w:rPr>
        <w:t>；</w:t>
      </w:r>
    </w:p>
    <w:p w14:paraId="3EE525BE">
      <w:pPr>
        <w:bidi w:val="0"/>
        <w:rPr>
          <w:rFonts w:hint="eastAsia" w:eastAsia="宋体"/>
          <w:lang w:eastAsia="zh-CN"/>
        </w:rPr>
      </w:pPr>
      <w:r>
        <w:t>（</w:t>
      </w:r>
      <w:r>
        <w:rPr>
          <w:rFonts w:hint="eastAsia"/>
          <w:lang w:val="en-US" w:eastAsia="zh-CN"/>
        </w:rPr>
        <w:t>5</w:t>
      </w:r>
      <w:r>
        <w:t>）</w:t>
      </w:r>
      <w:r>
        <w:rPr>
          <w:rFonts w:hint="eastAsia"/>
          <w:lang w:eastAsia="zh-CN"/>
        </w:rPr>
        <w:t>《</w:t>
      </w:r>
      <w:r>
        <w:rPr>
          <w:rFonts w:hint="eastAsia"/>
          <w:lang w:val="en-US" w:eastAsia="zh-CN"/>
        </w:rPr>
        <w:t>三门峡市陕州区水利局关于成立三门峡市陕州区青龙涧河涧里村至杨家河村河道治理工程建设管理处的请示》</w:t>
      </w:r>
      <w:r>
        <w:t>（</w:t>
      </w:r>
      <w:r>
        <w:rPr>
          <w:rFonts w:hint="eastAsia"/>
          <w:lang w:val="en-US" w:eastAsia="zh-CN"/>
        </w:rPr>
        <w:t>三陕水字〔2021〕253号</w:t>
      </w:r>
      <w:r>
        <w:t>）</w:t>
      </w:r>
      <w:r>
        <w:rPr>
          <w:rFonts w:hint="eastAsia"/>
          <w:lang w:eastAsia="zh-CN"/>
        </w:rPr>
        <w:t>；</w:t>
      </w:r>
    </w:p>
    <w:p w14:paraId="4011F66E">
      <w:pPr>
        <w:bidi w:val="0"/>
        <w:rPr>
          <w:rFonts w:hint="eastAsia" w:eastAsia="宋体"/>
          <w:lang w:eastAsia="zh-CN"/>
        </w:rPr>
      </w:pPr>
      <w:r>
        <w:rPr>
          <w:rFonts w:hint="eastAsia"/>
          <w:lang w:eastAsia="zh-CN"/>
        </w:rPr>
        <w:t>（</w:t>
      </w:r>
      <w:r>
        <w:rPr>
          <w:rFonts w:hint="eastAsia"/>
          <w:lang w:val="en-US" w:eastAsia="zh-CN"/>
        </w:rPr>
        <w:t>6</w:t>
      </w:r>
      <w:r>
        <w:rPr>
          <w:rFonts w:hint="eastAsia"/>
          <w:lang w:eastAsia="zh-CN"/>
        </w:rPr>
        <w:t>）《</w:t>
      </w:r>
      <w:r>
        <w:rPr>
          <w:rFonts w:hint="eastAsia"/>
          <w:lang w:val="en-US" w:eastAsia="zh-CN"/>
        </w:rPr>
        <w:t>三门峡市陕州区人民政府关于同意授权区水利局成立三门峡市陕州区青龙涧河涧里村至杨家河村河道治理工程建设管理处的批复》</w:t>
      </w:r>
      <w:r>
        <w:t>（</w:t>
      </w:r>
      <w:r>
        <w:rPr>
          <w:rFonts w:hint="eastAsia"/>
          <w:lang w:val="en-US" w:eastAsia="zh-CN"/>
        </w:rPr>
        <w:t>三陕政文</w:t>
      </w:r>
      <w:r>
        <w:t>〔20</w:t>
      </w:r>
      <w:r>
        <w:rPr>
          <w:rFonts w:hint="eastAsia"/>
          <w:lang w:val="en-US" w:eastAsia="zh-CN"/>
        </w:rPr>
        <w:t>21</w:t>
      </w:r>
      <w:r>
        <w:t>〕</w:t>
      </w:r>
      <w:r>
        <w:rPr>
          <w:rFonts w:hint="eastAsia"/>
          <w:lang w:val="en-US" w:eastAsia="zh-CN"/>
        </w:rPr>
        <w:t>37</w:t>
      </w:r>
      <w:r>
        <w:t>号）</w:t>
      </w:r>
      <w:r>
        <w:rPr>
          <w:rFonts w:hint="eastAsia"/>
          <w:lang w:eastAsia="zh-CN"/>
        </w:rPr>
        <w:t>；</w:t>
      </w:r>
    </w:p>
    <w:p w14:paraId="1D7B462E">
      <w:pPr>
        <w:bidi w:val="0"/>
        <w:rPr>
          <w:rFonts w:hint="eastAsia" w:eastAsia="宋体"/>
          <w:lang w:eastAsia="zh-CN"/>
        </w:rPr>
      </w:pPr>
      <w:r>
        <w:rPr>
          <w:rFonts w:hint="eastAsia"/>
          <w:lang w:eastAsia="zh-CN"/>
        </w:rPr>
        <w:t>（</w:t>
      </w:r>
      <w:r>
        <w:rPr>
          <w:rFonts w:hint="eastAsia"/>
          <w:lang w:val="en-US" w:eastAsia="zh-CN"/>
        </w:rPr>
        <w:t>7</w:t>
      </w:r>
      <w:r>
        <w:rPr>
          <w:rFonts w:hint="eastAsia"/>
          <w:lang w:eastAsia="zh-CN"/>
        </w:rPr>
        <w:t>）《</w:t>
      </w:r>
      <w:r>
        <w:rPr>
          <w:rFonts w:hint="eastAsia"/>
          <w:lang w:val="en-US" w:eastAsia="zh-CN"/>
        </w:rPr>
        <w:t>水利部关于印发水利工程建设项目法人管理指导意见的通知》</w:t>
      </w:r>
      <w:r>
        <w:t>（</w:t>
      </w:r>
      <w:r>
        <w:rPr>
          <w:rFonts w:hint="eastAsia"/>
          <w:lang w:val="en-US" w:eastAsia="zh-CN"/>
        </w:rPr>
        <w:t>水建设</w:t>
      </w:r>
      <w:r>
        <w:t>〔20</w:t>
      </w:r>
      <w:r>
        <w:rPr>
          <w:rFonts w:hint="eastAsia"/>
          <w:lang w:val="en-US" w:eastAsia="zh-CN"/>
        </w:rPr>
        <w:t>20</w:t>
      </w:r>
      <w:r>
        <w:t>〕</w:t>
      </w:r>
      <w:r>
        <w:rPr>
          <w:rFonts w:hint="eastAsia"/>
          <w:lang w:val="en-US" w:eastAsia="zh-CN"/>
        </w:rPr>
        <w:t>258</w:t>
      </w:r>
      <w:r>
        <w:t>号）</w:t>
      </w:r>
      <w:r>
        <w:rPr>
          <w:rFonts w:hint="eastAsia"/>
          <w:lang w:eastAsia="zh-CN"/>
        </w:rPr>
        <w:t>；</w:t>
      </w:r>
    </w:p>
    <w:p w14:paraId="6BD5292C">
      <w:pPr>
        <w:bidi w:val="0"/>
        <w:rPr>
          <w:rFonts w:hint="default" w:eastAsia="宋体"/>
          <w:lang w:val="en-US" w:eastAsia="zh-CN"/>
        </w:rPr>
      </w:pPr>
      <w:r>
        <w:rPr>
          <w:rFonts w:hint="eastAsia"/>
          <w:lang w:eastAsia="zh-CN"/>
        </w:rPr>
        <w:t>（</w:t>
      </w:r>
      <w:r>
        <w:rPr>
          <w:rFonts w:hint="eastAsia"/>
          <w:lang w:val="en-US" w:eastAsia="zh-CN"/>
        </w:rPr>
        <w:t>8</w:t>
      </w:r>
      <w:r>
        <w:rPr>
          <w:rFonts w:hint="eastAsia"/>
          <w:lang w:eastAsia="zh-CN"/>
        </w:rPr>
        <w:t>）</w:t>
      </w:r>
      <w:r>
        <w:rPr>
          <w:rFonts w:hint="eastAsia"/>
          <w:lang w:val="en-US" w:eastAsia="zh-CN"/>
        </w:rPr>
        <w:t>《关于成立三门峡市陕州区青龙涧河涧里村至杨家河村河道治理工程建设管理处的通知》</w:t>
      </w:r>
      <w:r>
        <w:t>（</w:t>
      </w:r>
      <w:r>
        <w:rPr>
          <w:rFonts w:hint="eastAsia"/>
          <w:lang w:val="en-US" w:eastAsia="zh-CN"/>
        </w:rPr>
        <w:t>三陕水字〔2022〕120号</w:t>
      </w:r>
      <w:r>
        <w:t>）</w:t>
      </w:r>
      <w:r>
        <w:rPr>
          <w:rFonts w:hint="eastAsia"/>
          <w:lang w:val="en-US" w:eastAsia="zh-CN"/>
        </w:rPr>
        <w:t>；</w:t>
      </w:r>
    </w:p>
    <w:p w14:paraId="7DB0F059">
      <w:pPr>
        <w:bidi w:val="0"/>
        <w:rPr>
          <w:rFonts w:hint="eastAsia" w:eastAsia="宋体"/>
          <w:lang w:eastAsia="zh-CN"/>
        </w:rPr>
      </w:pPr>
      <w:r>
        <w:rPr>
          <w:rFonts w:hint="eastAsia"/>
          <w:lang w:eastAsia="zh-CN"/>
        </w:rPr>
        <w:t>（</w:t>
      </w:r>
      <w:r>
        <w:rPr>
          <w:rFonts w:hint="eastAsia"/>
          <w:lang w:val="en-US" w:eastAsia="zh-CN"/>
        </w:rPr>
        <w:t>9</w:t>
      </w:r>
      <w:r>
        <w:rPr>
          <w:rFonts w:hint="eastAsia"/>
          <w:lang w:eastAsia="zh-CN"/>
        </w:rPr>
        <w:t>）</w:t>
      </w:r>
      <w:r>
        <w:rPr>
          <w:rFonts w:hint="eastAsia"/>
          <w:lang w:val="en-US" w:eastAsia="zh-CN"/>
        </w:rPr>
        <w:t>三门峡市生态环境局第二分局《关于三门市陕州区青龙涧河涧里村至杨家河村河道治理工程环境影响报告表告知承诺制审批申请的批复》</w:t>
      </w:r>
      <w:r>
        <w:t>（</w:t>
      </w:r>
      <w:r>
        <w:rPr>
          <w:rFonts w:hint="eastAsia"/>
          <w:lang w:val="en-US" w:eastAsia="zh-CN"/>
        </w:rPr>
        <w:t>三环二分局审</w:t>
      </w:r>
      <w:r>
        <w:t>〔20</w:t>
      </w:r>
      <w:r>
        <w:rPr>
          <w:rFonts w:hint="eastAsia"/>
          <w:lang w:val="en-US" w:eastAsia="zh-CN"/>
        </w:rPr>
        <w:t>23</w:t>
      </w:r>
      <w:r>
        <w:t>〕</w:t>
      </w:r>
      <w:r>
        <w:rPr>
          <w:rFonts w:hint="eastAsia"/>
          <w:lang w:val="en-US" w:eastAsia="zh-CN"/>
        </w:rPr>
        <w:t>4</w:t>
      </w:r>
      <w:r>
        <w:t>号）</w:t>
      </w:r>
      <w:r>
        <w:rPr>
          <w:rFonts w:hint="eastAsia"/>
          <w:lang w:eastAsia="zh-CN"/>
        </w:rPr>
        <w:t>；</w:t>
      </w:r>
    </w:p>
    <w:p w14:paraId="4F908DC9">
      <w:pPr>
        <w:bidi w:val="0"/>
        <w:rPr>
          <w:rFonts w:hint="eastAsia" w:eastAsia="宋体"/>
          <w:lang w:eastAsia="zh-CN"/>
        </w:rPr>
      </w:pPr>
      <w:r>
        <w:rPr>
          <w:rFonts w:hint="eastAsia"/>
          <w:lang w:eastAsia="zh-CN"/>
        </w:rPr>
        <w:t>（</w:t>
      </w:r>
      <w:r>
        <w:rPr>
          <w:rFonts w:hint="eastAsia"/>
          <w:lang w:val="en-US" w:eastAsia="zh-CN"/>
        </w:rPr>
        <w:t>10</w:t>
      </w:r>
      <w:r>
        <w:rPr>
          <w:rFonts w:hint="eastAsia"/>
          <w:lang w:eastAsia="zh-CN"/>
        </w:rPr>
        <w:t>）</w:t>
      </w:r>
      <w:r>
        <w:rPr>
          <w:rFonts w:hint="eastAsia"/>
          <w:lang w:val="en-US" w:eastAsia="zh-CN"/>
        </w:rPr>
        <w:t>三门峡市陕州区青龙涧河涧里村至杨家河村段河道治理工程初步设计报告</w:t>
      </w:r>
      <w:r>
        <w:rPr>
          <w:rFonts w:hint="eastAsia"/>
          <w:lang w:eastAsia="zh-CN"/>
        </w:rPr>
        <w:t>；</w:t>
      </w:r>
    </w:p>
    <w:p w14:paraId="3112FE98">
      <w:pPr>
        <w:bidi w:val="0"/>
        <w:rPr>
          <w:rFonts w:hint="eastAsia" w:eastAsia="宋体"/>
          <w:lang w:eastAsia="zh-CN"/>
        </w:rPr>
      </w:pPr>
      <w:r>
        <w:rPr>
          <w:rFonts w:hint="eastAsia"/>
          <w:lang w:eastAsia="zh-CN"/>
        </w:rPr>
        <w:t>（</w:t>
      </w:r>
      <w:r>
        <w:rPr>
          <w:rFonts w:hint="eastAsia"/>
          <w:lang w:val="en-US" w:eastAsia="zh-CN"/>
        </w:rPr>
        <w:t>11</w:t>
      </w:r>
      <w:r>
        <w:rPr>
          <w:rFonts w:hint="eastAsia"/>
          <w:lang w:eastAsia="zh-CN"/>
        </w:rPr>
        <w:t>）</w:t>
      </w:r>
      <w:r>
        <w:rPr>
          <w:rFonts w:hint="eastAsia"/>
          <w:lang w:val="en-US" w:eastAsia="zh-CN"/>
        </w:rPr>
        <w:t>关于优化实施三门峡市陕州区青龙涧河涧里村至杨家河村河道治理工程的会议纪要</w:t>
      </w:r>
      <w:r>
        <w:rPr>
          <w:rFonts w:hint="eastAsia"/>
          <w:lang w:eastAsia="zh-CN"/>
        </w:rPr>
        <w:t>；</w:t>
      </w:r>
    </w:p>
    <w:p w14:paraId="3C32A18A">
      <w:pPr>
        <w:bidi w:val="0"/>
        <w:rPr>
          <w:rFonts w:hint="default" w:eastAsia="宋体"/>
          <w:lang w:val="en-US" w:eastAsia="zh-CN"/>
        </w:rPr>
      </w:pPr>
      <w:r>
        <w:rPr>
          <w:rFonts w:hint="eastAsia"/>
          <w:lang w:eastAsia="zh-CN"/>
        </w:rPr>
        <w:t>（</w:t>
      </w:r>
      <w:r>
        <w:rPr>
          <w:rFonts w:hint="eastAsia"/>
          <w:lang w:val="en-US" w:eastAsia="zh-CN"/>
        </w:rPr>
        <w:t>12</w:t>
      </w:r>
      <w:r>
        <w:rPr>
          <w:rFonts w:hint="eastAsia"/>
          <w:lang w:eastAsia="zh-CN"/>
        </w:rPr>
        <w:t>）</w:t>
      </w:r>
      <w:r>
        <w:rPr>
          <w:rFonts w:hint="eastAsia"/>
          <w:lang w:val="en-US" w:eastAsia="zh-CN"/>
        </w:rPr>
        <w:t>三门峡市陕州区青龙涧河涧里村至杨家河村段河道治理工程施工图优化设计</w:t>
      </w:r>
      <w:r>
        <w:rPr>
          <w:rFonts w:hint="eastAsia"/>
          <w:lang w:eastAsia="zh-CN"/>
        </w:rPr>
        <w:t>。</w:t>
      </w:r>
    </w:p>
    <w:p w14:paraId="3F06EE0B">
      <w:pPr>
        <w:pStyle w:val="3"/>
        <w:numPr>
          <w:ilvl w:val="0"/>
          <w:numId w:val="3"/>
        </w:numPr>
        <w:bidi w:val="0"/>
      </w:pPr>
      <w:bookmarkStart w:id="14" w:name="_Toc11243"/>
      <w:r>
        <w:t>项目组织管理情况</w:t>
      </w:r>
      <w:bookmarkEnd w:id="14"/>
    </w:p>
    <w:p w14:paraId="60B5435A">
      <w:pPr>
        <w:pStyle w:val="4"/>
        <w:bidi w:val="0"/>
      </w:pPr>
      <w:bookmarkStart w:id="15" w:name="_Toc23864"/>
      <w:r>
        <w:t>1</w:t>
      </w:r>
      <w:r>
        <w:rPr>
          <w:rFonts w:hint="eastAsia"/>
          <w:lang w:val="en-US" w:eastAsia="zh-CN"/>
        </w:rPr>
        <w:t>.</w:t>
      </w:r>
      <w:r>
        <w:t>项目组织管理机构</w:t>
      </w:r>
      <w:bookmarkEnd w:id="15"/>
    </w:p>
    <w:p w14:paraId="3713E33F">
      <w:pPr>
        <w:bidi w:val="0"/>
      </w:pPr>
      <w:r>
        <w:rPr>
          <w:rFonts w:hint="eastAsia" w:eastAsia="宋体"/>
          <w:lang w:val="en-US" w:eastAsia="zh-CN"/>
        </w:rPr>
        <w:t>三门峡</w:t>
      </w:r>
      <w:r>
        <w:rPr>
          <w:rFonts w:hint="eastAsia"/>
          <w:lang w:val="en-US" w:eastAsia="zh-CN"/>
        </w:rPr>
        <w:t>市陕州区财政局</w:t>
      </w:r>
      <w:r>
        <w:t>：主要负责制定财政支持政策，落实财政资金并加强监管使用等。</w:t>
      </w:r>
    </w:p>
    <w:p w14:paraId="68B89AAE">
      <w:pPr>
        <w:bidi w:val="0"/>
      </w:pPr>
      <w:r>
        <w:rPr>
          <w:rFonts w:hint="eastAsia"/>
          <w:lang w:val="en-US" w:eastAsia="zh-CN"/>
        </w:rPr>
        <w:t>三门峡市陕州区青龙涧河涧里村至杨家河村河道治理工程建设管理处</w:t>
      </w:r>
      <w:r>
        <w:rPr>
          <w:rFonts w:hint="eastAsia"/>
        </w:rPr>
        <w:t>：</w:t>
      </w:r>
      <w:r>
        <w:t>负责项目立项、设计、招投标等前期手续办理，项目实施，过程监督</w:t>
      </w:r>
      <w:r>
        <w:rPr>
          <w:rFonts w:hint="eastAsia"/>
          <w:lang w:val="en-US" w:eastAsia="zh-CN"/>
        </w:rPr>
        <w:t>及</w:t>
      </w:r>
      <w:r>
        <w:t>竣工验收。</w:t>
      </w:r>
    </w:p>
    <w:p w14:paraId="10E9552D">
      <w:pPr>
        <w:pStyle w:val="4"/>
        <w:bidi w:val="0"/>
      </w:pPr>
      <w:bookmarkStart w:id="16" w:name="_Toc5412"/>
      <w:r>
        <w:t>2</w:t>
      </w:r>
      <w:r>
        <w:rPr>
          <w:rFonts w:hint="eastAsia"/>
          <w:lang w:val="en-US" w:eastAsia="zh-CN"/>
        </w:rPr>
        <w:t>.</w:t>
      </w:r>
      <w:r>
        <w:t>项目具体实施流程</w:t>
      </w:r>
      <w:bookmarkEnd w:id="16"/>
    </w:p>
    <w:p w14:paraId="107AAF60">
      <w:pPr>
        <w:pStyle w:val="5"/>
        <w:bidi w:val="0"/>
      </w:pPr>
      <w:r>
        <w:t>（1）资金管理</w:t>
      </w:r>
    </w:p>
    <w:p w14:paraId="7A5EFF39">
      <w:pPr>
        <w:bidi w:val="0"/>
      </w:pPr>
      <w:r>
        <w:rPr>
          <w:rFonts w:hint="eastAsia"/>
          <w:lang w:val="en-US" w:eastAsia="zh-CN"/>
        </w:rPr>
        <w:t>根据陕州区水利局财务监督管理制度：①</w:t>
      </w:r>
      <w:r>
        <w:rPr>
          <w:rFonts w:hint="eastAsia" w:eastAsia="宋体"/>
          <w:lang w:val="en-US" w:eastAsia="zh-CN"/>
        </w:rPr>
        <w:t>资金按照统筹规划、科学立项、统一分配、专款专用、跟踪问效的原则进行管理。</w:t>
      </w:r>
      <w:r>
        <w:rPr>
          <w:rFonts w:hint="eastAsia"/>
          <w:lang w:val="en-US" w:eastAsia="zh-CN"/>
        </w:rPr>
        <w:t>②</w:t>
      </w:r>
      <w:r>
        <w:rPr>
          <w:rFonts w:hint="eastAsia" w:eastAsia="宋体"/>
          <w:lang w:val="en-US" w:eastAsia="zh-CN"/>
        </w:rPr>
        <w:t>资金实行归口管理。项目管理部门收到资金文件后，安排专人协助财务科管理资金。</w:t>
      </w:r>
      <w:r>
        <w:rPr>
          <w:rFonts w:hint="eastAsia"/>
          <w:lang w:val="en-US" w:eastAsia="zh-CN"/>
        </w:rPr>
        <w:t>③</w:t>
      </w:r>
      <w:r>
        <w:rPr>
          <w:rFonts w:hint="eastAsia" w:eastAsia="宋体"/>
          <w:lang w:val="en-US" w:eastAsia="zh-CN"/>
        </w:rPr>
        <w:t>资金使用须严格执行相关规章制度执行，支付方式原则上采用“转账”。</w:t>
      </w:r>
      <w:r>
        <w:rPr>
          <w:rFonts w:hint="eastAsia"/>
          <w:lang w:val="en-US" w:eastAsia="zh-CN"/>
        </w:rPr>
        <w:t>④</w:t>
      </w:r>
      <w:r>
        <w:rPr>
          <w:rFonts w:hint="eastAsia" w:eastAsia="宋体"/>
          <w:lang w:val="en-US" w:eastAsia="zh-CN"/>
        </w:rPr>
        <w:t>严格按照施工合同中的相关规定执行合同款的支付。承包人填写“工程款支付申请表”，监理单位根据工程的质量和进度进行审核，检查签证及验收等所有资料、手续是否完整，签署明确的质量、进度及签证相关手续、验收等意见后，移交给发包方审核。</w:t>
      </w:r>
      <w:r>
        <w:rPr>
          <w:rFonts w:hint="eastAsia"/>
          <w:lang w:val="en-US" w:eastAsia="zh-CN"/>
        </w:rPr>
        <w:t>⑤</w:t>
      </w:r>
      <w:r>
        <w:rPr>
          <w:rFonts w:hint="eastAsia" w:eastAsia="宋体"/>
          <w:lang w:val="en-US" w:eastAsia="zh-CN"/>
        </w:rPr>
        <w:t>资金要按照项目管理方案和有关规定安排使用，一般情况不做调整。如有特殊情况需调整项目或项目具体内容的，需逐级报批。</w:t>
      </w:r>
      <w:r>
        <w:rPr>
          <w:rFonts w:hint="eastAsia"/>
          <w:lang w:val="en-US" w:eastAsia="zh-CN"/>
        </w:rPr>
        <w:t>⑥</w:t>
      </w:r>
      <w:r>
        <w:rPr>
          <w:rFonts w:hint="eastAsia" w:eastAsia="宋体"/>
          <w:lang w:val="en-US" w:eastAsia="zh-CN"/>
        </w:rPr>
        <w:t>项目管理部门要加强对项目的监督检查，对资金的安全性、合规性和绩效情况进行跟踪问效。发现问题及时报告，及时处理。</w:t>
      </w:r>
    </w:p>
    <w:p w14:paraId="6F8C3745">
      <w:pPr>
        <w:pStyle w:val="5"/>
        <w:bidi w:val="0"/>
      </w:pPr>
      <w:r>
        <w:t>（2）项目管理</w:t>
      </w:r>
    </w:p>
    <w:p w14:paraId="11BF82C5">
      <w:pPr>
        <w:bidi w:val="0"/>
      </w:pPr>
      <w:r>
        <w:rPr>
          <w:rFonts w:hint="eastAsia"/>
          <w:lang w:val="en-US" w:eastAsia="zh-CN"/>
        </w:rPr>
        <w:t>三门峡市陕州区青龙涧河涧里村至杨家河村河道治理工程建设管理处根据该项目，成立工程质量监督项目组，建立工程质量检查制度、工程质量例会制度、工程质量验收制度、工程质量奖惩制度、工程质量监督计划等全方位的监督体系。</w:t>
      </w:r>
    </w:p>
    <w:p w14:paraId="6724BFA7">
      <w:pPr>
        <w:pStyle w:val="3"/>
        <w:bidi w:val="0"/>
      </w:pPr>
      <w:bookmarkStart w:id="17" w:name="_Toc29016"/>
      <w:r>
        <w:rPr>
          <w:rFonts w:hint="eastAsia"/>
        </w:rPr>
        <w:t>（四）项目利益相关方</w:t>
      </w:r>
      <w:bookmarkEnd w:id="17"/>
    </w:p>
    <w:p w14:paraId="24EFE857">
      <w:pPr>
        <w:bidi w:val="0"/>
        <w:rPr>
          <w:rFonts w:hint="eastAsia" w:eastAsia="宋体"/>
          <w:lang w:val="en-US" w:eastAsia="zh-CN"/>
        </w:rPr>
      </w:pPr>
      <w:r>
        <w:rPr>
          <w:rFonts w:hint="eastAsia"/>
          <w:lang w:val="en-US" w:eastAsia="zh-CN"/>
        </w:rPr>
        <w:t>实施主体：三门峡市陕州区水利局</w:t>
      </w:r>
    </w:p>
    <w:p w14:paraId="4206B0BE">
      <w:pPr>
        <w:bidi w:val="0"/>
      </w:pPr>
      <w:r>
        <w:t>主管单位：</w:t>
      </w:r>
      <w:r>
        <w:rPr>
          <w:rFonts w:hint="eastAsia"/>
          <w:lang w:val="en-US" w:eastAsia="zh-CN"/>
        </w:rPr>
        <w:t>三门峡市陕州区青龙涧河涧里村至杨家河村段河道治理工程建设管理处</w:t>
      </w:r>
    </w:p>
    <w:p w14:paraId="273DCBE3">
      <w:pPr>
        <w:bidi w:val="0"/>
        <w:rPr>
          <w:rFonts w:hint="default"/>
          <w:lang w:val="en-US" w:eastAsia="zh-CN"/>
        </w:rPr>
      </w:pPr>
      <w:r>
        <w:t>拨款单位：三门峡</w:t>
      </w:r>
      <w:r>
        <w:rPr>
          <w:rFonts w:hint="eastAsia"/>
          <w:lang w:val="en-US" w:eastAsia="zh-CN"/>
        </w:rPr>
        <w:t>市陕州区财政局</w:t>
      </w:r>
    </w:p>
    <w:p w14:paraId="7700113F">
      <w:pPr>
        <w:bidi w:val="0"/>
      </w:pPr>
      <w:r>
        <w:t>实施单位：</w:t>
      </w:r>
      <w:r>
        <w:rPr>
          <w:rFonts w:hint="eastAsia"/>
          <w:lang w:val="en-US" w:eastAsia="zh-CN"/>
        </w:rPr>
        <w:t>河南润杰建设工程有限公司、中水华通工程有限公司</w:t>
      </w:r>
    </w:p>
    <w:p w14:paraId="3F892AB3">
      <w:pPr>
        <w:bidi w:val="0"/>
        <w:rPr>
          <w:rFonts w:hint="eastAsia"/>
          <w:lang w:val="en-US" w:eastAsia="zh-CN"/>
        </w:rPr>
      </w:pPr>
      <w:r>
        <w:rPr>
          <w:rFonts w:hint="eastAsia"/>
          <w:lang w:val="en-US" w:eastAsia="zh-CN"/>
        </w:rPr>
        <w:t>监理单位：河南省日月工程管理有限公司</w:t>
      </w:r>
    </w:p>
    <w:p w14:paraId="2A90C993">
      <w:pPr>
        <w:bidi w:val="0"/>
      </w:pPr>
      <w:r>
        <w:t>项目受益方：项目受益群众、项目供应商</w:t>
      </w:r>
    </w:p>
    <w:p w14:paraId="19A1C396">
      <w:pPr>
        <w:pStyle w:val="3"/>
        <w:bidi w:val="0"/>
      </w:pPr>
      <w:bookmarkStart w:id="18" w:name="_Toc23174"/>
      <w:r>
        <w:t>（五）项目绩效目标</w:t>
      </w:r>
      <w:bookmarkEnd w:id="18"/>
    </w:p>
    <w:p w14:paraId="4E9904D1">
      <w:pPr>
        <w:pStyle w:val="4"/>
        <w:bidi w:val="0"/>
      </w:pPr>
      <w:bookmarkStart w:id="19" w:name="_Toc18568"/>
      <w:r>
        <w:t>1</w:t>
      </w:r>
      <w:r>
        <w:rPr>
          <w:rFonts w:hint="eastAsia"/>
          <w:lang w:val="en-US" w:eastAsia="zh-CN"/>
        </w:rPr>
        <w:t>.</w:t>
      </w:r>
      <w:r>
        <w:t>总体</w:t>
      </w:r>
      <w:r>
        <w:rPr>
          <w:rFonts w:hint="eastAsia"/>
          <w:lang w:val="en-US" w:eastAsia="zh-CN"/>
        </w:rPr>
        <w:t>绩效</w:t>
      </w:r>
      <w:r>
        <w:t>目标</w:t>
      </w:r>
      <w:bookmarkEnd w:id="19"/>
    </w:p>
    <w:p w14:paraId="3A8011AC">
      <w:pPr>
        <w:bidi w:val="0"/>
        <w:rPr>
          <w:rFonts w:hint="default"/>
          <w:lang w:val="en-US" w:eastAsia="zh-CN"/>
        </w:rPr>
      </w:pPr>
      <w:r>
        <w:rPr>
          <w:rFonts w:hint="eastAsia"/>
          <w:lang w:val="en-US" w:eastAsia="zh-CN"/>
        </w:rPr>
        <w:t>工程批复治理防洪标准为10年一遇，两岸新建护岸3.814km(其中左岸新建1.248km，右岸新建2.566km)，河道疏浚6.605km，拆除重建交通1座，新建漫水路1条，拆除重建生产桥3座，支沟口防护3条，修建排水涵2座，拆除重建交通道路155.0m，批复建设工期8个月。</w:t>
      </w:r>
    </w:p>
    <w:p w14:paraId="5EA1E524">
      <w:pPr>
        <w:pStyle w:val="4"/>
        <w:bidi w:val="0"/>
      </w:pPr>
      <w:bookmarkStart w:id="20" w:name="_Toc22798"/>
      <w:r>
        <w:t>2</w:t>
      </w:r>
      <w:r>
        <w:rPr>
          <w:rFonts w:hint="eastAsia"/>
          <w:lang w:val="en-US" w:eastAsia="zh-CN"/>
        </w:rPr>
        <w:t>.具体绩效</w:t>
      </w:r>
      <w:r>
        <w:t>目标</w:t>
      </w:r>
      <w:bookmarkEnd w:id="20"/>
    </w:p>
    <w:p w14:paraId="5358395B">
      <w:pPr>
        <w:bidi w:val="0"/>
        <w:rPr>
          <w:rFonts w:hint="eastAsia"/>
          <w:highlight w:val="none"/>
          <w:lang w:val="en-US" w:eastAsia="zh-CN"/>
        </w:rPr>
      </w:pPr>
      <w:r>
        <w:rPr>
          <w:rFonts w:hint="eastAsia"/>
          <w:highlight w:val="none"/>
          <w:lang w:val="en-US" w:eastAsia="zh-CN"/>
        </w:rPr>
        <w:t>该项目申报具体年度绩效目标如下</w:t>
      </w:r>
      <w:r>
        <w:rPr>
          <w:highlight w:val="none"/>
        </w:rPr>
        <w:t>表</w:t>
      </w:r>
      <w:r>
        <w:rPr>
          <w:rFonts w:hint="eastAsia"/>
          <w:highlight w:val="none"/>
          <w:lang w:val="en-US" w:eastAsia="zh-CN"/>
        </w:rPr>
        <w:t>所示</w:t>
      </w:r>
      <w:r>
        <w:rPr>
          <w:rFonts w:hint="eastAsia"/>
          <w:highlight w:val="none"/>
          <w:lang w:eastAsia="zh-CN"/>
        </w:rPr>
        <w:t>：</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130"/>
        <w:gridCol w:w="3475"/>
        <w:gridCol w:w="2195"/>
      </w:tblGrid>
      <w:tr w14:paraId="1A70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tblHeader/>
        </w:trPr>
        <w:tc>
          <w:tcPr>
            <w:tcW w:w="1778" w:type="pct"/>
            <w:vAlign w:val="center"/>
          </w:tcPr>
          <w:p w14:paraId="2CB8F066">
            <w:pPr>
              <w:spacing w:before="0" w:beforeLines="0" w:line="240" w:lineRule="auto"/>
              <w:ind w:firstLine="0" w:firstLineChars="0"/>
              <w:jc w:val="center"/>
              <w:rPr>
                <w:b/>
                <w:bCs/>
                <w:sz w:val="28"/>
                <w:szCs w:val="28"/>
                <w:highlight w:val="none"/>
              </w:rPr>
            </w:pPr>
            <w:r>
              <w:rPr>
                <w:b/>
                <w:bCs/>
                <w:color w:val="000000"/>
                <w:sz w:val="28"/>
                <w:szCs w:val="28"/>
                <w:highlight w:val="none"/>
              </w:rPr>
              <w:t>指标类别</w:t>
            </w:r>
          </w:p>
        </w:tc>
        <w:tc>
          <w:tcPr>
            <w:tcW w:w="1974" w:type="pct"/>
            <w:vAlign w:val="center"/>
          </w:tcPr>
          <w:p w14:paraId="7703C1F3">
            <w:pPr>
              <w:spacing w:before="0" w:beforeLines="0" w:line="240" w:lineRule="auto"/>
              <w:ind w:firstLine="0" w:firstLineChars="0"/>
              <w:jc w:val="center"/>
              <w:rPr>
                <w:b/>
                <w:bCs/>
                <w:sz w:val="28"/>
                <w:szCs w:val="28"/>
                <w:highlight w:val="none"/>
              </w:rPr>
            </w:pPr>
            <w:r>
              <w:rPr>
                <w:b/>
                <w:bCs/>
                <w:color w:val="000000"/>
                <w:sz w:val="28"/>
                <w:szCs w:val="28"/>
                <w:highlight w:val="none"/>
              </w:rPr>
              <w:t>指标名称</w:t>
            </w:r>
          </w:p>
        </w:tc>
        <w:tc>
          <w:tcPr>
            <w:tcW w:w="1247" w:type="pct"/>
            <w:vAlign w:val="center"/>
          </w:tcPr>
          <w:p w14:paraId="38338348">
            <w:pPr>
              <w:spacing w:before="0" w:beforeLines="0" w:line="240" w:lineRule="auto"/>
              <w:ind w:firstLine="0" w:firstLineChars="0"/>
              <w:jc w:val="center"/>
              <w:rPr>
                <w:b/>
                <w:bCs/>
                <w:sz w:val="28"/>
                <w:szCs w:val="28"/>
                <w:highlight w:val="none"/>
              </w:rPr>
            </w:pPr>
            <w:r>
              <w:rPr>
                <w:b/>
                <w:bCs/>
                <w:color w:val="000000"/>
                <w:sz w:val="28"/>
                <w:szCs w:val="28"/>
                <w:highlight w:val="none"/>
              </w:rPr>
              <w:t>指标值</w:t>
            </w:r>
          </w:p>
        </w:tc>
      </w:tr>
      <w:tr w14:paraId="15ED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trPr>
        <w:tc>
          <w:tcPr>
            <w:tcW w:w="1778" w:type="pct"/>
            <w:vMerge w:val="restart"/>
            <w:vAlign w:val="center"/>
          </w:tcPr>
          <w:p w14:paraId="64316B65">
            <w:pPr>
              <w:spacing w:before="0" w:beforeLines="0" w:line="240" w:lineRule="auto"/>
              <w:ind w:firstLine="0" w:firstLineChars="0"/>
              <w:jc w:val="center"/>
              <w:rPr>
                <w:rFonts w:hint="default"/>
                <w:sz w:val="24"/>
                <w:szCs w:val="24"/>
                <w:highlight w:val="none"/>
                <w:lang w:val="en-US"/>
              </w:rPr>
            </w:pPr>
            <w:r>
              <w:rPr>
                <w:rFonts w:hint="eastAsia"/>
                <w:color w:val="000000"/>
                <w:sz w:val="24"/>
                <w:szCs w:val="24"/>
                <w:highlight w:val="none"/>
                <w:lang w:val="en-US" w:eastAsia="zh-CN"/>
              </w:rPr>
              <w:t>成本指标</w:t>
            </w:r>
          </w:p>
        </w:tc>
        <w:tc>
          <w:tcPr>
            <w:tcW w:w="1974" w:type="pct"/>
            <w:vAlign w:val="center"/>
          </w:tcPr>
          <w:p w14:paraId="7D9FD485">
            <w:pPr>
              <w:spacing w:before="0" w:beforeLines="0" w:line="240" w:lineRule="auto"/>
              <w:ind w:firstLine="0" w:firstLineChars="0"/>
              <w:jc w:val="center"/>
              <w:rPr>
                <w:rFonts w:hint="default" w:eastAsia="宋体"/>
                <w:sz w:val="24"/>
                <w:szCs w:val="24"/>
                <w:highlight w:val="none"/>
                <w:lang w:val="en-US" w:eastAsia="zh-CN"/>
              </w:rPr>
            </w:pPr>
            <w:r>
              <w:rPr>
                <w:rFonts w:hint="eastAsia"/>
                <w:sz w:val="24"/>
                <w:szCs w:val="24"/>
                <w:highlight w:val="none"/>
                <w:lang w:val="en-US" w:eastAsia="zh-CN"/>
              </w:rPr>
              <w:t>总成本</w:t>
            </w:r>
          </w:p>
        </w:tc>
        <w:tc>
          <w:tcPr>
            <w:tcW w:w="1247" w:type="pct"/>
            <w:vAlign w:val="center"/>
          </w:tcPr>
          <w:p w14:paraId="56F7373A">
            <w:pPr>
              <w:spacing w:before="0" w:beforeLines="0" w:line="240" w:lineRule="auto"/>
              <w:ind w:firstLine="0" w:firstLineChars="0"/>
              <w:jc w:val="center"/>
              <w:rPr>
                <w:rFonts w:hint="default" w:eastAsia="宋体"/>
                <w:sz w:val="24"/>
                <w:szCs w:val="24"/>
                <w:highlight w:val="none"/>
                <w:lang w:val="en-US" w:eastAsia="zh-CN"/>
              </w:rPr>
            </w:pPr>
            <w:r>
              <w:rPr>
                <w:rFonts w:hint="eastAsia"/>
                <w:sz w:val="24"/>
                <w:szCs w:val="24"/>
                <w:highlight w:val="none"/>
                <w:lang w:val="en-US" w:eastAsia="zh-CN"/>
              </w:rPr>
              <w:t>≤1541万元</w:t>
            </w:r>
          </w:p>
        </w:tc>
      </w:tr>
      <w:tr w14:paraId="7E37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trPr>
        <w:tc>
          <w:tcPr>
            <w:tcW w:w="1778" w:type="pct"/>
            <w:vMerge w:val="continue"/>
            <w:vAlign w:val="center"/>
          </w:tcPr>
          <w:p w14:paraId="3182B12C">
            <w:pPr>
              <w:spacing w:before="0" w:beforeLines="0" w:line="240" w:lineRule="auto"/>
              <w:ind w:firstLine="0" w:firstLineChars="0"/>
              <w:jc w:val="center"/>
              <w:rPr>
                <w:rFonts w:hint="eastAsia"/>
                <w:color w:val="000000"/>
                <w:sz w:val="28"/>
                <w:szCs w:val="28"/>
                <w:highlight w:val="none"/>
                <w:lang w:val="en-US" w:eastAsia="zh-CN"/>
              </w:rPr>
            </w:pPr>
          </w:p>
        </w:tc>
        <w:tc>
          <w:tcPr>
            <w:tcW w:w="1974" w:type="pct"/>
            <w:vAlign w:val="center"/>
          </w:tcPr>
          <w:p w14:paraId="189616C4">
            <w:pPr>
              <w:spacing w:before="0" w:beforeLines="0" w:line="240" w:lineRule="auto"/>
              <w:ind w:firstLine="0" w:firstLineChars="0"/>
              <w:jc w:val="center"/>
              <w:rPr>
                <w:rFonts w:hint="eastAsia" w:eastAsia="宋体"/>
                <w:color w:val="000000"/>
                <w:sz w:val="28"/>
                <w:szCs w:val="28"/>
                <w:highlight w:val="none"/>
                <w:lang w:val="en-US" w:eastAsia="zh-CN"/>
              </w:rPr>
            </w:pPr>
            <w:r>
              <w:rPr>
                <w:rFonts w:hint="eastAsia"/>
                <w:color w:val="000000"/>
                <w:sz w:val="28"/>
                <w:szCs w:val="28"/>
                <w:highlight w:val="none"/>
                <w:lang w:val="en-US" w:eastAsia="zh-CN"/>
              </w:rPr>
              <w:t>提高防洪能力</w:t>
            </w:r>
          </w:p>
        </w:tc>
        <w:tc>
          <w:tcPr>
            <w:tcW w:w="1247" w:type="pct"/>
            <w:vAlign w:val="center"/>
          </w:tcPr>
          <w:p w14:paraId="2ADCCFC2">
            <w:pPr>
              <w:spacing w:before="0" w:beforeLines="0" w:line="240" w:lineRule="auto"/>
              <w:ind w:firstLine="0" w:firstLineChars="0"/>
              <w:jc w:val="center"/>
              <w:rPr>
                <w:rFonts w:hint="default"/>
                <w:color w:val="000000"/>
                <w:sz w:val="28"/>
                <w:szCs w:val="28"/>
                <w:highlight w:val="none"/>
                <w:lang w:val="en-US" w:eastAsia="zh-CN"/>
              </w:rPr>
            </w:pPr>
            <w:r>
              <w:rPr>
                <w:rFonts w:hint="eastAsia"/>
                <w:color w:val="000000"/>
                <w:sz w:val="28"/>
                <w:szCs w:val="28"/>
                <w:highlight w:val="none"/>
                <w:lang w:val="en-US" w:eastAsia="zh-CN"/>
              </w:rPr>
              <w:t>明显</w:t>
            </w:r>
          </w:p>
        </w:tc>
      </w:tr>
      <w:tr w14:paraId="1DE3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trPr>
        <w:tc>
          <w:tcPr>
            <w:tcW w:w="1778" w:type="pct"/>
            <w:vMerge w:val="continue"/>
            <w:vAlign w:val="center"/>
          </w:tcPr>
          <w:p w14:paraId="7B01D46C">
            <w:pPr>
              <w:spacing w:before="0" w:beforeLines="0" w:line="240" w:lineRule="auto"/>
              <w:ind w:firstLine="0" w:firstLineChars="0"/>
              <w:jc w:val="center"/>
              <w:rPr>
                <w:rFonts w:hint="eastAsia"/>
                <w:color w:val="000000"/>
                <w:sz w:val="28"/>
                <w:szCs w:val="28"/>
                <w:highlight w:val="none"/>
                <w:lang w:val="en-US" w:eastAsia="zh-CN"/>
              </w:rPr>
            </w:pPr>
          </w:p>
        </w:tc>
        <w:tc>
          <w:tcPr>
            <w:tcW w:w="1974" w:type="pct"/>
            <w:vAlign w:val="center"/>
          </w:tcPr>
          <w:p w14:paraId="5739359F">
            <w:pPr>
              <w:spacing w:before="0" w:beforeLines="0" w:line="240" w:lineRule="auto"/>
              <w:ind w:firstLine="0" w:firstLineChars="0"/>
              <w:jc w:val="center"/>
              <w:rPr>
                <w:rFonts w:hint="default" w:eastAsia="宋体"/>
                <w:color w:val="000000"/>
                <w:sz w:val="28"/>
                <w:szCs w:val="28"/>
                <w:highlight w:val="none"/>
                <w:lang w:val="en-US" w:eastAsia="zh-CN"/>
              </w:rPr>
            </w:pPr>
            <w:r>
              <w:rPr>
                <w:rFonts w:hint="eastAsia"/>
                <w:color w:val="000000"/>
                <w:sz w:val="28"/>
                <w:szCs w:val="28"/>
                <w:highlight w:val="none"/>
                <w:lang w:val="en-US" w:eastAsia="zh-CN"/>
              </w:rPr>
              <w:t>水生态环境改善</w:t>
            </w:r>
          </w:p>
        </w:tc>
        <w:tc>
          <w:tcPr>
            <w:tcW w:w="1247" w:type="pct"/>
            <w:vAlign w:val="center"/>
          </w:tcPr>
          <w:p w14:paraId="3B8335BB">
            <w:pPr>
              <w:spacing w:before="0" w:beforeLines="0" w:line="240" w:lineRule="auto"/>
              <w:ind w:firstLine="0" w:firstLineChars="0"/>
              <w:jc w:val="center"/>
              <w:rPr>
                <w:rFonts w:hint="default"/>
                <w:color w:val="000000"/>
                <w:sz w:val="28"/>
                <w:szCs w:val="28"/>
                <w:highlight w:val="none"/>
                <w:lang w:val="en-US" w:eastAsia="zh-CN"/>
              </w:rPr>
            </w:pPr>
            <w:r>
              <w:rPr>
                <w:rFonts w:hint="eastAsia"/>
                <w:color w:val="000000"/>
                <w:sz w:val="28"/>
                <w:szCs w:val="28"/>
                <w:highlight w:val="none"/>
                <w:lang w:val="en-US" w:eastAsia="zh-CN"/>
              </w:rPr>
              <w:t>明显</w:t>
            </w:r>
          </w:p>
        </w:tc>
      </w:tr>
      <w:tr w14:paraId="3AC7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trPr>
        <w:tc>
          <w:tcPr>
            <w:tcW w:w="1778" w:type="pct"/>
            <w:vMerge w:val="restart"/>
            <w:vAlign w:val="center"/>
          </w:tcPr>
          <w:p w14:paraId="3031DD54">
            <w:pPr>
              <w:spacing w:before="0" w:beforeLines="0" w:line="240" w:lineRule="auto"/>
              <w:ind w:firstLine="0" w:firstLineChars="0"/>
              <w:jc w:val="center"/>
              <w:rPr>
                <w:rFonts w:hint="default" w:eastAsia="宋体"/>
                <w:sz w:val="28"/>
                <w:szCs w:val="28"/>
                <w:highlight w:val="none"/>
                <w:lang w:val="en-US" w:eastAsia="zh-CN"/>
              </w:rPr>
            </w:pPr>
            <w:r>
              <w:rPr>
                <w:rFonts w:hint="eastAsia"/>
                <w:color w:val="000000"/>
                <w:sz w:val="28"/>
                <w:szCs w:val="28"/>
                <w:highlight w:val="none"/>
                <w:lang w:val="en-US" w:eastAsia="zh-CN"/>
              </w:rPr>
              <w:t>产出指标</w:t>
            </w:r>
          </w:p>
        </w:tc>
        <w:tc>
          <w:tcPr>
            <w:tcW w:w="1974" w:type="pct"/>
            <w:vAlign w:val="center"/>
          </w:tcPr>
          <w:p w14:paraId="0CD93A49">
            <w:pPr>
              <w:spacing w:before="0" w:beforeLines="0" w:line="240" w:lineRule="auto"/>
              <w:ind w:firstLine="0" w:firstLineChars="0"/>
              <w:jc w:val="center"/>
              <w:rPr>
                <w:rFonts w:hint="eastAsia" w:eastAsia="宋体"/>
                <w:sz w:val="28"/>
                <w:szCs w:val="28"/>
                <w:highlight w:val="none"/>
                <w:lang w:val="en-US" w:eastAsia="zh-CN"/>
              </w:rPr>
            </w:pPr>
            <w:r>
              <w:rPr>
                <w:rFonts w:hint="eastAsia"/>
                <w:color w:val="000000"/>
                <w:sz w:val="28"/>
                <w:szCs w:val="28"/>
                <w:highlight w:val="none"/>
                <w:lang w:val="en-US" w:eastAsia="zh-CN"/>
              </w:rPr>
              <w:t>完成河道治理</w:t>
            </w:r>
          </w:p>
        </w:tc>
        <w:tc>
          <w:tcPr>
            <w:tcW w:w="1247" w:type="pct"/>
            <w:vAlign w:val="center"/>
          </w:tcPr>
          <w:p w14:paraId="7B6C5A84">
            <w:pPr>
              <w:spacing w:before="0" w:beforeLines="0" w:line="240" w:lineRule="auto"/>
              <w:ind w:firstLine="0" w:firstLineChars="0"/>
              <w:jc w:val="center"/>
              <w:rPr>
                <w:rFonts w:hint="default" w:eastAsia="宋体"/>
                <w:sz w:val="28"/>
                <w:szCs w:val="28"/>
                <w:highlight w:val="none"/>
                <w:lang w:val="en-US" w:eastAsia="zh-CN"/>
              </w:rPr>
            </w:pPr>
            <w:r>
              <w:rPr>
                <w:rFonts w:hint="eastAsia"/>
                <w:color w:val="000000"/>
                <w:sz w:val="28"/>
                <w:szCs w:val="28"/>
                <w:highlight w:val="none"/>
                <w:lang w:val="en-US" w:eastAsia="zh-CN"/>
              </w:rPr>
              <w:t>1条</w:t>
            </w:r>
          </w:p>
        </w:tc>
      </w:tr>
      <w:tr w14:paraId="361B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trPr>
        <w:tc>
          <w:tcPr>
            <w:tcW w:w="1778" w:type="pct"/>
            <w:vMerge w:val="continue"/>
            <w:vAlign w:val="center"/>
          </w:tcPr>
          <w:p w14:paraId="1F3CA7BC">
            <w:pPr>
              <w:spacing w:before="0" w:beforeLines="0" w:line="240" w:lineRule="auto"/>
              <w:ind w:firstLine="0" w:firstLineChars="0"/>
              <w:jc w:val="center"/>
              <w:rPr>
                <w:sz w:val="28"/>
                <w:szCs w:val="28"/>
                <w:highlight w:val="none"/>
              </w:rPr>
            </w:pPr>
          </w:p>
        </w:tc>
        <w:tc>
          <w:tcPr>
            <w:tcW w:w="1974" w:type="pct"/>
            <w:vAlign w:val="center"/>
          </w:tcPr>
          <w:p w14:paraId="1288CBCB">
            <w:pPr>
              <w:spacing w:before="0" w:beforeLines="0" w:line="240" w:lineRule="auto"/>
              <w:ind w:firstLine="0" w:firstLineChars="0"/>
              <w:jc w:val="center"/>
              <w:rPr>
                <w:rFonts w:hint="default" w:eastAsia="宋体"/>
                <w:sz w:val="28"/>
                <w:szCs w:val="28"/>
                <w:highlight w:val="none"/>
                <w:lang w:val="en-US" w:eastAsia="zh-CN"/>
              </w:rPr>
            </w:pPr>
            <w:r>
              <w:rPr>
                <w:rFonts w:hint="eastAsia"/>
                <w:color w:val="000000"/>
                <w:sz w:val="28"/>
                <w:szCs w:val="28"/>
                <w:highlight w:val="none"/>
                <w:lang w:val="en-US" w:eastAsia="zh-CN"/>
              </w:rPr>
              <w:t>验收合格率</w:t>
            </w:r>
          </w:p>
        </w:tc>
        <w:tc>
          <w:tcPr>
            <w:tcW w:w="1247" w:type="pct"/>
            <w:vAlign w:val="center"/>
          </w:tcPr>
          <w:p w14:paraId="1D736DC8">
            <w:pPr>
              <w:tabs>
                <w:tab w:val="center" w:pos="1088"/>
              </w:tabs>
              <w:spacing w:before="0" w:beforeLines="0" w:line="240" w:lineRule="auto"/>
              <w:ind w:left="0" w:leftChars="0" w:firstLine="0" w:firstLineChars="0"/>
              <w:jc w:val="center"/>
              <w:rPr>
                <w:rFonts w:hint="default" w:eastAsia="宋体"/>
                <w:sz w:val="28"/>
                <w:szCs w:val="28"/>
                <w:highlight w:val="none"/>
                <w:lang w:val="en-US" w:eastAsia="zh-CN"/>
              </w:rPr>
            </w:pPr>
            <w:r>
              <w:rPr>
                <w:rFonts w:hint="eastAsia"/>
                <w:color w:val="000000"/>
                <w:sz w:val="28"/>
                <w:szCs w:val="28"/>
                <w:highlight w:val="none"/>
                <w:lang w:val="en-US" w:eastAsia="zh-CN"/>
              </w:rPr>
              <w:t>100%</w:t>
            </w:r>
          </w:p>
        </w:tc>
      </w:tr>
      <w:tr w14:paraId="6D2B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trPr>
        <w:tc>
          <w:tcPr>
            <w:tcW w:w="1778" w:type="pct"/>
            <w:vMerge w:val="continue"/>
            <w:vAlign w:val="center"/>
          </w:tcPr>
          <w:p w14:paraId="74E15E93">
            <w:pPr>
              <w:spacing w:line="240" w:lineRule="auto"/>
              <w:ind w:firstLine="0" w:firstLineChars="0"/>
              <w:jc w:val="center"/>
              <w:rPr>
                <w:sz w:val="28"/>
                <w:szCs w:val="28"/>
                <w:highlight w:val="none"/>
              </w:rPr>
            </w:pPr>
          </w:p>
        </w:tc>
        <w:tc>
          <w:tcPr>
            <w:tcW w:w="1974" w:type="pct"/>
            <w:vAlign w:val="center"/>
          </w:tcPr>
          <w:p w14:paraId="4D910A5E">
            <w:pPr>
              <w:spacing w:before="0" w:beforeLines="0" w:line="240" w:lineRule="auto"/>
              <w:ind w:firstLine="0" w:firstLineChars="0"/>
              <w:jc w:val="center"/>
              <w:rPr>
                <w:rFonts w:hint="eastAsia" w:eastAsia="宋体"/>
                <w:sz w:val="28"/>
                <w:szCs w:val="28"/>
                <w:highlight w:val="none"/>
                <w:lang w:eastAsia="zh-CN"/>
              </w:rPr>
            </w:pPr>
            <w:r>
              <w:rPr>
                <w:rFonts w:hint="eastAsia"/>
                <w:color w:val="000000"/>
                <w:sz w:val="28"/>
                <w:szCs w:val="28"/>
                <w:highlight w:val="none"/>
                <w:lang w:val="en-US" w:eastAsia="zh-CN"/>
              </w:rPr>
              <w:t>完工及时率</w:t>
            </w:r>
          </w:p>
        </w:tc>
        <w:tc>
          <w:tcPr>
            <w:tcW w:w="1247" w:type="pct"/>
            <w:vAlign w:val="center"/>
          </w:tcPr>
          <w:p w14:paraId="0B551BE9">
            <w:pPr>
              <w:spacing w:before="0" w:beforeLines="0" w:line="240" w:lineRule="auto"/>
              <w:ind w:firstLine="0" w:firstLineChars="0"/>
              <w:jc w:val="center"/>
              <w:rPr>
                <w:rFonts w:hint="default" w:eastAsia="宋体"/>
                <w:sz w:val="28"/>
                <w:szCs w:val="28"/>
                <w:highlight w:val="none"/>
                <w:lang w:val="en-US" w:eastAsia="zh-CN"/>
              </w:rPr>
            </w:pPr>
            <w:r>
              <w:rPr>
                <w:rFonts w:hint="eastAsia"/>
                <w:color w:val="000000"/>
                <w:sz w:val="28"/>
                <w:szCs w:val="28"/>
                <w:highlight w:val="none"/>
                <w:lang w:val="en-US" w:eastAsia="zh-CN"/>
              </w:rPr>
              <w:t>100%</w:t>
            </w:r>
          </w:p>
        </w:tc>
      </w:tr>
      <w:tr w14:paraId="3F93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trPr>
        <w:tc>
          <w:tcPr>
            <w:tcW w:w="1778" w:type="pct"/>
            <w:vMerge w:val="restart"/>
            <w:vAlign w:val="center"/>
          </w:tcPr>
          <w:p w14:paraId="7907FC98">
            <w:pPr>
              <w:spacing w:line="240" w:lineRule="auto"/>
              <w:ind w:firstLine="0" w:firstLineChars="0"/>
              <w:jc w:val="center"/>
              <w:rPr>
                <w:rFonts w:hint="default" w:eastAsia="宋体"/>
                <w:sz w:val="28"/>
                <w:szCs w:val="28"/>
                <w:highlight w:val="none"/>
                <w:lang w:val="en-US" w:eastAsia="zh-CN"/>
              </w:rPr>
            </w:pPr>
            <w:r>
              <w:rPr>
                <w:rFonts w:hint="eastAsia"/>
                <w:sz w:val="28"/>
                <w:szCs w:val="28"/>
                <w:highlight w:val="none"/>
                <w:lang w:val="en-US" w:eastAsia="zh-CN"/>
              </w:rPr>
              <w:t>效益指标</w:t>
            </w:r>
          </w:p>
        </w:tc>
        <w:tc>
          <w:tcPr>
            <w:tcW w:w="1974" w:type="pct"/>
            <w:vAlign w:val="center"/>
          </w:tcPr>
          <w:p w14:paraId="1237D77D">
            <w:pPr>
              <w:spacing w:before="0" w:beforeLines="0" w:line="240" w:lineRule="auto"/>
              <w:ind w:firstLine="0" w:firstLineChars="0"/>
              <w:jc w:val="center"/>
              <w:rPr>
                <w:rFonts w:hint="default" w:eastAsia="宋体"/>
                <w:sz w:val="28"/>
                <w:szCs w:val="28"/>
                <w:highlight w:val="none"/>
                <w:lang w:val="en-US" w:eastAsia="zh-CN"/>
              </w:rPr>
            </w:pPr>
            <w:r>
              <w:rPr>
                <w:rFonts w:hint="eastAsia"/>
                <w:color w:val="000000"/>
                <w:sz w:val="28"/>
                <w:szCs w:val="28"/>
                <w:highlight w:val="none"/>
                <w:lang w:val="en-US" w:eastAsia="zh-CN"/>
              </w:rPr>
              <w:t>是否满足防洪要求</w:t>
            </w:r>
          </w:p>
        </w:tc>
        <w:tc>
          <w:tcPr>
            <w:tcW w:w="1247" w:type="pct"/>
            <w:vAlign w:val="center"/>
          </w:tcPr>
          <w:p w14:paraId="22C65916">
            <w:pPr>
              <w:spacing w:before="0" w:beforeLines="0" w:line="240" w:lineRule="auto"/>
              <w:ind w:firstLine="0" w:firstLineChars="0"/>
              <w:jc w:val="center"/>
              <w:rPr>
                <w:rFonts w:hint="eastAsia" w:eastAsia="宋体"/>
                <w:sz w:val="28"/>
                <w:szCs w:val="28"/>
                <w:highlight w:val="none"/>
                <w:lang w:eastAsia="zh-CN"/>
              </w:rPr>
            </w:pPr>
            <w:r>
              <w:rPr>
                <w:rFonts w:hint="eastAsia"/>
                <w:color w:val="000000"/>
                <w:sz w:val="28"/>
                <w:szCs w:val="28"/>
                <w:highlight w:val="none"/>
                <w:lang w:val="en-US" w:eastAsia="zh-CN"/>
              </w:rPr>
              <w:t>是</w:t>
            </w:r>
          </w:p>
        </w:tc>
      </w:tr>
      <w:tr w14:paraId="5BF3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trPr>
        <w:tc>
          <w:tcPr>
            <w:tcW w:w="1778" w:type="pct"/>
            <w:vMerge w:val="continue"/>
            <w:vAlign w:val="center"/>
          </w:tcPr>
          <w:p w14:paraId="3505D147">
            <w:pPr>
              <w:spacing w:before="0" w:beforeLines="0" w:line="240" w:lineRule="auto"/>
              <w:ind w:firstLine="0" w:firstLineChars="0"/>
              <w:jc w:val="center"/>
              <w:rPr>
                <w:rFonts w:hint="eastAsia"/>
                <w:color w:val="000000"/>
                <w:sz w:val="28"/>
                <w:szCs w:val="28"/>
                <w:highlight w:val="none"/>
                <w:lang w:val="en-US" w:eastAsia="zh-CN"/>
              </w:rPr>
            </w:pPr>
          </w:p>
        </w:tc>
        <w:tc>
          <w:tcPr>
            <w:tcW w:w="1974" w:type="pct"/>
            <w:vAlign w:val="center"/>
          </w:tcPr>
          <w:p w14:paraId="520CA67A">
            <w:pPr>
              <w:spacing w:before="0" w:beforeLines="0" w:line="240" w:lineRule="auto"/>
              <w:ind w:firstLine="0" w:firstLineChars="0"/>
              <w:jc w:val="center"/>
              <w:rPr>
                <w:rFonts w:hint="default" w:eastAsia="宋体"/>
                <w:color w:val="000000"/>
                <w:sz w:val="28"/>
                <w:szCs w:val="28"/>
                <w:highlight w:val="none"/>
                <w:lang w:val="en-US" w:eastAsia="zh-CN"/>
              </w:rPr>
            </w:pPr>
            <w:r>
              <w:rPr>
                <w:rFonts w:hint="eastAsia"/>
                <w:color w:val="000000"/>
                <w:sz w:val="28"/>
                <w:szCs w:val="28"/>
                <w:highlight w:val="none"/>
                <w:lang w:val="en-US" w:eastAsia="zh-CN"/>
              </w:rPr>
              <w:t>治理后中小河流防洪标准</w:t>
            </w:r>
          </w:p>
        </w:tc>
        <w:tc>
          <w:tcPr>
            <w:tcW w:w="1247" w:type="pct"/>
            <w:vAlign w:val="center"/>
          </w:tcPr>
          <w:p w14:paraId="48377903">
            <w:pPr>
              <w:spacing w:before="0" w:beforeLines="0" w:line="240" w:lineRule="auto"/>
              <w:ind w:firstLine="0" w:firstLineChars="0"/>
              <w:jc w:val="center"/>
              <w:rPr>
                <w:rFonts w:hint="default" w:eastAsia="宋体"/>
                <w:color w:val="000000"/>
                <w:sz w:val="28"/>
                <w:szCs w:val="28"/>
                <w:highlight w:val="none"/>
                <w:lang w:val="en-US" w:eastAsia="zh-CN"/>
              </w:rPr>
            </w:pPr>
            <w:r>
              <w:rPr>
                <w:rFonts w:hint="eastAsia"/>
                <w:color w:val="000000"/>
                <w:sz w:val="28"/>
                <w:szCs w:val="28"/>
                <w:highlight w:val="none"/>
                <w:lang w:val="en-US" w:eastAsia="zh-CN"/>
              </w:rPr>
              <w:t>10年一遇</w:t>
            </w:r>
          </w:p>
        </w:tc>
      </w:tr>
      <w:tr w14:paraId="2963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trPr>
        <w:tc>
          <w:tcPr>
            <w:tcW w:w="1778" w:type="pct"/>
            <w:vMerge w:val="continue"/>
            <w:vAlign w:val="center"/>
          </w:tcPr>
          <w:p w14:paraId="32ED0F22">
            <w:pPr>
              <w:spacing w:before="0" w:beforeLines="0" w:line="240" w:lineRule="auto"/>
              <w:ind w:firstLine="0" w:firstLineChars="0"/>
              <w:jc w:val="center"/>
              <w:rPr>
                <w:rFonts w:hint="eastAsia"/>
                <w:color w:val="000000"/>
                <w:sz w:val="28"/>
                <w:szCs w:val="28"/>
                <w:highlight w:val="none"/>
                <w:lang w:val="en-US" w:eastAsia="zh-CN"/>
              </w:rPr>
            </w:pPr>
          </w:p>
        </w:tc>
        <w:tc>
          <w:tcPr>
            <w:tcW w:w="1974" w:type="pct"/>
            <w:vAlign w:val="center"/>
          </w:tcPr>
          <w:p w14:paraId="6EE224D7">
            <w:pPr>
              <w:spacing w:before="0" w:beforeLines="0" w:line="240" w:lineRule="auto"/>
              <w:ind w:firstLine="0" w:firstLineChars="0"/>
              <w:jc w:val="center"/>
              <w:rPr>
                <w:rFonts w:hint="default" w:eastAsia="宋体"/>
                <w:color w:val="000000"/>
                <w:sz w:val="28"/>
                <w:szCs w:val="28"/>
                <w:highlight w:val="none"/>
                <w:lang w:val="en-US" w:eastAsia="zh-CN"/>
              </w:rPr>
            </w:pPr>
            <w:r>
              <w:rPr>
                <w:rFonts w:hint="eastAsia"/>
                <w:color w:val="000000"/>
                <w:sz w:val="28"/>
                <w:szCs w:val="28"/>
                <w:highlight w:val="none"/>
                <w:lang w:val="en-US" w:eastAsia="zh-CN"/>
              </w:rPr>
              <w:t>是否水生态环境得到改善</w:t>
            </w:r>
          </w:p>
        </w:tc>
        <w:tc>
          <w:tcPr>
            <w:tcW w:w="1247" w:type="pct"/>
            <w:vAlign w:val="center"/>
          </w:tcPr>
          <w:p w14:paraId="6CA381C3">
            <w:pPr>
              <w:spacing w:before="0" w:beforeLines="0" w:line="240" w:lineRule="auto"/>
              <w:ind w:firstLine="0" w:firstLineChars="0"/>
              <w:jc w:val="center"/>
              <w:rPr>
                <w:rFonts w:hint="default" w:eastAsia="宋体"/>
                <w:color w:val="000000"/>
                <w:sz w:val="28"/>
                <w:szCs w:val="28"/>
                <w:highlight w:val="none"/>
                <w:lang w:val="en-US" w:eastAsia="zh-CN"/>
              </w:rPr>
            </w:pPr>
            <w:r>
              <w:rPr>
                <w:rFonts w:hint="eastAsia"/>
                <w:color w:val="000000"/>
                <w:sz w:val="28"/>
                <w:szCs w:val="28"/>
                <w:highlight w:val="none"/>
                <w:lang w:val="en-US" w:eastAsia="zh-CN"/>
              </w:rPr>
              <w:t>是</w:t>
            </w:r>
          </w:p>
        </w:tc>
      </w:tr>
      <w:tr w14:paraId="4002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trPr>
        <w:tc>
          <w:tcPr>
            <w:tcW w:w="1778" w:type="pct"/>
            <w:vAlign w:val="center"/>
          </w:tcPr>
          <w:p w14:paraId="4F8638B6">
            <w:pPr>
              <w:spacing w:before="0" w:beforeLines="0" w:line="240" w:lineRule="auto"/>
              <w:ind w:firstLine="0" w:firstLineChars="0"/>
              <w:jc w:val="center"/>
              <w:rPr>
                <w:rFonts w:hint="default"/>
                <w:sz w:val="28"/>
                <w:szCs w:val="28"/>
                <w:highlight w:val="none"/>
                <w:lang w:val="en-US"/>
              </w:rPr>
            </w:pPr>
            <w:r>
              <w:rPr>
                <w:rFonts w:hint="eastAsia"/>
                <w:color w:val="000000"/>
                <w:sz w:val="28"/>
                <w:szCs w:val="28"/>
                <w:highlight w:val="none"/>
                <w:lang w:val="en-US" w:eastAsia="zh-CN"/>
              </w:rPr>
              <w:t>满意度</w:t>
            </w:r>
          </w:p>
        </w:tc>
        <w:tc>
          <w:tcPr>
            <w:tcW w:w="1974" w:type="pct"/>
            <w:vAlign w:val="center"/>
          </w:tcPr>
          <w:p w14:paraId="4402F5E3">
            <w:pPr>
              <w:spacing w:before="0" w:beforeLines="0" w:line="240" w:lineRule="auto"/>
              <w:ind w:firstLine="0" w:firstLineChars="0"/>
              <w:jc w:val="center"/>
              <w:rPr>
                <w:color w:val="000000"/>
                <w:sz w:val="28"/>
                <w:szCs w:val="28"/>
                <w:highlight w:val="none"/>
              </w:rPr>
            </w:pPr>
            <w:r>
              <w:rPr>
                <w:rFonts w:hint="eastAsia"/>
                <w:color w:val="000000"/>
                <w:sz w:val="28"/>
                <w:szCs w:val="28"/>
                <w:highlight w:val="none"/>
              </w:rPr>
              <w:t>群众满意度</w:t>
            </w:r>
          </w:p>
        </w:tc>
        <w:tc>
          <w:tcPr>
            <w:tcW w:w="1247" w:type="pct"/>
            <w:vAlign w:val="center"/>
          </w:tcPr>
          <w:p w14:paraId="485ADB51">
            <w:pPr>
              <w:spacing w:before="0" w:beforeLines="0" w:line="240" w:lineRule="auto"/>
              <w:ind w:firstLine="0" w:firstLineChars="0"/>
              <w:jc w:val="center"/>
              <w:rPr>
                <w:rFonts w:hint="default" w:eastAsia="宋体"/>
                <w:color w:val="000000"/>
                <w:sz w:val="28"/>
                <w:szCs w:val="28"/>
                <w:highlight w:val="none"/>
                <w:lang w:val="en-US" w:eastAsia="zh-CN"/>
              </w:rPr>
            </w:pPr>
            <w:r>
              <w:rPr>
                <w:rFonts w:hint="eastAsia"/>
                <w:color w:val="000000"/>
                <w:sz w:val="28"/>
                <w:szCs w:val="28"/>
                <w:highlight w:val="none"/>
                <w:lang w:val="en-US" w:eastAsia="zh-CN"/>
              </w:rPr>
              <w:t>96</w:t>
            </w:r>
            <w:r>
              <w:rPr>
                <w:rFonts w:hint="eastAsia" w:eastAsia="宋体"/>
                <w:color w:val="000000"/>
                <w:sz w:val="28"/>
                <w:szCs w:val="28"/>
                <w:highlight w:val="none"/>
                <w:lang w:val="en-US" w:eastAsia="zh-CN"/>
              </w:rPr>
              <w:t>%</w:t>
            </w:r>
          </w:p>
        </w:tc>
      </w:tr>
    </w:tbl>
    <w:p w14:paraId="1DAD3724">
      <w:pPr>
        <w:pStyle w:val="2"/>
        <w:bidi w:val="0"/>
      </w:pPr>
      <w:bookmarkStart w:id="21" w:name="_Toc21066"/>
      <w:r>
        <w:t>二、绩效评价工作开展情况</w:t>
      </w:r>
      <w:bookmarkEnd w:id="21"/>
    </w:p>
    <w:p w14:paraId="66DFE2AA">
      <w:pPr>
        <w:pStyle w:val="3"/>
        <w:bidi w:val="0"/>
      </w:pPr>
      <w:bookmarkStart w:id="22" w:name="_Toc30433"/>
      <w:r>
        <w:t>（一）评价目的</w:t>
      </w:r>
      <w:bookmarkEnd w:id="22"/>
    </w:p>
    <w:p w14:paraId="4DD81C2D">
      <w:pPr>
        <w:bidi w:val="0"/>
        <w:ind w:left="0" w:leftChars="0" w:firstLine="560" w:firstLineChars="200"/>
        <w:rPr>
          <w:rFonts w:hint="eastAsia"/>
          <w:highlight w:val="none"/>
        </w:rPr>
      </w:pPr>
      <w:r>
        <w:rPr>
          <w:rFonts w:hint="eastAsia"/>
          <w:highlight w:val="none"/>
        </w:rPr>
        <w:t>通过对项目立项、项目实施、资金拨付、项目监控等各环节进行评价，剖析</w:t>
      </w:r>
      <w:r>
        <w:rPr>
          <w:rFonts w:hint="eastAsia"/>
          <w:lang w:val="en-US" w:eastAsia="zh-CN"/>
        </w:rPr>
        <w:t>三门峡市陕州区青龙涧河涧里村至杨家河村河道治理工程项目</w:t>
      </w:r>
      <w:r>
        <w:rPr>
          <w:rFonts w:hint="eastAsia"/>
          <w:highlight w:val="none"/>
        </w:rPr>
        <w:t>在项目预算、管理及项目实施中</w:t>
      </w:r>
      <w:r>
        <w:rPr>
          <w:rFonts w:hint="eastAsia"/>
          <w:highlight w:val="none"/>
          <w:lang w:val="en-US" w:eastAsia="zh-CN"/>
        </w:rPr>
        <w:t>是否</w:t>
      </w:r>
      <w:r>
        <w:rPr>
          <w:rFonts w:hint="eastAsia"/>
          <w:highlight w:val="none"/>
        </w:rPr>
        <w:t>引入绩效管理理念，发现</w:t>
      </w:r>
      <w:r>
        <w:rPr>
          <w:rFonts w:hint="eastAsia"/>
          <w:highlight w:val="none"/>
          <w:lang w:val="en-US" w:eastAsia="zh-CN"/>
        </w:rPr>
        <w:t>其中</w:t>
      </w:r>
      <w:r>
        <w:rPr>
          <w:rFonts w:hint="eastAsia"/>
          <w:highlight w:val="none"/>
        </w:rPr>
        <w:t>存在的问题，探究其可能的原因，规范管理方式，总结项目管理经验，同时加强项目资金管理，优化财政支出结构，进一步提升财政专项资金使用效益和政府公共服务水平，为领导科学决策提供确实有力的依据。</w:t>
      </w:r>
    </w:p>
    <w:p w14:paraId="20C8F281">
      <w:pPr>
        <w:bidi w:val="0"/>
        <w:rPr>
          <w:rFonts w:hint="eastAsia"/>
          <w:highlight w:val="none"/>
        </w:rPr>
      </w:pPr>
      <w:r>
        <w:rPr>
          <w:rFonts w:hint="eastAsia"/>
          <w:highlight w:val="none"/>
          <w:lang w:val="en-US" w:eastAsia="zh-CN"/>
        </w:rPr>
        <w:t>具体</w:t>
      </w:r>
      <w:r>
        <w:rPr>
          <w:rFonts w:hint="eastAsia"/>
          <w:highlight w:val="none"/>
        </w:rPr>
        <w:t>目的如下∶</w:t>
      </w:r>
    </w:p>
    <w:p w14:paraId="59A7E4BA">
      <w:pPr>
        <w:bidi w:val="0"/>
        <w:rPr>
          <w:rFonts w:hint="eastAsia"/>
          <w:highlight w:val="none"/>
        </w:rPr>
      </w:pPr>
      <w:r>
        <w:rPr>
          <w:rFonts w:hint="eastAsia" w:eastAsia="宋体"/>
          <w:highlight w:val="none"/>
          <w:lang w:eastAsia="zh-CN"/>
        </w:rPr>
        <w:t>（</w:t>
      </w:r>
      <w:r>
        <w:rPr>
          <w:rFonts w:hint="eastAsia" w:eastAsia="宋体"/>
          <w:highlight w:val="none"/>
          <w:lang w:val="en-US" w:eastAsia="zh-CN"/>
        </w:rPr>
        <w:t>1</w:t>
      </w:r>
      <w:r>
        <w:rPr>
          <w:rFonts w:hint="eastAsia" w:eastAsia="宋体"/>
          <w:highlight w:val="none"/>
          <w:lang w:eastAsia="zh-CN"/>
        </w:rPr>
        <w:t>）</w:t>
      </w:r>
      <w:r>
        <w:rPr>
          <w:rFonts w:hint="eastAsia"/>
          <w:highlight w:val="none"/>
        </w:rPr>
        <w:t>通过评价，反映</w:t>
      </w:r>
      <w:r>
        <w:rPr>
          <w:rFonts w:hint="eastAsia"/>
          <w:lang w:val="en-US" w:eastAsia="zh-CN"/>
        </w:rPr>
        <w:t>三门峡市陕州区青龙涧河涧里村至杨家河村河道治理工程</w:t>
      </w:r>
      <w:r>
        <w:rPr>
          <w:rFonts w:hint="eastAsia"/>
          <w:highlight w:val="none"/>
          <w:lang w:val="en-US" w:eastAsia="zh-CN"/>
        </w:rPr>
        <w:t>项目</w:t>
      </w:r>
      <w:r>
        <w:rPr>
          <w:rFonts w:hint="eastAsia"/>
          <w:highlight w:val="none"/>
        </w:rPr>
        <w:t>预期目标的整体完成情况；</w:t>
      </w:r>
    </w:p>
    <w:p w14:paraId="1522F9CA">
      <w:pPr>
        <w:bidi w:val="0"/>
        <w:rPr>
          <w:rFonts w:hint="eastAsia"/>
          <w:highlight w:val="none"/>
        </w:rPr>
      </w:pPr>
      <w:r>
        <w:rPr>
          <w:rFonts w:hint="eastAsia" w:eastAsia="宋体"/>
          <w:highlight w:val="none"/>
          <w:lang w:eastAsia="zh-CN"/>
        </w:rPr>
        <w:t>（</w:t>
      </w:r>
      <w:r>
        <w:rPr>
          <w:rFonts w:hint="eastAsia" w:eastAsia="宋体"/>
          <w:highlight w:val="none"/>
          <w:lang w:val="en-US" w:eastAsia="zh-CN"/>
        </w:rPr>
        <w:t>2</w:t>
      </w:r>
      <w:r>
        <w:rPr>
          <w:rFonts w:hint="eastAsia" w:eastAsia="宋体"/>
          <w:highlight w:val="none"/>
          <w:lang w:eastAsia="zh-CN"/>
        </w:rPr>
        <w:t>）</w:t>
      </w:r>
      <w:r>
        <w:rPr>
          <w:rFonts w:hint="eastAsia"/>
          <w:highlight w:val="none"/>
        </w:rPr>
        <w:t>通过评价，反映</w:t>
      </w:r>
      <w:r>
        <w:rPr>
          <w:rFonts w:hint="eastAsia"/>
          <w:lang w:val="en-US" w:eastAsia="zh-CN"/>
        </w:rPr>
        <w:t>三门峡市陕州区青龙涧河涧里村至杨家河村河道治理工程</w:t>
      </w:r>
      <w:r>
        <w:rPr>
          <w:rFonts w:hint="eastAsia"/>
          <w:highlight w:val="none"/>
          <w:lang w:val="en-US" w:eastAsia="zh-CN"/>
        </w:rPr>
        <w:t>项目</w:t>
      </w:r>
      <w:r>
        <w:rPr>
          <w:rFonts w:hint="eastAsia"/>
          <w:highlight w:val="none"/>
        </w:rPr>
        <w:t>中各项工作完成的效率性，即</w:t>
      </w:r>
      <w:r>
        <w:rPr>
          <w:rFonts w:hint="eastAsia"/>
          <w:lang w:val="en-US" w:eastAsia="zh-CN"/>
        </w:rPr>
        <w:t>三门峡市陕州区青龙涧河涧里村至杨家河村河道治理工程</w:t>
      </w:r>
      <w:r>
        <w:rPr>
          <w:rFonts w:hint="eastAsia"/>
          <w:highlight w:val="none"/>
          <w:lang w:val="en-US" w:eastAsia="zh-CN"/>
        </w:rPr>
        <w:t>项目</w:t>
      </w:r>
      <w:r>
        <w:rPr>
          <w:rFonts w:hint="eastAsia"/>
          <w:highlight w:val="none"/>
        </w:rPr>
        <w:t>相关工作是否按照相应时间节点要求及时完成；</w:t>
      </w:r>
    </w:p>
    <w:p w14:paraId="14A2376A">
      <w:pPr>
        <w:bidi w:val="0"/>
        <w:rPr>
          <w:rFonts w:hint="eastAsia"/>
          <w:highlight w:val="none"/>
        </w:rPr>
      </w:pPr>
      <w:r>
        <w:rPr>
          <w:rFonts w:hint="eastAsia" w:eastAsia="宋体"/>
          <w:highlight w:val="none"/>
          <w:lang w:eastAsia="zh-CN"/>
        </w:rPr>
        <w:t>（</w:t>
      </w:r>
      <w:r>
        <w:rPr>
          <w:rFonts w:hint="eastAsia" w:eastAsia="宋体"/>
          <w:highlight w:val="none"/>
          <w:lang w:val="en-US" w:eastAsia="zh-CN"/>
        </w:rPr>
        <w:t>3</w:t>
      </w:r>
      <w:r>
        <w:rPr>
          <w:rFonts w:hint="eastAsia" w:eastAsia="宋体"/>
          <w:highlight w:val="none"/>
          <w:lang w:eastAsia="zh-CN"/>
        </w:rPr>
        <w:t>）</w:t>
      </w:r>
      <w:r>
        <w:rPr>
          <w:rFonts w:hint="eastAsia"/>
          <w:highlight w:val="none"/>
        </w:rPr>
        <w:t>通过评价，反映</w:t>
      </w:r>
      <w:r>
        <w:rPr>
          <w:rFonts w:hint="eastAsia"/>
          <w:lang w:val="en-US" w:eastAsia="zh-CN"/>
        </w:rPr>
        <w:t>三门峡市陕州区青龙涧河涧里村至杨家河村河道治理工程</w:t>
      </w:r>
      <w:r>
        <w:rPr>
          <w:rFonts w:hint="eastAsia"/>
          <w:highlight w:val="none"/>
          <w:lang w:val="en-US" w:eastAsia="zh-CN"/>
        </w:rPr>
        <w:t>项目</w:t>
      </w:r>
      <w:r>
        <w:rPr>
          <w:rFonts w:hint="eastAsia"/>
          <w:highlight w:val="none"/>
        </w:rPr>
        <w:t>工作对当地社会、效果可持续性带来的积极影响，提升受益群众满意度等方面的综合成效。</w:t>
      </w:r>
    </w:p>
    <w:p w14:paraId="7D3008F3">
      <w:pPr>
        <w:pStyle w:val="3"/>
        <w:bidi w:val="0"/>
        <w:rPr>
          <w:rFonts w:hint="eastAsia"/>
        </w:rPr>
      </w:pPr>
      <w:bookmarkStart w:id="23" w:name="_Toc26154"/>
      <w:r>
        <w:rPr>
          <w:rFonts w:hint="eastAsia"/>
          <w:lang w:eastAsia="zh-CN"/>
        </w:rPr>
        <w:t>（</w:t>
      </w:r>
      <w:r>
        <w:rPr>
          <w:rFonts w:hint="eastAsia"/>
          <w:lang w:val="en-US" w:eastAsia="zh-CN"/>
        </w:rPr>
        <w:t>二</w:t>
      </w:r>
      <w:r>
        <w:rPr>
          <w:rFonts w:hint="eastAsia"/>
          <w:lang w:eastAsia="zh-CN"/>
        </w:rPr>
        <w:t>）</w:t>
      </w:r>
      <w:r>
        <w:rPr>
          <w:rFonts w:hint="eastAsia"/>
        </w:rPr>
        <w:t>评价对象、资金范围及时间段</w:t>
      </w:r>
      <w:bookmarkEnd w:id="23"/>
    </w:p>
    <w:p w14:paraId="6496F35C">
      <w:pPr>
        <w:bidi w:val="0"/>
        <w:rPr>
          <w:highlight w:val="red"/>
        </w:rPr>
      </w:pPr>
      <w:r>
        <w:rPr>
          <w:rFonts w:hint="eastAsia" w:eastAsia="宋体"/>
          <w:highlight w:val="none"/>
          <w:lang w:val="en-US" w:eastAsia="zh-CN"/>
        </w:rPr>
        <w:t>1</w:t>
      </w:r>
      <w:r>
        <w:rPr>
          <w:rFonts w:hint="eastAsia"/>
          <w:highlight w:val="none"/>
          <w:lang w:val="en-US" w:eastAsia="zh-CN"/>
        </w:rPr>
        <w:t>.</w:t>
      </w:r>
      <w:r>
        <w:rPr>
          <w:highlight w:val="none"/>
        </w:rPr>
        <w:t>评价对象：</w:t>
      </w:r>
      <w:r>
        <w:rPr>
          <w:rFonts w:hint="eastAsia"/>
          <w:lang w:val="en-US" w:eastAsia="zh-CN"/>
        </w:rPr>
        <w:t>三门峡市陕州区青龙涧河涧里村至杨家河村河道治理工程</w:t>
      </w:r>
      <w:r>
        <w:rPr>
          <w:rFonts w:hint="eastAsia"/>
          <w:highlight w:val="none"/>
          <w:lang w:val="en-US" w:eastAsia="zh-CN"/>
        </w:rPr>
        <w:t>项目</w:t>
      </w:r>
      <w:r>
        <w:rPr>
          <w:highlight w:val="none"/>
        </w:rPr>
        <w:t>补贴资金。</w:t>
      </w:r>
    </w:p>
    <w:p w14:paraId="7AAD0BBE">
      <w:pPr>
        <w:bidi w:val="0"/>
        <w:rPr>
          <w:rFonts w:hint="eastAsia"/>
          <w:highlight w:val="none"/>
          <w:lang w:eastAsia="zh-CN"/>
        </w:rPr>
      </w:pPr>
      <w:r>
        <w:rPr>
          <w:rFonts w:hint="eastAsia" w:eastAsia="宋体"/>
          <w:highlight w:val="none"/>
          <w:lang w:val="en-US" w:eastAsia="zh-CN"/>
        </w:rPr>
        <w:t>2</w:t>
      </w:r>
      <w:r>
        <w:rPr>
          <w:rFonts w:hint="eastAsia"/>
          <w:highlight w:val="none"/>
          <w:lang w:val="en-US" w:eastAsia="zh-CN"/>
        </w:rPr>
        <w:t>.</w:t>
      </w:r>
      <w:r>
        <w:rPr>
          <w:rFonts w:hint="eastAsia"/>
          <w:highlight w:val="none"/>
          <w:lang w:eastAsia="zh-CN"/>
        </w:rPr>
        <w:t>资金范围：</w:t>
      </w:r>
      <w:r>
        <w:rPr>
          <w:rFonts w:hint="eastAsia"/>
          <w:lang w:val="en-US" w:eastAsia="zh-CN"/>
        </w:rPr>
        <w:t>三门峡市陕州区青龙涧河涧里村至杨家河村河道治理工程</w:t>
      </w:r>
      <w:r>
        <w:rPr>
          <w:rFonts w:hint="eastAsia"/>
          <w:highlight w:val="none"/>
          <w:lang w:val="en-US" w:eastAsia="zh-CN"/>
        </w:rPr>
        <w:t>项目资金2624.21万元</w:t>
      </w:r>
      <w:r>
        <w:rPr>
          <w:rFonts w:hint="default"/>
          <w:highlight w:val="none"/>
          <w:lang w:eastAsia="zh-CN"/>
        </w:rPr>
        <w:t>。</w:t>
      </w:r>
    </w:p>
    <w:p w14:paraId="61418286">
      <w:pPr>
        <w:bidi w:val="0"/>
        <w:rPr>
          <w:rFonts w:hint="eastAsia"/>
          <w:lang w:val="en-US"/>
        </w:rPr>
      </w:pPr>
      <w:r>
        <w:rPr>
          <w:rFonts w:hint="eastAsia"/>
          <w:lang w:val="en-US" w:eastAsia="zh-CN"/>
        </w:rPr>
        <w:t>3.</w:t>
      </w:r>
      <w:r>
        <w:rPr>
          <w:rFonts w:hint="eastAsia"/>
        </w:rPr>
        <w:t>评价时间段</w:t>
      </w:r>
      <w:r>
        <w:rPr>
          <w:rFonts w:hint="default"/>
        </w:rPr>
        <w:t>：</w:t>
      </w:r>
      <w:r>
        <w:rPr>
          <w:rFonts w:hint="eastAsia"/>
          <w:lang w:val="en-US" w:eastAsia="zh-CN"/>
        </w:rPr>
        <w:t>2022年1月1日至2023年12月31日。</w:t>
      </w:r>
    </w:p>
    <w:p w14:paraId="1F8F8DBC">
      <w:pPr>
        <w:pStyle w:val="3"/>
        <w:bidi w:val="0"/>
      </w:pPr>
      <w:bookmarkStart w:id="24" w:name="_Toc5967"/>
      <w:r>
        <w:t>（</w:t>
      </w:r>
      <w:r>
        <w:rPr>
          <w:rFonts w:hint="eastAsia"/>
          <w:lang w:val="en-US" w:eastAsia="zh-CN"/>
        </w:rPr>
        <w:t>三</w:t>
      </w:r>
      <w:r>
        <w:t>）评价依据</w:t>
      </w:r>
      <w:bookmarkEnd w:id="24"/>
    </w:p>
    <w:p w14:paraId="637F36D6">
      <w:pPr>
        <w:pStyle w:val="5"/>
        <w:bidi w:val="0"/>
      </w:pPr>
      <w:r>
        <w:t>1</w:t>
      </w:r>
      <w:r>
        <w:rPr>
          <w:rFonts w:hint="eastAsia"/>
          <w:lang w:val="en-US" w:eastAsia="zh-CN"/>
        </w:rPr>
        <w:t>.</w:t>
      </w:r>
      <w:r>
        <w:t>中央文件</w:t>
      </w:r>
    </w:p>
    <w:p w14:paraId="75B75F7C">
      <w:pPr>
        <w:bidi w:val="0"/>
        <w:rPr>
          <w:highlight w:val="none"/>
        </w:rPr>
      </w:pPr>
      <w:r>
        <w:rPr>
          <w:highlight w:val="none"/>
        </w:rPr>
        <w:t>（1）《中共中央国务院关于全面实施预算绩效管理的意见》（</w:t>
      </w:r>
      <w:r>
        <w:rPr>
          <w:rFonts w:hint="eastAsia"/>
          <w:highlight w:val="none"/>
        </w:rPr>
        <w:t>中发〔2018〕34号</w:t>
      </w:r>
      <w:r>
        <w:rPr>
          <w:highlight w:val="none"/>
        </w:rPr>
        <w:t>）</w:t>
      </w:r>
    </w:p>
    <w:p w14:paraId="546FAB2F">
      <w:pPr>
        <w:bidi w:val="0"/>
        <w:rPr>
          <w:highlight w:val="none"/>
        </w:rPr>
      </w:pPr>
      <w:r>
        <w:rPr>
          <w:rFonts w:hint="eastAsia" w:eastAsia="宋体"/>
          <w:highlight w:val="none"/>
          <w:lang w:eastAsia="zh-CN"/>
        </w:rPr>
        <w:t>（</w:t>
      </w:r>
      <w:r>
        <w:rPr>
          <w:rFonts w:hint="eastAsia" w:eastAsia="宋体"/>
          <w:highlight w:val="none"/>
          <w:lang w:val="en-US" w:eastAsia="zh-CN"/>
        </w:rPr>
        <w:t>2</w:t>
      </w:r>
      <w:r>
        <w:rPr>
          <w:rFonts w:hint="eastAsia" w:eastAsia="宋体"/>
          <w:highlight w:val="none"/>
          <w:lang w:eastAsia="zh-CN"/>
        </w:rPr>
        <w:t>）</w:t>
      </w:r>
      <w:r>
        <w:rPr>
          <w:rFonts w:hint="default"/>
          <w:highlight w:val="none"/>
        </w:rPr>
        <w:t>2018年关于贯彻落实《中共中央国务院关于全面实施预算绩效管理的意见》的通知（财预</w:t>
      </w:r>
      <w:r>
        <w:rPr>
          <w:rFonts w:hint="eastAsia"/>
          <w:highlight w:val="none"/>
          <w:lang w:eastAsia="zh-CN"/>
        </w:rPr>
        <w:t>〔</w:t>
      </w:r>
      <w:r>
        <w:rPr>
          <w:rFonts w:hint="default"/>
          <w:highlight w:val="none"/>
        </w:rPr>
        <w:t>2018</w:t>
      </w:r>
      <w:r>
        <w:rPr>
          <w:rFonts w:hint="eastAsia"/>
          <w:highlight w:val="none"/>
          <w:lang w:eastAsia="zh-CN"/>
        </w:rPr>
        <w:t>〕</w:t>
      </w:r>
      <w:r>
        <w:rPr>
          <w:rFonts w:hint="default"/>
          <w:highlight w:val="none"/>
        </w:rPr>
        <w:t>167号）</w:t>
      </w:r>
    </w:p>
    <w:p w14:paraId="2F274D45">
      <w:pPr>
        <w:bidi w:val="0"/>
        <w:rPr>
          <w:highlight w:val="none"/>
        </w:rPr>
      </w:pPr>
      <w:r>
        <w:rPr>
          <w:highlight w:val="none"/>
        </w:rPr>
        <w:t>（</w:t>
      </w:r>
      <w:r>
        <w:rPr>
          <w:rFonts w:hint="eastAsia" w:eastAsia="宋体"/>
          <w:highlight w:val="none"/>
          <w:lang w:val="en-US" w:eastAsia="zh-CN"/>
        </w:rPr>
        <w:t>3</w:t>
      </w:r>
      <w:r>
        <w:rPr>
          <w:highlight w:val="none"/>
        </w:rPr>
        <w:t>）《项目支出绩效评价管理办法》（财预</w:t>
      </w:r>
      <w:r>
        <w:rPr>
          <w:rFonts w:hint="eastAsia"/>
          <w:highlight w:val="none"/>
          <w:lang w:eastAsia="zh-CN"/>
        </w:rPr>
        <w:t>〔</w:t>
      </w:r>
      <w:r>
        <w:rPr>
          <w:rFonts w:hint="default"/>
          <w:highlight w:val="none"/>
        </w:rPr>
        <w:t>2</w:t>
      </w:r>
      <w:r>
        <w:rPr>
          <w:rFonts w:hint="eastAsia" w:eastAsia="宋体"/>
          <w:highlight w:val="none"/>
          <w:lang w:val="en-US" w:eastAsia="zh-CN"/>
        </w:rPr>
        <w:t>020</w:t>
      </w:r>
      <w:r>
        <w:rPr>
          <w:rFonts w:hint="eastAsia"/>
          <w:highlight w:val="none"/>
          <w:lang w:eastAsia="zh-CN"/>
        </w:rPr>
        <w:t>〕</w:t>
      </w:r>
      <w:r>
        <w:rPr>
          <w:highlight w:val="none"/>
        </w:rPr>
        <w:t>10号）</w:t>
      </w:r>
    </w:p>
    <w:p w14:paraId="03F8A684">
      <w:pPr>
        <w:pStyle w:val="5"/>
        <w:bidi w:val="0"/>
      </w:pPr>
      <w:r>
        <w:t>2</w:t>
      </w:r>
      <w:r>
        <w:rPr>
          <w:rFonts w:hint="eastAsia"/>
          <w:lang w:val="en-US" w:eastAsia="zh-CN"/>
        </w:rPr>
        <w:t>.</w:t>
      </w:r>
      <w:r>
        <w:t>省级文件</w:t>
      </w:r>
    </w:p>
    <w:p w14:paraId="4FE5212F">
      <w:pPr>
        <w:bidi w:val="0"/>
        <w:rPr>
          <w:highlight w:val="none"/>
        </w:rPr>
      </w:pPr>
      <w:r>
        <w:rPr>
          <w:highlight w:val="none"/>
        </w:rPr>
        <w:t>（1）《中共河南省委河南省人民政府关于全面实施预算绩效管理的实施意见》（豫发</w:t>
      </w:r>
      <w:r>
        <w:rPr>
          <w:rFonts w:hint="eastAsia"/>
          <w:highlight w:val="none"/>
          <w:lang w:eastAsia="zh-CN"/>
        </w:rPr>
        <w:t>〔</w:t>
      </w:r>
      <w:r>
        <w:rPr>
          <w:rFonts w:hint="default"/>
          <w:highlight w:val="none"/>
        </w:rPr>
        <w:t>201</w:t>
      </w:r>
      <w:r>
        <w:rPr>
          <w:rFonts w:hint="eastAsia" w:eastAsia="宋体"/>
          <w:highlight w:val="none"/>
          <w:lang w:val="en-US" w:eastAsia="zh-CN"/>
        </w:rPr>
        <w:t>9</w:t>
      </w:r>
      <w:r>
        <w:rPr>
          <w:rFonts w:hint="eastAsia"/>
          <w:highlight w:val="none"/>
          <w:lang w:eastAsia="zh-CN"/>
        </w:rPr>
        <w:t>〕</w:t>
      </w:r>
      <w:r>
        <w:rPr>
          <w:highlight w:val="none"/>
        </w:rPr>
        <w:t>10号）</w:t>
      </w:r>
    </w:p>
    <w:p w14:paraId="55CAE4FD">
      <w:pPr>
        <w:bidi w:val="0"/>
        <w:rPr>
          <w:highlight w:val="none"/>
        </w:rPr>
      </w:pPr>
      <w:r>
        <w:rPr>
          <w:highlight w:val="none"/>
        </w:rPr>
        <w:t>（2）《河南省财政厅关于印发</w:t>
      </w:r>
      <w:r>
        <w:rPr>
          <w:rFonts w:hint="eastAsia"/>
          <w:highlight w:val="none"/>
          <w:lang w:val="en-US" w:eastAsia="zh-CN"/>
        </w:rPr>
        <w:t>&lt;</w:t>
      </w:r>
      <w:r>
        <w:rPr>
          <w:highlight w:val="none"/>
        </w:rPr>
        <w:t>河南省省级预算项目支出绩效评价管理办法</w:t>
      </w:r>
      <w:r>
        <w:rPr>
          <w:rFonts w:hint="eastAsia"/>
          <w:highlight w:val="none"/>
          <w:lang w:val="en-US" w:eastAsia="zh-CN"/>
        </w:rPr>
        <w:t>&gt;</w:t>
      </w:r>
      <w:r>
        <w:rPr>
          <w:highlight w:val="none"/>
        </w:rPr>
        <w:t>的通知》（豫财效</w:t>
      </w:r>
      <w:r>
        <w:rPr>
          <w:rFonts w:hint="eastAsia"/>
          <w:highlight w:val="none"/>
          <w:lang w:eastAsia="zh-CN"/>
        </w:rPr>
        <w:t>〔</w:t>
      </w:r>
      <w:r>
        <w:rPr>
          <w:rFonts w:hint="default"/>
          <w:highlight w:val="none"/>
        </w:rPr>
        <w:t>20</w:t>
      </w:r>
      <w:r>
        <w:rPr>
          <w:rFonts w:hint="eastAsia" w:eastAsia="宋体"/>
          <w:highlight w:val="none"/>
          <w:lang w:val="en-US" w:eastAsia="zh-CN"/>
        </w:rPr>
        <w:t>20</w:t>
      </w:r>
      <w:r>
        <w:rPr>
          <w:rFonts w:hint="eastAsia"/>
          <w:highlight w:val="none"/>
          <w:lang w:eastAsia="zh-CN"/>
        </w:rPr>
        <w:t>〕</w:t>
      </w:r>
      <w:r>
        <w:rPr>
          <w:highlight w:val="none"/>
        </w:rPr>
        <w:t>10号）</w:t>
      </w:r>
    </w:p>
    <w:p w14:paraId="0C3FC999">
      <w:pPr>
        <w:pStyle w:val="5"/>
        <w:bidi w:val="0"/>
      </w:pPr>
      <w:r>
        <w:t>3</w:t>
      </w:r>
      <w:r>
        <w:rPr>
          <w:rFonts w:hint="eastAsia"/>
          <w:lang w:val="en-US" w:eastAsia="zh-CN"/>
        </w:rPr>
        <w:t>.</w:t>
      </w:r>
      <w:r>
        <w:t>市级文件</w:t>
      </w:r>
    </w:p>
    <w:p w14:paraId="1BE613E8">
      <w:pPr>
        <w:bidi w:val="0"/>
        <w:rPr>
          <w:highlight w:val="none"/>
        </w:rPr>
      </w:pPr>
      <w:r>
        <w:rPr>
          <w:highlight w:val="none"/>
        </w:rPr>
        <w:t>（1）中共三门峡市委三门峡市人民政府《关于全面实施预算绩效管理的实施意见》（三发</w:t>
      </w:r>
      <w:r>
        <w:rPr>
          <w:rFonts w:hint="eastAsia"/>
          <w:highlight w:val="none"/>
          <w:lang w:eastAsia="zh-CN"/>
        </w:rPr>
        <w:t>〔</w:t>
      </w:r>
      <w:r>
        <w:rPr>
          <w:rFonts w:hint="default"/>
          <w:highlight w:val="none"/>
        </w:rPr>
        <w:t>20</w:t>
      </w:r>
      <w:r>
        <w:rPr>
          <w:rFonts w:hint="eastAsia" w:eastAsia="宋体"/>
          <w:highlight w:val="none"/>
          <w:lang w:val="en-US" w:eastAsia="zh-CN"/>
        </w:rPr>
        <w:t>21</w:t>
      </w:r>
      <w:r>
        <w:rPr>
          <w:rFonts w:hint="eastAsia"/>
          <w:highlight w:val="none"/>
          <w:lang w:eastAsia="zh-CN"/>
        </w:rPr>
        <w:t>〕</w:t>
      </w:r>
      <w:r>
        <w:rPr>
          <w:highlight w:val="none"/>
        </w:rPr>
        <w:t>1号）</w:t>
      </w:r>
    </w:p>
    <w:p w14:paraId="26B0DBBD">
      <w:pPr>
        <w:bidi w:val="0"/>
        <w:rPr>
          <w:highlight w:val="none"/>
        </w:rPr>
      </w:pPr>
      <w:r>
        <w:rPr>
          <w:highlight w:val="none"/>
        </w:rPr>
        <w:t>（2）三门峡市财政局关于印发《三门峡市市级预算政策和项目事前绩效评估管理办法》等5个办法的通知（三财预</w:t>
      </w:r>
      <w:r>
        <w:rPr>
          <w:rFonts w:hint="eastAsia"/>
          <w:highlight w:val="none"/>
          <w:lang w:eastAsia="zh-CN"/>
        </w:rPr>
        <w:t>〔</w:t>
      </w:r>
      <w:r>
        <w:rPr>
          <w:rFonts w:hint="default"/>
          <w:highlight w:val="none"/>
        </w:rPr>
        <w:t>20</w:t>
      </w:r>
      <w:r>
        <w:rPr>
          <w:rFonts w:hint="eastAsia" w:eastAsia="宋体"/>
          <w:highlight w:val="none"/>
          <w:lang w:val="en-US" w:eastAsia="zh-CN"/>
        </w:rPr>
        <w:t>20</w:t>
      </w:r>
      <w:r>
        <w:rPr>
          <w:rFonts w:hint="eastAsia"/>
          <w:highlight w:val="none"/>
          <w:lang w:eastAsia="zh-CN"/>
        </w:rPr>
        <w:t>〕</w:t>
      </w:r>
      <w:r>
        <w:rPr>
          <w:highlight w:val="none"/>
        </w:rPr>
        <w:t>677号）</w:t>
      </w:r>
    </w:p>
    <w:p w14:paraId="35D11C95">
      <w:pPr>
        <w:pStyle w:val="5"/>
        <w:bidi w:val="0"/>
        <w:rPr>
          <w:rFonts w:hint="eastAsia"/>
        </w:rPr>
      </w:pPr>
      <w:r>
        <w:rPr>
          <w:rFonts w:hint="eastAsia"/>
          <w:lang w:val="en-US" w:eastAsia="zh-CN"/>
        </w:rPr>
        <w:t>4</w:t>
      </w:r>
      <w:r>
        <w:rPr>
          <w:rFonts w:hint="eastAsia"/>
        </w:rPr>
        <w:t>.</w:t>
      </w:r>
      <w:r>
        <w:rPr>
          <w:rFonts w:hint="eastAsia"/>
          <w:lang w:val="en-US" w:eastAsia="zh-CN"/>
        </w:rPr>
        <w:t>区级</w:t>
      </w:r>
      <w:r>
        <w:rPr>
          <w:rFonts w:hint="eastAsia"/>
        </w:rPr>
        <w:t>文件</w:t>
      </w:r>
    </w:p>
    <w:p w14:paraId="426404A0">
      <w:pPr>
        <w:bidi w:val="0"/>
        <w:rPr>
          <w:rFonts w:hint="eastAsia"/>
          <w:highlight w:val="none"/>
          <w:lang w:val="en-US" w:eastAsia="zh-CN"/>
        </w:rPr>
      </w:pPr>
      <w:r>
        <w:rPr>
          <w:rFonts w:hint="eastAsia"/>
          <w:highlight w:val="none"/>
          <w:lang w:val="en-US" w:eastAsia="zh-CN"/>
        </w:rPr>
        <w:t>（1）</w:t>
      </w:r>
      <w:r>
        <w:rPr>
          <w:rFonts w:hint="eastAsia"/>
          <w:highlight w:val="none"/>
        </w:rPr>
        <w:t>中共陕州区委</w:t>
      </w:r>
      <w:r>
        <w:rPr>
          <w:rFonts w:hint="eastAsia"/>
          <w:highlight w:val="none"/>
          <w:lang w:val="en-US" w:eastAsia="zh-CN"/>
        </w:rPr>
        <w:t xml:space="preserve"> </w:t>
      </w:r>
      <w:r>
        <w:rPr>
          <w:rFonts w:hint="eastAsia"/>
          <w:highlight w:val="none"/>
        </w:rPr>
        <w:t>陕州区人民政府《关于全面实施预算绩效管理的实施意见</w:t>
      </w:r>
      <w:r>
        <w:rPr>
          <w:rFonts w:hint="eastAsia"/>
          <w:highlight w:val="none"/>
          <w:lang w:eastAsia="zh-CN"/>
        </w:rPr>
        <w:t>》</w:t>
      </w:r>
      <w:r>
        <w:rPr>
          <w:rFonts w:hint="eastAsia"/>
          <w:highlight w:val="none"/>
        </w:rPr>
        <w:t>（三陕发〔2020〕10号）</w:t>
      </w:r>
    </w:p>
    <w:p w14:paraId="2A13C2A8">
      <w:pPr>
        <w:bidi w:val="0"/>
        <w:rPr>
          <w:rFonts w:hint="default"/>
          <w:highlight w:val="none"/>
          <w:lang w:val="en-US" w:eastAsia="zh-CN"/>
        </w:rPr>
      </w:pPr>
      <w:r>
        <w:rPr>
          <w:rFonts w:hint="eastAsia"/>
          <w:highlight w:val="none"/>
          <w:lang w:val="en-US" w:eastAsia="zh-CN"/>
        </w:rPr>
        <w:t>（2）三门峡市陕州区财政局印发的《关于开展2023年度区级财政支出重点项目绩效评价工作的通知》(三陕财效</w:t>
      </w:r>
      <w:r>
        <w:rPr>
          <w:rFonts w:hint="eastAsia"/>
          <w:highlight w:val="none"/>
        </w:rPr>
        <w:t>〔202</w:t>
      </w:r>
      <w:r>
        <w:rPr>
          <w:rFonts w:hint="eastAsia"/>
          <w:highlight w:val="none"/>
          <w:lang w:val="en-US" w:eastAsia="zh-CN"/>
        </w:rPr>
        <w:t>4</w:t>
      </w:r>
      <w:r>
        <w:rPr>
          <w:rFonts w:hint="eastAsia"/>
          <w:highlight w:val="none"/>
        </w:rPr>
        <w:t>〕</w:t>
      </w:r>
      <w:r>
        <w:rPr>
          <w:rFonts w:hint="eastAsia"/>
          <w:highlight w:val="none"/>
          <w:lang w:val="en-US" w:eastAsia="zh-CN"/>
        </w:rPr>
        <w:t xml:space="preserve">6号) </w:t>
      </w:r>
    </w:p>
    <w:p w14:paraId="04C1F6DD">
      <w:pPr>
        <w:pStyle w:val="5"/>
        <w:bidi w:val="0"/>
        <w:rPr>
          <w:rFonts w:hint="eastAsia"/>
        </w:rPr>
      </w:pPr>
      <w:r>
        <w:rPr>
          <w:rFonts w:hint="eastAsia"/>
          <w:lang w:val="en-US" w:eastAsia="zh-CN"/>
        </w:rPr>
        <w:t>5</w:t>
      </w:r>
      <w:r>
        <w:rPr>
          <w:rFonts w:hint="eastAsia"/>
        </w:rPr>
        <w:t>.其他文件</w:t>
      </w:r>
    </w:p>
    <w:p w14:paraId="434D3C0B">
      <w:pPr>
        <w:bidi w:val="0"/>
        <w:rPr>
          <w:rFonts w:hint="eastAsia"/>
          <w:lang w:eastAsia="zh-CN"/>
        </w:rPr>
      </w:pPr>
      <w:r>
        <w:t>（1）三门峡市</w:t>
      </w:r>
      <w:r>
        <w:rPr>
          <w:rFonts w:hint="eastAsia"/>
          <w:lang w:val="en-US" w:eastAsia="zh-CN"/>
        </w:rPr>
        <w:t>陕州区水利局</w:t>
      </w:r>
      <w:r>
        <w:t>与</w:t>
      </w:r>
      <w:r>
        <w:rPr>
          <w:rFonts w:hint="eastAsia"/>
          <w:lang w:val="en-US" w:eastAsia="zh-CN"/>
        </w:rPr>
        <w:t>河南润杰建设工程有限公司有限公司</w:t>
      </w:r>
      <w:r>
        <w:t>签订的《</w:t>
      </w:r>
      <w:r>
        <w:rPr>
          <w:rFonts w:hint="eastAsia"/>
          <w:lang w:val="en-US" w:eastAsia="zh-CN"/>
        </w:rPr>
        <w:t>建设工程施工</w:t>
      </w:r>
      <w:r>
        <w:t>合同》</w:t>
      </w:r>
      <w:r>
        <w:rPr>
          <w:rFonts w:hint="eastAsia"/>
          <w:lang w:eastAsia="zh-CN"/>
        </w:rPr>
        <w:t>（</w:t>
      </w:r>
      <w:r>
        <w:rPr>
          <w:rFonts w:hint="eastAsia"/>
          <w:lang w:val="en-US" w:eastAsia="zh-CN"/>
        </w:rPr>
        <w:t>一标段</w:t>
      </w:r>
      <w:r>
        <w:rPr>
          <w:rFonts w:hint="eastAsia"/>
          <w:lang w:eastAsia="zh-CN"/>
        </w:rPr>
        <w:t>）</w:t>
      </w:r>
    </w:p>
    <w:p w14:paraId="04E719C5">
      <w:pPr>
        <w:bidi w:val="0"/>
      </w:pPr>
      <w:r>
        <w:t>（</w:t>
      </w:r>
      <w:r>
        <w:rPr>
          <w:rFonts w:hint="eastAsia"/>
          <w:lang w:val="en-US" w:eastAsia="zh-CN"/>
        </w:rPr>
        <w:t>2</w:t>
      </w:r>
      <w:r>
        <w:t>）三门峡市</w:t>
      </w:r>
      <w:r>
        <w:rPr>
          <w:rFonts w:hint="eastAsia"/>
          <w:lang w:val="en-US" w:eastAsia="zh-CN"/>
        </w:rPr>
        <w:t>陕州区水利局</w:t>
      </w:r>
      <w:r>
        <w:t>与</w:t>
      </w:r>
      <w:r>
        <w:rPr>
          <w:rFonts w:hint="eastAsia"/>
          <w:lang w:val="en-US" w:eastAsia="zh-CN"/>
        </w:rPr>
        <w:t>中水华通工程有限公司有限公司</w:t>
      </w:r>
      <w:r>
        <w:t>签订的《</w:t>
      </w:r>
      <w:r>
        <w:rPr>
          <w:rFonts w:hint="eastAsia"/>
          <w:lang w:val="en-US" w:eastAsia="zh-CN"/>
        </w:rPr>
        <w:t>建设工程施工</w:t>
      </w:r>
      <w:r>
        <w:t>合同》</w:t>
      </w:r>
      <w:r>
        <w:rPr>
          <w:rFonts w:hint="eastAsia"/>
          <w:lang w:eastAsia="zh-CN"/>
        </w:rPr>
        <w:t>（</w:t>
      </w:r>
      <w:r>
        <w:rPr>
          <w:rFonts w:hint="eastAsia"/>
          <w:lang w:val="en-US" w:eastAsia="zh-CN"/>
        </w:rPr>
        <w:t>二标段</w:t>
      </w:r>
      <w:r>
        <w:rPr>
          <w:rFonts w:hint="eastAsia"/>
          <w:lang w:eastAsia="zh-CN"/>
        </w:rPr>
        <w:t>）</w:t>
      </w:r>
    </w:p>
    <w:p w14:paraId="25C43991">
      <w:pPr>
        <w:bidi w:val="0"/>
      </w:pPr>
      <w:r>
        <w:t>（</w:t>
      </w:r>
      <w:r>
        <w:rPr>
          <w:rFonts w:hint="eastAsia"/>
          <w:lang w:val="en-US" w:eastAsia="zh-CN"/>
        </w:rPr>
        <w:t>3</w:t>
      </w:r>
      <w:r>
        <w:t>）收集的项目实施方案以及其他相关政策、制度、行业标准及规范等。</w:t>
      </w:r>
    </w:p>
    <w:p w14:paraId="3372A081">
      <w:pPr>
        <w:pStyle w:val="3"/>
        <w:bidi w:val="0"/>
        <w:rPr>
          <w:rFonts w:hint="default"/>
          <w:lang w:val="en-US" w:eastAsia="zh-CN"/>
        </w:rPr>
      </w:pPr>
      <w:bookmarkStart w:id="25" w:name="_Toc1102"/>
      <w:r>
        <w:t>（</w:t>
      </w:r>
      <w:r>
        <w:rPr>
          <w:rFonts w:hint="eastAsia"/>
          <w:lang w:val="en-US" w:eastAsia="zh-CN"/>
        </w:rPr>
        <w:t>四</w:t>
      </w:r>
      <w:r>
        <w:t>）评价的原则</w:t>
      </w:r>
      <w:r>
        <w:rPr>
          <w:rFonts w:hint="eastAsia"/>
          <w:lang w:eastAsia="zh-CN"/>
        </w:rPr>
        <w:t>、</w:t>
      </w:r>
      <w:r>
        <w:t>方法</w:t>
      </w:r>
      <w:r>
        <w:rPr>
          <w:rFonts w:hint="eastAsia"/>
          <w:lang w:val="en-US" w:eastAsia="zh-CN"/>
        </w:rPr>
        <w:t>和标准</w:t>
      </w:r>
      <w:bookmarkEnd w:id="25"/>
    </w:p>
    <w:p w14:paraId="3CB7D05B">
      <w:pPr>
        <w:pStyle w:val="4"/>
        <w:bidi w:val="0"/>
        <w:rPr>
          <w:rFonts w:hint="eastAsia"/>
        </w:rPr>
      </w:pPr>
      <w:bookmarkStart w:id="26" w:name="_Toc951"/>
      <w:bookmarkStart w:id="27" w:name="_Toc26848"/>
      <w:r>
        <w:rPr>
          <w:rFonts w:hint="eastAsia"/>
        </w:rPr>
        <w:t>1.绩效评价原则</w:t>
      </w:r>
      <w:bookmarkEnd w:id="26"/>
      <w:bookmarkEnd w:id="27"/>
    </w:p>
    <w:p w14:paraId="2410401F">
      <w:pPr>
        <w:bidi w:val="0"/>
        <w:rPr>
          <w:rFonts w:hint="eastAsia"/>
        </w:rPr>
      </w:pPr>
      <w:r>
        <w:rPr>
          <w:rFonts w:hint="eastAsia"/>
        </w:rPr>
        <w:t xml:space="preserve">（1）科学规范原则。绩效评价应当严格执行规定的程序，按科学可行的要求，采用定量与定性分析相结合的方法。 </w:t>
      </w:r>
    </w:p>
    <w:p w14:paraId="65AFD6F2">
      <w:pPr>
        <w:bidi w:val="0"/>
        <w:rPr>
          <w:rFonts w:hint="eastAsia"/>
        </w:rPr>
      </w:pPr>
      <w:r>
        <w:rPr>
          <w:rFonts w:hint="eastAsia"/>
        </w:rPr>
        <w:t xml:space="preserve">（2）公正公开原则。绩效评价应当符合真实、客观、公正的要求，依法公开并接受监督。 </w:t>
      </w:r>
    </w:p>
    <w:p w14:paraId="5927D511">
      <w:pPr>
        <w:bidi w:val="0"/>
        <w:rPr>
          <w:rFonts w:hint="eastAsia"/>
        </w:rPr>
      </w:pPr>
      <w:r>
        <w:rPr>
          <w:rFonts w:hint="eastAsia"/>
        </w:rPr>
        <w:t xml:space="preserve">（3）分级分类原则。绩效评价由区级财政部门、区级部门（单位）根据评价对象的特点分类组织实施。 </w:t>
      </w:r>
    </w:p>
    <w:p w14:paraId="0C5AEDCA">
      <w:pPr>
        <w:bidi w:val="0"/>
        <w:rPr>
          <w:rFonts w:hint="eastAsia"/>
        </w:rPr>
      </w:pPr>
      <w:r>
        <w:rPr>
          <w:rFonts w:hint="eastAsia"/>
        </w:rPr>
        <w:t>（4）绩效相关原则。绩效评价应当针对具体支出及其产出绩效进行，评价结果应当清晰反映支出和产出绩效之间的紧密对应关系。</w:t>
      </w:r>
    </w:p>
    <w:p w14:paraId="207685EF">
      <w:pPr>
        <w:pStyle w:val="4"/>
        <w:bidi w:val="0"/>
        <w:rPr>
          <w:rFonts w:hint="eastAsia"/>
        </w:rPr>
      </w:pPr>
      <w:bookmarkStart w:id="28" w:name="_Toc10765"/>
      <w:bookmarkStart w:id="29" w:name="_Toc6973"/>
      <w:r>
        <w:rPr>
          <w:rFonts w:hint="eastAsia"/>
        </w:rPr>
        <w:t>2.绩效评价方法</w:t>
      </w:r>
      <w:bookmarkEnd w:id="28"/>
      <w:bookmarkEnd w:id="29"/>
    </w:p>
    <w:p w14:paraId="05E72004">
      <w:pPr>
        <w:bidi w:val="0"/>
        <w:rPr>
          <w:rFonts w:hint="eastAsia"/>
        </w:rPr>
      </w:pPr>
      <w:r>
        <w:rPr>
          <w:rFonts w:hint="eastAsia"/>
        </w:rPr>
        <w:t xml:space="preserve">（1）成本效益分析法：是指将一定时期内的支出与效益进行对比分析以评价绩效目标实现程度。 </w:t>
      </w:r>
    </w:p>
    <w:p w14:paraId="2311C649">
      <w:pPr>
        <w:bidi w:val="0"/>
        <w:rPr>
          <w:rFonts w:hint="eastAsia"/>
        </w:rPr>
      </w:pPr>
      <w:r>
        <w:rPr>
          <w:rFonts w:hint="eastAsia"/>
        </w:rPr>
        <w:t xml:space="preserve">（2）比较法：是指通过对绩效目标与实施效果、历史与当期情况、不同部门和地区同类支出的比较，综合分析绩效目标实现程度。 </w:t>
      </w:r>
    </w:p>
    <w:p w14:paraId="0EFDBE90">
      <w:pPr>
        <w:bidi w:val="0"/>
        <w:rPr>
          <w:rFonts w:hint="eastAsia"/>
        </w:rPr>
      </w:pPr>
      <w:r>
        <w:rPr>
          <w:rFonts w:hint="eastAsia"/>
        </w:rPr>
        <w:t xml:space="preserve">（3）因素分析法：是指通过综合分析影响绩效目标实现、 实施效果的内外因素，评价绩效目标实现程度。 </w:t>
      </w:r>
    </w:p>
    <w:p w14:paraId="1A8F6303">
      <w:pPr>
        <w:bidi w:val="0"/>
        <w:rPr>
          <w:rFonts w:hint="eastAsia"/>
        </w:rPr>
      </w:pPr>
      <w:r>
        <w:rPr>
          <w:rFonts w:hint="eastAsia"/>
        </w:rPr>
        <w:t xml:space="preserve">（4）最低成本法：是指对效益不易计量的多个同类对象的实施成本进行比较，评价绩效目标实现程度。 </w:t>
      </w:r>
    </w:p>
    <w:p w14:paraId="362398C9">
      <w:pPr>
        <w:bidi w:val="0"/>
        <w:rPr>
          <w:rFonts w:hint="eastAsia"/>
        </w:rPr>
      </w:pPr>
      <w:r>
        <w:rPr>
          <w:rFonts w:hint="eastAsia"/>
        </w:rPr>
        <w:t xml:space="preserve">（5）公众评判法：是指通过专家评估、公众问卷及抽样、调查等对财政支出效果进行评判，评价绩效目标实现程度。 </w:t>
      </w:r>
    </w:p>
    <w:p w14:paraId="054B9F28">
      <w:pPr>
        <w:bidi w:val="0"/>
        <w:rPr>
          <w:rFonts w:hint="eastAsia"/>
        </w:rPr>
      </w:pPr>
      <w:r>
        <w:rPr>
          <w:rFonts w:hint="eastAsia"/>
        </w:rPr>
        <w:t xml:space="preserve">（6）其他评价方法。 </w:t>
      </w:r>
    </w:p>
    <w:p w14:paraId="41EFCE1E">
      <w:pPr>
        <w:bidi w:val="0"/>
        <w:rPr>
          <w:rFonts w:hint="eastAsia"/>
        </w:rPr>
      </w:pPr>
      <w:r>
        <w:rPr>
          <w:rFonts w:hint="eastAsia"/>
        </w:rPr>
        <w:t>本次评定采用目标预定与实施效果比较法，兼以因素分析法，采取数据对比，标准和抽样调查相结合，同时辅以访谈、问卷调查等进行评分，以定量考核与定性分析相结合，汇总形成评价综合得分。</w:t>
      </w:r>
    </w:p>
    <w:p w14:paraId="28E70647">
      <w:pPr>
        <w:pStyle w:val="4"/>
        <w:bidi w:val="0"/>
        <w:rPr>
          <w:rFonts w:hint="eastAsia"/>
        </w:rPr>
      </w:pPr>
      <w:bookmarkStart w:id="30" w:name="_Toc139"/>
      <w:bookmarkStart w:id="31" w:name="_Toc6300"/>
      <w:r>
        <w:rPr>
          <w:rFonts w:hint="eastAsia"/>
        </w:rPr>
        <w:t>3.绩效评价标准</w:t>
      </w:r>
      <w:bookmarkEnd w:id="30"/>
      <w:bookmarkEnd w:id="31"/>
      <w:r>
        <w:rPr>
          <w:rFonts w:hint="eastAsia"/>
        </w:rPr>
        <w:t xml:space="preserve"> </w:t>
      </w:r>
    </w:p>
    <w:p w14:paraId="5D229D0E">
      <w:pPr>
        <w:bidi w:val="0"/>
        <w:rPr>
          <w:rFonts w:hint="eastAsia"/>
        </w:rPr>
      </w:pPr>
      <w:r>
        <w:rPr>
          <w:rFonts w:hint="eastAsia"/>
        </w:rPr>
        <w:t xml:space="preserve">（1）计划标准。是指以预先制定的目标、计划、预算、定额等数据作为评价的标准。 </w:t>
      </w:r>
    </w:p>
    <w:p w14:paraId="30C4A1BF">
      <w:pPr>
        <w:bidi w:val="0"/>
        <w:rPr>
          <w:rFonts w:hint="eastAsia"/>
        </w:rPr>
      </w:pPr>
      <w:r>
        <w:rPr>
          <w:rFonts w:hint="eastAsia"/>
        </w:rPr>
        <w:t xml:space="preserve">（2）行业标准。是指参照国家公布的行业指标数据制定的评价标准。 </w:t>
      </w:r>
    </w:p>
    <w:p w14:paraId="65524CEB">
      <w:pPr>
        <w:bidi w:val="0"/>
        <w:rPr>
          <w:rFonts w:hint="eastAsia"/>
        </w:rPr>
      </w:pPr>
      <w:r>
        <w:rPr>
          <w:rFonts w:hint="eastAsia"/>
        </w:rPr>
        <w:t>（3）历史标准。是指参照同类指标的历史数据制定的评价标准。</w:t>
      </w:r>
    </w:p>
    <w:p w14:paraId="360C5119">
      <w:pPr>
        <w:bidi w:val="0"/>
        <w:rPr>
          <w:rFonts w:hint="eastAsia"/>
        </w:rPr>
      </w:pPr>
      <w:r>
        <w:rPr>
          <w:rFonts w:hint="eastAsia"/>
        </w:rPr>
        <w:t>（4）其他标准。</w:t>
      </w:r>
    </w:p>
    <w:p w14:paraId="56F088AC">
      <w:pPr>
        <w:bidi w:val="0"/>
        <w:rPr>
          <w:rFonts w:hint="eastAsia"/>
        </w:rPr>
      </w:pPr>
      <w:r>
        <w:rPr>
          <w:rFonts w:hint="eastAsia"/>
        </w:rPr>
        <w:t>本次绩效评价，工作组采用计划标准和历史标准相结合的方式，对绩效指标完成情况进行比较。</w:t>
      </w:r>
    </w:p>
    <w:p w14:paraId="5F9BE837">
      <w:pPr>
        <w:pStyle w:val="3"/>
        <w:bidi w:val="0"/>
      </w:pPr>
      <w:bookmarkStart w:id="32" w:name="_Toc1307"/>
      <w:r>
        <w:rPr>
          <w:rFonts w:hint="eastAsia"/>
          <w:lang w:eastAsia="zh-CN"/>
        </w:rPr>
        <w:t>（</w:t>
      </w:r>
      <w:r>
        <w:rPr>
          <w:rFonts w:hint="eastAsia"/>
          <w:lang w:val="en-US" w:eastAsia="zh-CN"/>
        </w:rPr>
        <w:t>五</w:t>
      </w:r>
      <w:r>
        <w:rPr>
          <w:rFonts w:hint="eastAsia"/>
          <w:lang w:eastAsia="zh-CN"/>
        </w:rPr>
        <w:t>）</w:t>
      </w:r>
      <w:r>
        <w:rPr>
          <w:rFonts w:hint="eastAsia"/>
        </w:rPr>
        <w:t>绩效评价</w:t>
      </w:r>
      <w:r>
        <w:t>指标体系</w:t>
      </w:r>
      <w:bookmarkEnd w:id="32"/>
    </w:p>
    <w:p w14:paraId="14E19A1D">
      <w:pPr>
        <w:pStyle w:val="4"/>
        <w:bidi w:val="0"/>
      </w:pPr>
      <w:bookmarkStart w:id="33" w:name="_Toc16505"/>
      <w:r>
        <w:rPr>
          <w:rFonts w:hint="eastAsia"/>
          <w:lang w:val="en-US" w:eastAsia="zh-CN"/>
        </w:rPr>
        <w:t>1.</w:t>
      </w:r>
      <w:r>
        <w:t>评价指标设计的总体思路</w:t>
      </w:r>
      <w:bookmarkEnd w:id="33"/>
    </w:p>
    <w:p w14:paraId="4CCE105F">
      <w:pPr>
        <w:bidi w:val="0"/>
        <w:rPr>
          <w:highlight w:val="none"/>
        </w:rPr>
      </w:pPr>
      <w:r>
        <w:rPr>
          <w:rFonts w:hint="eastAsia"/>
          <w:highlight w:val="none"/>
        </w:rPr>
        <w:t>参照绩效评价的基本原理、原则和项目特点，评价组结合《项目支出绩效评价管理办法》（财预</w:t>
      </w:r>
      <w:r>
        <w:rPr>
          <w:rFonts w:hint="eastAsia"/>
          <w:highlight w:val="none"/>
          <w:lang w:val="en-US" w:eastAsia="zh-CN"/>
        </w:rPr>
        <w:t>〔</w:t>
      </w:r>
      <w:r>
        <w:rPr>
          <w:rFonts w:hint="eastAsia"/>
          <w:highlight w:val="none"/>
        </w:rPr>
        <w:t>2020</w:t>
      </w:r>
      <w:r>
        <w:rPr>
          <w:rFonts w:hint="eastAsia"/>
          <w:highlight w:val="none"/>
          <w:lang w:val="en-US" w:eastAsia="zh-CN"/>
        </w:rPr>
        <w:t>〕</w:t>
      </w:r>
      <w:r>
        <w:rPr>
          <w:rFonts w:hint="eastAsia"/>
          <w:highlight w:val="none"/>
        </w:rPr>
        <w:t>10号）、《河南省省级预算项目支出绩效评价管理办法》的通知（豫财效</w:t>
      </w:r>
      <w:r>
        <w:rPr>
          <w:rFonts w:hint="eastAsia"/>
          <w:highlight w:val="none"/>
          <w:lang w:val="en-US" w:eastAsia="zh-CN"/>
        </w:rPr>
        <w:t>〔</w:t>
      </w:r>
      <w:r>
        <w:rPr>
          <w:rFonts w:hint="eastAsia"/>
          <w:highlight w:val="none"/>
        </w:rPr>
        <w:t>2020</w:t>
      </w:r>
      <w:r>
        <w:rPr>
          <w:rFonts w:hint="eastAsia"/>
          <w:highlight w:val="none"/>
          <w:lang w:val="en-US" w:eastAsia="zh-CN"/>
        </w:rPr>
        <w:t>〕</w:t>
      </w:r>
      <w:r>
        <w:rPr>
          <w:rFonts w:hint="eastAsia"/>
          <w:highlight w:val="none"/>
        </w:rPr>
        <w:t>1</w:t>
      </w:r>
      <w:r>
        <w:rPr>
          <w:rFonts w:hint="eastAsia"/>
          <w:highlight w:val="none"/>
          <w:lang w:val="en-US" w:eastAsia="zh-CN"/>
        </w:rPr>
        <w:t>0</w:t>
      </w:r>
      <w:r>
        <w:rPr>
          <w:rFonts w:hint="eastAsia"/>
          <w:highlight w:val="none"/>
        </w:rPr>
        <w:t>号）</w:t>
      </w:r>
      <w:r>
        <w:rPr>
          <w:rFonts w:hint="eastAsia"/>
          <w:highlight w:val="none"/>
          <w:lang w:val="en-US" w:eastAsia="zh-CN"/>
        </w:rPr>
        <w:t>及《</w:t>
      </w:r>
      <w:r>
        <w:rPr>
          <w:highlight w:val="none"/>
        </w:rPr>
        <w:t>中共三门峡市委 三门峡市人民政府关于全面实施预算绩效管理的实施意见》（三发</w:t>
      </w:r>
      <w:r>
        <w:rPr>
          <w:rFonts w:hint="eastAsia"/>
          <w:highlight w:val="none"/>
          <w:lang w:eastAsia="zh-CN"/>
        </w:rPr>
        <w:t>〔</w:t>
      </w:r>
      <w:r>
        <w:rPr>
          <w:rFonts w:hint="default"/>
          <w:highlight w:val="none"/>
        </w:rPr>
        <w:t>20</w:t>
      </w:r>
      <w:r>
        <w:rPr>
          <w:rFonts w:hint="eastAsia"/>
          <w:highlight w:val="none"/>
          <w:lang w:val="en-US" w:eastAsia="zh-CN"/>
        </w:rPr>
        <w:t>21</w:t>
      </w:r>
      <w:r>
        <w:rPr>
          <w:rFonts w:hint="eastAsia"/>
          <w:highlight w:val="none"/>
          <w:lang w:eastAsia="zh-CN"/>
        </w:rPr>
        <w:t>〕</w:t>
      </w:r>
      <w:r>
        <w:rPr>
          <w:highlight w:val="none"/>
        </w:rPr>
        <w:t>1号）</w:t>
      </w:r>
      <w:r>
        <w:rPr>
          <w:rFonts w:hint="eastAsia"/>
          <w:highlight w:val="none"/>
        </w:rPr>
        <w:t>等相关文件的要求，在对项目的背景、内容、绩效目标梳理归纳的基础上，按照“</w:t>
      </w:r>
      <w:r>
        <w:rPr>
          <w:rFonts w:hint="eastAsia"/>
          <w:lang w:val="en-US" w:eastAsia="zh-CN"/>
        </w:rPr>
        <w:t>三门峡市陕州区青龙涧河涧里村至杨家河村河道治理工程</w:t>
      </w:r>
      <w:r>
        <w:rPr>
          <w:rFonts w:hint="eastAsia"/>
          <w:highlight w:val="none"/>
          <w:lang w:val="en-US" w:eastAsia="zh-CN"/>
        </w:rPr>
        <w:t>项目</w:t>
      </w:r>
      <w:r>
        <w:rPr>
          <w:rFonts w:hint="eastAsia"/>
          <w:highlight w:val="none"/>
        </w:rPr>
        <w:t>”的运行情况为主要绩效评价内容，围绕决策、过程、产出、效益四方面设计评价指标体系。客观分析项目的产出和效益，确定三级指标名称、内容，并结合历史经验、指标的重要性</w:t>
      </w:r>
      <w:r>
        <w:rPr>
          <w:rFonts w:hint="eastAsia" w:eastAsia="宋体"/>
          <w:highlight w:val="none"/>
          <w:lang w:val="en-US" w:eastAsia="zh-CN"/>
        </w:rPr>
        <w:t>等</w:t>
      </w:r>
      <w:r>
        <w:rPr>
          <w:rFonts w:hint="eastAsia"/>
          <w:highlight w:val="none"/>
        </w:rPr>
        <w:t>设置三级指标权重和评分标准，体现从决策、过程到产出、效益的绩效逻辑路径，以增强评价的科学性、严谨性和可行性。根据各指标对项目资金管理与绩效目标实现的重要性赋予权重，</w:t>
      </w:r>
      <w:r>
        <w:rPr>
          <w:rFonts w:hint="eastAsia" w:eastAsia="宋体"/>
          <w:highlight w:val="none"/>
          <w:lang w:val="en-US" w:eastAsia="zh-CN"/>
        </w:rPr>
        <w:t>最终</w:t>
      </w:r>
      <w:r>
        <w:rPr>
          <w:rFonts w:hint="eastAsia"/>
          <w:highlight w:val="none"/>
        </w:rPr>
        <w:t>形成</w:t>
      </w:r>
      <w:r>
        <w:rPr>
          <w:rFonts w:hint="eastAsia"/>
          <w:lang w:val="en-US" w:eastAsia="zh-CN"/>
        </w:rPr>
        <w:t>三门峡市陕州区青龙涧河涧里村至杨家河村河道治理工程</w:t>
      </w:r>
      <w:r>
        <w:rPr>
          <w:rFonts w:hint="eastAsia"/>
          <w:highlight w:val="none"/>
        </w:rPr>
        <w:t>绩效评价指标体系。</w:t>
      </w:r>
    </w:p>
    <w:p w14:paraId="0F4AACAF">
      <w:pPr>
        <w:pStyle w:val="4"/>
        <w:bidi w:val="0"/>
      </w:pPr>
      <w:bookmarkStart w:id="34" w:name="_Toc16316"/>
      <w:r>
        <w:rPr>
          <w:rFonts w:hint="eastAsia"/>
          <w:lang w:val="en-US" w:eastAsia="zh-CN"/>
        </w:rPr>
        <w:t>2.</w:t>
      </w:r>
      <w:r>
        <w:t>评价指标</w:t>
      </w:r>
      <w:bookmarkEnd w:id="34"/>
    </w:p>
    <w:p w14:paraId="25030584">
      <w:pPr>
        <w:bidi w:val="0"/>
        <w:rPr>
          <w:highlight w:val="none"/>
        </w:rPr>
      </w:pPr>
      <w:r>
        <w:rPr>
          <w:highlight w:val="none"/>
        </w:rPr>
        <w:t>本项目指标体系从决策、过程、产出</w:t>
      </w:r>
      <w:r>
        <w:rPr>
          <w:rFonts w:hint="eastAsia"/>
          <w:highlight w:val="none"/>
        </w:rPr>
        <w:t>、效益四</w:t>
      </w:r>
      <w:r>
        <w:rPr>
          <w:highlight w:val="none"/>
        </w:rPr>
        <w:t>个方面进行分析</w:t>
      </w:r>
      <w:r>
        <w:rPr>
          <w:rFonts w:hint="eastAsia"/>
          <w:highlight w:val="none"/>
        </w:rPr>
        <w:t>，由4项一级指标、1</w:t>
      </w:r>
      <w:r>
        <w:rPr>
          <w:rFonts w:hint="eastAsia"/>
          <w:highlight w:val="none"/>
          <w:lang w:val="en-US" w:eastAsia="zh-CN"/>
        </w:rPr>
        <w:t>3</w:t>
      </w:r>
      <w:r>
        <w:rPr>
          <w:rFonts w:hint="eastAsia"/>
          <w:highlight w:val="none"/>
        </w:rPr>
        <w:t>项二级指标、</w:t>
      </w:r>
      <w:r>
        <w:rPr>
          <w:rFonts w:hint="eastAsia" w:eastAsia="宋体"/>
          <w:highlight w:val="none"/>
          <w:lang w:val="en-US" w:eastAsia="zh-CN"/>
        </w:rPr>
        <w:t>2</w:t>
      </w:r>
      <w:r>
        <w:rPr>
          <w:rFonts w:hint="eastAsia"/>
          <w:highlight w:val="none"/>
          <w:lang w:val="en-US" w:eastAsia="zh-CN"/>
        </w:rPr>
        <w:t>6</w:t>
      </w:r>
      <w:r>
        <w:rPr>
          <w:rFonts w:hint="eastAsia"/>
          <w:highlight w:val="none"/>
        </w:rPr>
        <w:t>项三级指标构成。</w:t>
      </w:r>
    </w:p>
    <w:p w14:paraId="09AE0EF8">
      <w:pPr>
        <w:bidi w:val="0"/>
        <w:rPr>
          <w:b/>
          <w:bCs/>
          <w:highlight w:val="none"/>
        </w:rPr>
      </w:pPr>
      <w:r>
        <w:rPr>
          <w:rFonts w:hint="eastAsia"/>
          <w:b/>
          <w:bCs/>
          <w:highlight w:val="none"/>
          <w:lang w:val="en-US" w:eastAsia="zh-CN"/>
        </w:rPr>
        <w:t>①</w:t>
      </w:r>
      <w:r>
        <w:rPr>
          <w:b/>
          <w:bCs/>
          <w:highlight w:val="none"/>
        </w:rPr>
        <w:t>决策</w:t>
      </w:r>
    </w:p>
    <w:p w14:paraId="323AEC9D">
      <w:pPr>
        <w:bidi w:val="0"/>
        <w:rPr>
          <w:highlight w:val="none"/>
        </w:rPr>
      </w:pPr>
      <w:r>
        <w:rPr>
          <w:highlight w:val="none"/>
        </w:rPr>
        <w:t>本项目从项目立项、绩效目标</w:t>
      </w:r>
      <w:r>
        <w:rPr>
          <w:rFonts w:hint="eastAsia" w:eastAsia="宋体"/>
          <w:highlight w:val="none"/>
          <w:lang w:val="en-US" w:eastAsia="zh-CN"/>
        </w:rPr>
        <w:t>及</w:t>
      </w:r>
      <w:r>
        <w:rPr>
          <w:highlight w:val="none"/>
        </w:rPr>
        <w:t>资金投入三个角度</w:t>
      </w:r>
      <w:r>
        <w:rPr>
          <w:rFonts w:hint="eastAsia"/>
          <w:highlight w:val="none"/>
        </w:rPr>
        <w:t>进行分析</w:t>
      </w:r>
      <w:r>
        <w:rPr>
          <w:highlight w:val="none"/>
        </w:rPr>
        <w:t>，主要考察立项依据充分性、立项程序规范性、绩效目标合理性、绩效</w:t>
      </w:r>
      <w:r>
        <w:rPr>
          <w:rFonts w:hint="eastAsia"/>
          <w:highlight w:val="none"/>
          <w:lang w:val="en-US" w:eastAsia="zh-CN"/>
        </w:rPr>
        <w:t>指标明确</w:t>
      </w:r>
      <w:r>
        <w:rPr>
          <w:highlight w:val="none"/>
        </w:rPr>
        <w:t>性、预算编制科学性、资金分配合理性等</w:t>
      </w:r>
      <w:r>
        <w:rPr>
          <w:rFonts w:hint="eastAsia"/>
          <w:highlight w:val="none"/>
        </w:rPr>
        <w:t>。</w:t>
      </w:r>
    </w:p>
    <w:p w14:paraId="3FAC4B96">
      <w:pPr>
        <w:bidi w:val="0"/>
        <w:rPr>
          <w:b/>
          <w:bCs/>
          <w:highlight w:val="none"/>
        </w:rPr>
      </w:pPr>
      <w:r>
        <w:rPr>
          <w:rFonts w:hint="eastAsia"/>
          <w:b/>
          <w:bCs/>
          <w:highlight w:val="none"/>
          <w:lang w:val="en-US" w:eastAsia="zh-CN"/>
        </w:rPr>
        <w:t>②</w:t>
      </w:r>
      <w:r>
        <w:rPr>
          <w:b/>
          <w:bCs/>
          <w:highlight w:val="none"/>
        </w:rPr>
        <w:t>过程</w:t>
      </w:r>
    </w:p>
    <w:p w14:paraId="22552882">
      <w:pPr>
        <w:bidi w:val="0"/>
        <w:rPr>
          <w:highlight w:val="none"/>
        </w:rPr>
      </w:pPr>
      <w:r>
        <w:rPr>
          <w:highlight w:val="none"/>
        </w:rPr>
        <w:t>本项目从</w:t>
      </w:r>
      <w:r>
        <w:rPr>
          <w:rFonts w:hint="eastAsia"/>
          <w:highlight w:val="none"/>
          <w:lang w:val="en-US" w:eastAsia="zh-CN"/>
        </w:rPr>
        <w:t>资金管理</w:t>
      </w:r>
      <w:r>
        <w:rPr>
          <w:rFonts w:hint="eastAsia" w:eastAsia="宋体"/>
          <w:highlight w:val="none"/>
          <w:lang w:val="en-US" w:eastAsia="zh-CN"/>
        </w:rPr>
        <w:t>及</w:t>
      </w:r>
      <w:r>
        <w:rPr>
          <w:highlight w:val="none"/>
        </w:rPr>
        <w:t>组织实施</w:t>
      </w:r>
      <w:r>
        <w:rPr>
          <w:rFonts w:hint="eastAsia"/>
          <w:highlight w:val="none"/>
          <w:lang w:val="en-US" w:eastAsia="zh-CN"/>
        </w:rPr>
        <w:t>两</w:t>
      </w:r>
      <w:r>
        <w:rPr>
          <w:highlight w:val="none"/>
        </w:rPr>
        <w:t>个角度</w:t>
      </w:r>
      <w:r>
        <w:rPr>
          <w:rFonts w:hint="eastAsia"/>
          <w:highlight w:val="none"/>
        </w:rPr>
        <w:t>进行分析</w:t>
      </w:r>
      <w:r>
        <w:rPr>
          <w:highlight w:val="none"/>
        </w:rPr>
        <w:t>，主要考察资金到位率、预算执行率、资金</w:t>
      </w:r>
      <w:r>
        <w:rPr>
          <w:rFonts w:hint="eastAsia"/>
          <w:highlight w:val="none"/>
          <w:lang w:val="en-US" w:eastAsia="zh-CN"/>
        </w:rPr>
        <w:t>使用</w:t>
      </w:r>
      <w:r>
        <w:rPr>
          <w:highlight w:val="none"/>
        </w:rPr>
        <w:t>合规性、管理制度健全性、制度执行有效性</w:t>
      </w:r>
      <w:r>
        <w:rPr>
          <w:rFonts w:hint="eastAsia"/>
          <w:highlight w:val="none"/>
          <w:lang w:eastAsia="zh-CN"/>
        </w:rPr>
        <w:t>、</w:t>
      </w:r>
      <w:r>
        <w:rPr>
          <w:rFonts w:hint="eastAsia"/>
          <w:highlight w:val="none"/>
          <w:lang w:val="en-US" w:eastAsia="zh-CN"/>
        </w:rPr>
        <w:t>政府采购规范性、项目质量可控性</w:t>
      </w:r>
      <w:r>
        <w:rPr>
          <w:highlight w:val="none"/>
        </w:rPr>
        <w:t>等。</w:t>
      </w:r>
    </w:p>
    <w:p w14:paraId="3F780145">
      <w:pPr>
        <w:bidi w:val="0"/>
        <w:rPr>
          <w:b/>
          <w:bCs/>
          <w:highlight w:val="none"/>
        </w:rPr>
      </w:pPr>
      <w:r>
        <w:rPr>
          <w:rFonts w:hint="eastAsia"/>
          <w:b/>
          <w:bCs/>
          <w:highlight w:val="none"/>
          <w:lang w:val="en-US" w:eastAsia="zh-CN"/>
        </w:rPr>
        <w:t>③</w:t>
      </w:r>
      <w:r>
        <w:rPr>
          <w:b/>
          <w:bCs/>
          <w:highlight w:val="none"/>
        </w:rPr>
        <w:t>产出</w:t>
      </w:r>
    </w:p>
    <w:p w14:paraId="085C6351">
      <w:pPr>
        <w:bidi w:val="0"/>
        <w:rPr>
          <w:highlight w:val="red"/>
        </w:rPr>
      </w:pPr>
      <w:r>
        <w:rPr>
          <w:highlight w:val="none"/>
        </w:rPr>
        <w:t>本项目从产出数量、产出质量、产出时效</w:t>
      </w:r>
      <w:r>
        <w:rPr>
          <w:rFonts w:hint="eastAsia" w:eastAsia="宋体"/>
          <w:highlight w:val="none"/>
          <w:lang w:val="en-US" w:eastAsia="zh-CN"/>
        </w:rPr>
        <w:t>及产出成本四</w:t>
      </w:r>
      <w:r>
        <w:rPr>
          <w:highlight w:val="none"/>
        </w:rPr>
        <w:t>个角度</w:t>
      </w:r>
      <w:r>
        <w:rPr>
          <w:rFonts w:hint="eastAsia"/>
          <w:highlight w:val="none"/>
        </w:rPr>
        <w:t>进行分析，主要考察</w:t>
      </w:r>
      <w:r>
        <w:rPr>
          <w:rFonts w:hint="eastAsia"/>
          <w:highlight w:val="none"/>
          <w:lang w:val="en-US" w:eastAsia="zh-CN"/>
        </w:rPr>
        <w:t>总建设面积、新增绿地面积</w:t>
      </w:r>
      <w:r>
        <w:rPr>
          <w:rFonts w:hint="eastAsia"/>
          <w:highlight w:val="none"/>
        </w:rPr>
        <w:t>、</w:t>
      </w:r>
      <w:r>
        <w:rPr>
          <w:highlight w:val="none"/>
        </w:rPr>
        <w:t>验收合格率</w:t>
      </w:r>
      <w:r>
        <w:rPr>
          <w:rFonts w:hint="eastAsia"/>
          <w:highlight w:val="none"/>
        </w:rPr>
        <w:t>、</w:t>
      </w:r>
      <w:r>
        <w:rPr>
          <w:rFonts w:hint="eastAsia"/>
          <w:highlight w:val="none"/>
          <w:lang w:val="en-US" w:eastAsia="zh-CN"/>
        </w:rPr>
        <w:t>项目投入使用情况</w:t>
      </w:r>
      <w:r>
        <w:rPr>
          <w:rFonts w:hint="eastAsia"/>
          <w:highlight w:val="none"/>
          <w:lang w:eastAsia="zh-CN"/>
        </w:rPr>
        <w:t>、</w:t>
      </w:r>
      <w:r>
        <w:rPr>
          <w:rFonts w:hint="eastAsia"/>
          <w:highlight w:val="none"/>
          <w:lang w:val="en-US" w:eastAsia="zh-CN"/>
        </w:rPr>
        <w:t>竣工决算及时性、工程进度达标率、价款支付及时性、成本节约率</w:t>
      </w:r>
      <w:r>
        <w:rPr>
          <w:rFonts w:hint="eastAsia"/>
          <w:highlight w:val="none"/>
        </w:rPr>
        <w:t>等。</w:t>
      </w:r>
    </w:p>
    <w:p w14:paraId="26DD6B42">
      <w:pPr>
        <w:bidi w:val="0"/>
        <w:rPr>
          <w:b/>
          <w:bCs/>
          <w:highlight w:val="none"/>
        </w:rPr>
      </w:pPr>
      <w:r>
        <w:rPr>
          <w:rFonts w:hint="eastAsia"/>
          <w:b/>
          <w:bCs/>
          <w:highlight w:val="none"/>
          <w:lang w:val="en-US" w:eastAsia="zh-CN"/>
        </w:rPr>
        <w:t>④</w:t>
      </w:r>
      <w:r>
        <w:rPr>
          <w:b/>
          <w:bCs/>
          <w:highlight w:val="none"/>
        </w:rPr>
        <w:t>效益</w:t>
      </w:r>
    </w:p>
    <w:p w14:paraId="3B395DFD">
      <w:pPr>
        <w:bidi w:val="0"/>
        <w:rPr>
          <w:highlight w:val="none"/>
        </w:rPr>
      </w:pPr>
      <w:r>
        <w:rPr>
          <w:highlight w:val="none"/>
        </w:rPr>
        <w:t>本项目从社会效益</w:t>
      </w:r>
      <w:r>
        <w:rPr>
          <w:rFonts w:hint="eastAsia" w:eastAsia="宋体"/>
          <w:highlight w:val="none"/>
          <w:lang w:eastAsia="zh-CN"/>
        </w:rPr>
        <w:t>、</w:t>
      </w:r>
      <w:r>
        <w:rPr>
          <w:rFonts w:hint="eastAsia" w:eastAsia="宋体"/>
          <w:highlight w:val="none"/>
          <w:lang w:val="en-US" w:eastAsia="zh-CN"/>
        </w:rPr>
        <w:t>生态效益、可持续影响和</w:t>
      </w:r>
      <w:r>
        <w:rPr>
          <w:rFonts w:hint="eastAsia"/>
          <w:highlight w:val="none"/>
        </w:rPr>
        <w:t>满意度</w:t>
      </w:r>
      <w:r>
        <w:rPr>
          <w:rFonts w:hint="eastAsia" w:eastAsia="宋体"/>
          <w:highlight w:val="none"/>
          <w:lang w:val="en-US" w:eastAsia="zh-CN"/>
        </w:rPr>
        <w:t>四</w:t>
      </w:r>
      <w:r>
        <w:rPr>
          <w:rFonts w:hint="eastAsia"/>
          <w:highlight w:val="none"/>
        </w:rPr>
        <w:t>个角度进行分析，主要考察</w:t>
      </w:r>
      <w:r>
        <w:rPr>
          <w:rFonts w:hint="eastAsia"/>
          <w:highlight w:val="none"/>
          <w:lang w:val="en-US" w:eastAsia="zh-CN"/>
        </w:rPr>
        <w:t>增加劳动就业机会情况</w:t>
      </w:r>
      <w:r>
        <w:rPr>
          <w:rFonts w:hint="eastAsia"/>
          <w:highlight w:val="none"/>
          <w:lang w:eastAsia="zh-CN"/>
        </w:rPr>
        <w:t>、</w:t>
      </w:r>
      <w:r>
        <w:rPr>
          <w:rFonts w:hint="eastAsia"/>
          <w:highlight w:val="none"/>
          <w:lang w:val="en-US" w:eastAsia="zh-CN"/>
        </w:rPr>
        <w:t>对公共服务水平的改善或提高程度</w:t>
      </w:r>
      <w:r>
        <w:rPr>
          <w:rFonts w:hint="eastAsia"/>
          <w:highlight w:val="none"/>
          <w:lang w:eastAsia="zh-CN"/>
        </w:rPr>
        <w:t>、</w:t>
      </w:r>
      <w:r>
        <w:rPr>
          <w:rFonts w:hint="eastAsia"/>
          <w:highlight w:val="none"/>
          <w:lang w:val="en-US" w:eastAsia="zh-CN"/>
        </w:rPr>
        <w:t>对区域生态环境的提升或影响程度、设施设备管护制度健全性以及</w:t>
      </w:r>
      <w:r>
        <w:rPr>
          <w:highlight w:val="none"/>
        </w:rPr>
        <w:t>群众满意度</w:t>
      </w:r>
      <w:r>
        <w:rPr>
          <w:rFonts w:hint="eastAsia"/>
          <w:highlight w:val="none"/>
          <w:lang w:val="en-US" w:eastAsia="zh-CN"/>
        </w:rPr>
        <w:t>情况</w:t>
      </w:r>
      <w:r>
        <w:rPr>
          <w:rFonts w:hint="eastAsia"/>
          <w:highlight w:val="none"/>
        </w:rPr>
        <w:t>等</w:t>
      </w:r>
      <w:r>
        <w:rPr>
          <w:highlight w:val="none"/>
        </w:rPr>
        <w:t>。</w:t>
      </w:r>
    </w:p>
    <w:p w14:paraId="6FB31B4F">
      <w:pPr>
        <w:bidi w:val="0"/>
      </w:pPr>
      <w:r>
        <w:rPr>
          <w:rFonts w:hint="eastAsia"/>
        </w:rPr>
        <w:t>评价指标体系整体框架见</w:t>
      </w:r>
      <w:r>
        <w:rPr>
          <w:rFonts w:hint="eastAsia"/>
          <w:lang w:val="en-US" w:eastAsia="zh-CN"/>
        </w:rPr>
        <w:t>下表：</w:t>
      </w:r>
    </w:p>
    <w:tbl>
      <w:tblPr>
        <w:tblStyle w:val="22"/>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61"/>
        <w:gridCol w:w="2762"/>
        <w:gridCol w:w="4718"/>
      </w:tblGrid>
      <w:tr w14:paraId="0BFB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blHeader/>
        </w:trPr>
        <w:tc>
          <w:tcPr>
            <w:tcW w:w="817" w:type="pct"/>
            <w:vAlign w:val="center"/>
          </w:tcPr>
          <w:p w14:paraId="51089D3E">
            <w:pPr>
              <w:bidi w:val="0"/>
              <w:spacing w:line="240" w:lineRule="auto"/>
              <w:ind w:firstLine="0" w:firstLineChars="0"/>
              <w:jc w:val="center"/>
              <w:rPr>
                <w:b/>
                <w:bCs/>
                <w:sz w:val="28"/>
                <w:szCs w:val="28"/>
                <w:highlight w:val="none"/>
              </w:rPr>
            </w:pPr>
            <w:r>
              <w:rPr>
                <w:b/>
                <w:bCs/>
                <w:sz w:val="28"/>
                <w:szCs w:val="28"/>
                <w:highlight w:val="none"/>
              </w:rPr>
              <w:t>一级指标</w:t>
            </w:r>
          </w:p>
        </w:tc>
        <w:tc>
          <w:tcPr>
            <w:tcW w:w="1544" w:type="pct"/>
            <w:vAlign w:val="center"/>
          </w:tcPr>
          <w:p w14:paraId="698E5A2E">
            <w:pPr>
              <w:bidi w:val="0"/>
              <w:spacing w:line="240" w:lineRule="auto"/>
              <w:ind w:firstLine="0" w:firstLineChars="0"/>
              <w:jc w:val="center"/>
              <w:rPr>
                <w:b/>
                <w:bCs/>
                <w:sz w:val="28"/>
                <w:szCs w:val="28"/>
                <w:highlight w:val="none"/>
              </w:rPr>
            </w:pPr>
            <w:r>
              <w:rPr>
                <w:b/>
                <w:bCs/>
                <w:sz w:val="28"/>
                <w:szCs w:val="28"/>
                <w:highlight w:val="none"/>
              </w:rPr>
              <w:t>二级指标</w:t>
            </w:r>
          </w:p>
        </w:tc>
        <w:tc>
          <w:tcPr>
            <w:tcW w:w="2637" w:type="pct"/>
            <w:vAlign w:val="center"/>
          </w:tcPr>
          <w:p w14:paraId="4E82CE51">
            <w:pPr>
              <w:bidi w:val="0"/>
              <w:spacing w:line="240" w:lineRule="auto"/>
              <w:ind w:firstLine="0" w:firstLineChars="0"/>
              <w:jc w:val="center"/>
              <w:rPr>
                <w:b/>
                <w:bCs/>
                <w:sz w:val="28"/>
                <w:szCs w:val="28"/>
                <w:highlight w:val="none"/>
              </w:rPr>
            </w:pPr>
            <w:r>
              <w:rPr>
                <w:b/>
                <w:bCs/>
                <w:sz w:val="28"/>
                <w:szCs w:val="28"/>
                <w:highlight w:val="none"/>
              </w:rPr>
              <w:t>三级指标</w:t>
            </w:r>
          </w:p>
        </w:tc>
      </w:tr>
      <w:tr w14:paraId="6BE5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restart"/>
            <w:vAlign w:val="center"/>
          </w:tcPr>
          <w:p w14:paraId="741BC01C">
            <w:pPr>
              <w:bidi w:val="0"/>
              <w:spacing w:line="240" w:lineRule="auto"/>
              <w:ind w:firstLine="0" w:firstLineChars="0"/>
              <w:jc w:val="center"/>
              <w:rPr>
                <w:sz w:val="28"/>
                <w:szCs w:val="28"/>
                <w:highlight w:val="none"/>
              </w:rPr>
            </w:pPr>
            <w:r>
              <w:rPr>
                <w:sz w:val="28"/>
                <w:szCs w:val="28"/>
                <w:highlight w:val="none"/>
              </w:rPr>
              <w:t>决策</w:t>
            </w:r>
            <w:r>
              <w:rPr>
                <w:rFonts w:hint="eastAsia"/>
                <w:sz w:val="28"/>
                <w:szCs w:val="28"/>
                <w:highlight w:val="none"/>
              </w:rPr>
              <w:t>指标</w:t>
            </w:r>
          </w:p>
        </w:tc>
        <w:tc>
          <w:tcPr>
            <w:tcW w:w="1544" w:type="pct"/>
            <w:vMerge w:val="restart"/>
            <w:vAlign w:val="center"/>
          </w:tcPr>
          <w:p w14:paraId="32AFEE2F">
            <w:pPr>
              <w:bidi w:val="0"/>
              <w:spacing w:line="240" w:lineRule="auto"/>
              <w:ind w:firstLine="0" w:firstLineChars="0"/>
              <w:jc w:val="center"/>
              <w:rPr>
                <w:sz w:val="28"/>
                <w:szCs w:val="28"/>
                <w:highlight w:val="none"/>
              </w:rPr>
            </w:pPr>
            <w:r>
              <w:rPr>
                <w:sz w:val="28"/>
                <w:szCs w:val="28"/>
                <w:highlight w:val="none"/>
              </w:rPr>
              <w:t>项目立项</w:t>
            </w:r>
          </w:p>
        </w:tc>
        <w:tc>
          <w:tcPr>
            <w:tcW w:w="2637" w:type="pct"/>
            <w:vAlign w:val="center"/>
          </w:tcPr>
          <w:p w14:paraId="1CC8CD3B">
            <w:pPr>
              <w:bidi w:val="0"/>
              <w:spacing w:line="240" w:lineRule="auto"/>
              <w:ind w:firstLine="0" w:firstLineChars="0"/>
              <w:jc w:val="center"/>
              <w:rPr>
                <w:sz w:val="28"/>
                <w:szCs w:val="28"/>
                <w:highlight w:val="none"/>
              </w:rPr>
            </w:pPr>
            <w:r>
              <w:rPr>
                <w:sz w:val="28"/>
                <w:szCs w:val="28"/>
                <w:highlight w:val="none"/>
              </w:rPr>
              <w:t>立项依据充分</w:t>
            </w:r>
            <w:r>
              <w:rPr>
                <w:rFonts w:hint="eastAsia"/>
                <w:sz w:val="28"/>
                <w:szCs w:val="28"/>
                <w:highlight w:val="none"/>
              </w:rPr>
              <w:t>性</w:t>
            </w:r>
          </w:p>
        </w:tc>
      </w:tr>
      <w:tr w14:paraId="2A77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04E70120">
            <w:pPr>
              <w:bidi w:val="0"/>
              <w:spacing w:line="240" w:lineRule="auto"/>
              <w:ind w:firstLine="0" w:firstLineChars="0"/>
              <w:jc w:val="center"/>
              <w:rPr>
                <w:sz w:val="28"/>
                <w:szCs w:val="28"/>
                <w:highlight w:val="none"/>
              </w:rPr>
            </w:pPr>
          </w:p>
        </w:tc>
        <w:tc>
          <w:tcPr>
            <w:tcW w:w="1544" w:type="pct"/>
            <w:vMerge w:val="continue"/>
            <w:vAlign w:val="center"/>
          </w:tcPr>
          <w:p w14:paraId="00A5DC40">
            <w:pPr>
              <w:bidi w:val="0"/>
              <w:spacing w:line="240" w:lineRule="auto"/>
              <w:ind w:firstLine="0" w:firstLineChars="0"/>
              <w:jc w:val="center"/>
              <w:rPr>
                <w:sz w:val="28"/>
                <w:szCs w:val="28"/>
                <w:highlight w:val="none"/>
              </w:rPr>
            </w:pPr>
          </w:p>
        </w:tc>
        <w:tc>
          <w:tcPr>
            <w:tcW w:w="2637" w:type="pct"/>
            <w:vAlign w:val="center"/>
          </w:tcPr>
          <w:p w14:paraId="5F5111E3">
            <w:pPr>
              <w:bidi w:val="0"/>
              <w:spacing w:line="240" w:lineRule="auto"/>
              <w:ind w:firstLine="0" w:firstLineChars="0"/>
              <w:jc w:val="center"/>
              <w:rPr>
                <w:sz w:val="28"/>
                <w:szCs w:val="28"/>
                <w:highlight w:val="none"/>
              </w:rPr>
            </w:pPr>
            <w:r>
              <w:rPr>
                <w:rFonts w:hint="eastAsia"/>
                <w:sz w:val="28"/>
                <w:szCs w:val="28"/>
                <w:highlight w:val="none"/>
              </w:rPr>
              <w:t>立项</w:t>
            </w:r>
            <w:r>
              <w:rPr>
                <w:sz w:val="28"/>
                <w:szCs w:val="28"/>
                <w:highlight w:val="none"/>
              </w:rPr>
              <w:t>程序规范性</w:t>
            </w:r>
          </w:p>
        </w:tc>
      </w:tr>
      <w:tr w14:paraId="7E49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41263952">
            <w:pPr>
              <w:bidi w:val="0"/>
              <w:spacing w:line="240" w:lineRule="auto"/>
              <w:ind w:firstLine="0" w:firstLineChars="0"/>
              <w:jc w:val="center"/>
              <w:rPr>
                <w:sz w:val="28"/>
                <w:szCs w:val="28"/>
                <w:highlight w:val="none"/>
              </w:rPr>
            </w:pPr>
          </w:p>
        </w:tc>
        <w:tc>
          <w:tcPr>
            <w:tcW w:w="1544" w:type="pct"/>
            <w:vMerge w:val="restart"/>
            <w:vAlign w:val="center"/>
          </w:tcPr>
          <w:p w14:paraId="36ADE806">
            <w:pPr>
              <w:bidi w:val="0"/>
              <w:spacing w:line="240" w:lineRule="auto"/>
              <w:ind w:firstLine="0" w:firstLineChars="0"/>
              <w:jc w:val="center"/>
              <w:rPr>
                <w:sz w:val="28"/>
                <w:szCs w:val="28"/>
                <w:highlight w:val="none"/>
              </w:rPr>
            </w:pPr>
            <w:r>
              <w:rPr>
                <w:sz w:val="28"/>
                <w:szCs w:val="28"/>
                <w:highlight w:val="none"/>
              </w:rPr>
              <w:t>绩效目标</w:t>
            </w:r>
          </w:p>
        </w:tc>
        <w:tc>
          <w:tcPr>
            <w:tcW w:w="2637" w:type="pct"/>
            <w:vAlign w:val="center"/>
          </w:tcPr>
          <w:p w14:paraId="09BC814B">
            <w:pPr>
              <w:bidi w:val="0"/>
              <w:spacing w:line="240" w:lineRule="auto"/>
              <w:ind w:firstLine="0" w:firstLineChars="0"/>
              <w:jc w:val="center"/>
              <w:rPr>
                <w:sz w:val="28"/>
                <w:szCs w:val="28"/>
                <w:highlight w:val="none"/>
              </w:rPr>
            </w:pPr>
            <w:r>
              <w:rPr>
                <w:sz w:val="28"/>
                <w:szCs w:val="28"/>
                <w:highlight w:val="none"/>
              </w:rPr>
              <w:t>绩效目标合理性</w:t>
            </w:r>
          </w:p>
        </w:tc>
      </w:tr>
      <w:tr w14:paraId="581A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64011A04">
            <w:pPr>
              <w:bidi w:val="0"/>
              <w:spacing w:line="240" w:lineRule="auto"/>
              <w:ind w:firstLine="0" w:firstLineChars="0"/>
              <w:jc w:val="center"/>
              <w:rPr>
                <w:sz w:val="28"/>
                <w:szCs w:val="28"/>
                <w:highlight w:val="none"/>
              </w:rPr>
            </w:pPr>
          </w:p>
        </w:tc>
        <w:tc>
          <w:tcPr>
            <w:tcW w:w="1544" w:type="pct"/>
            <w:vMerge w:val="continue"/>
            <w:vAlign w:val="center"/>
          </w:tcPr>
          <w:p w14:paraId="64D0DF7D">
            <w:pPr>
              <w:bidi w:val="0"/>
              <w:spacing w:line="240" w:lineRule="auto"/>
              <w:ind w:firstLine="0" w:firstLineChars="0"/>
              <w:jc w:val="center"/>
              <w:rPr>
                <w:sz w:val="28"/>
                <w:szCs w:val="28"/>
                <w:highlight w:val="none"/>
              </w:rPr>
            </w:pPr>
          </w:p>
        </w:tc>
        <w:tc>
          <w:tcPr>
            <w:tcW w:w="2637" w:type="pct"/>
            <w:vAlign w:val="center"/>
          </w:tcPr>
          <w:p w14:paraId="00AF1D7B">
            <w:pPr>
              <w:bidi w:val="0"/>
              <w:spacing w:line="240" w:lineRule="auto"/>
              <w:ind w:firstLine="0" w:firstLineChars="0"/>
              <w:jc w:val="center"/>
              <w:rPr>
                <w:sz w:val="28"/>
                <w:szCs w:val="28"/>
                <w:highlight w:val="none"/>
              </w:rPr>
            </w:pPr>
            <w:r>
              <w:rPr>
                <w:rFonts w:hint="eastAsia"/>
                <w:sz w:val="28"/>
                <w:szCs w:val="28"/>
                <w:highlight w:val="none"/>
              </w:rPr>
              <w:t>绩效指标明确性</w:t>
            </w:r>
          </w:p>
        </w:tc>
      </w:tr>
      <w:tr w14:paraId="35D6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50731CD8">
            <w:pPr>
              <w:bidi w:val="0"/>
              <w:spacing w:line="240" w:lineRule="auto"/>
              <w:ind w:firstLine="0" w:firstLineChars="0"/>
              <w:jc w:val="center"/>
              <w:rPr>
                <w:sz w:val="28"/>
                <w:szCs w:val="28"/>
                <w:highlight w:val="none"/>
              </w:rPr>
            </w:pPr>
          </w:p>
        </w:tc>
        <w:tc>
          <w:tcPr>
            <w:tcW w:w="1544" w:type="pct"/>
            <w:vMerge w:val="restart"/>
            <w:vAlign w:val="center"/>
          </w:tcPr>
          <w:p w14:paraId="333AD679">
            <w:pPr>
              <w:bidi w:val="0"/>
              <w:spacing w:line="240" w:lineRule="auto"/>
              <w:ind w:firstLine="0" w:firstLineChars="0"/>
              <w:jc w:val="center"/>
              <w:rPr>
                <w:sz w:val="28"/>
                <w:szCs w:val="28"/>
                <w:highlight w:val="none"/>
              </w:rPr>
            </w:pPr>
            <w:r>
              <w:rPr>
                <w:sz w:val="28"/>
                <w:szCs w:val="28"/>
                <w:highlight w:val="none"/>
              </w:rPr>
              <w:t>资金</w:t>
            </w:r>
            <w:r>
              <w:rPr>
                <w:rFonts w:hint="eastAsia"/>
                <w:sz w:val="28"/>
                <w:szCs w:val="28"/>
                <w:highlight w:val="none"/>
              </w:rPr>
              <w:t>投入</w:t>
            </w:r>
          </w:p>
        </w:tc>
        <w:tc>
          <w:tcPr>
            <w:tcW w:w="2637" w:type="pct"/>
            <w:vAlign w:val="center"/>
          </w:tcPr>
          <w:p w14:paraId="511CFEED">
            <w:pPr>
              <w:bidi w:val="0"/>
              <w:spacing w:line="240" w:lineRule="auto"/>
              <w:ind w:firstLine="0" w:firstLineChars="0"/>
              <w:jc w:val="center"/>
              <w:rPr>
                <w:sz w:val="28"/>
                <w:szCs w:val="28"/>
                <w:highlight w:val="none"/>
              </w:rPr>
            </w:pPr>
            <w:r>
              <w:rPr>
                <w:sz w:val="28"/>
                <w:szCs w:val="28"/>
                <w:highlight w:val="none"/>
              </w:rPr>
              <w:t>预算编制科学性</w:t>
            </w:r>
          </w:p>
        </w:tc>
      </w:tr>
      <w:tr w14:paraId="72FB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4BB7965E">
            <w:pPr>
              <w:bidi w:val="0"/>
              <w:spacing w:line="240" w:lineRule="auto"/>
              <w:ind w:firstLine="0" w:firstLineChars="0"/>
              <w:jc w:val="center"/>
              <w:rPr>
                <w:sz w:val="28"/>
                <w:szCs w:val="28"/>
                <w:highlight w:val="none"/>
              </w:rPr>
            </w:pPr>
          </w:p>
        </w:tc>
        <w:tc>
          <w:tcPr>
            <w:tcW w:w="1544" w:type="pct"/>
            <w:vMerge w:val="continue"/>
            <w:vAlign w:val="center"/>
          </w:tcPr>
          <w:p w14:paraId="2C60DC76">
            <w:pPr>
              <w:bidi w:val="0"/>
              <w:spacing w:line="240" w:lineRule="auto"/>
              <w:ind w:firstLine="0" w:firstLineChars="0"/>
              <w:jc w:val="center"/>
              <w:rPr>
                <w:sz w:val="28"/>
                <w:szCs w:val="28"/>
                <w:highlight w:val="none"/>
              </w:rPr>
            </w:pPr>
          </w:p>
        </w:tc>
        <w:tc>
          <w:tcPr>
            <w:tcW w:w="2637" w:type="pct"/>
            <w:vAlign w:val="center"/>
          </w:tcPr>
          <w:p w14:paraId="3C506306">
            <w:pPr>
              <w:bidi w:val="0"/>
              <w:spacing w:line="240" w:lineRule="auto"/>
              <w:ind w:firstLine="0" w:firstLineChars="0"/>
              <w:jc w:val="center"/>
              <w:rPr>
                <w:sz w:val="28"/>
                <w:szCs w:val="28"/>
                <w:highlight w:val="none"/>
              </w:rPr>
            </w:pPr>
            <w:r>
              <w:rPr>
                <w:rFonts w:hint="eastAsia"/>
                <w:sz w:val="28"/>
                <w:szCs w:val="28"/>
                <w:highlight w:val="none"/>
              </w:rPr>
              <w:t>资金分配合理性</w:t>
            </w:r>
          </w:p>
        </w:tc>
      </w:tr>
      <w:tr w14:paraId="0D9B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restart"/>
            <w:vAlign w:val="center"/>
          </w:tcPr>
          <w:p w14:paraId="569C7A80">
            <w:pPr>
              <w:bidi w:val="0"/>
              <w:spacing w:line="240" w:lineRule="auto"/>
              <w:ind w:firstLine="0" w:firstLineChars="0"/>
              <w:jc w:val="center"/>
              <w:rPr>
                <w:sz w:val="28"/>
                <w:szCs w:val="28"/>
                <w:highlight w:val="none"/>
              </w:rPr>
            </w:pPr>
            <w:r>
              <w:rPr>
                <w:sz w:val="28"/>
                <w:szCs w:val="28"/>
                <w:highlight w:val="none"/>
              </w:rPr>
              <w:t>过程</w:t>
            </w:r>
            <w:r>
              <w:rPr>
                <w:rFonts w:hint="eastAsia"/>
                <w:sz w:val="28"/>
                <w:szCs w:val="28"/>
                <w:highlight w:val="none"/>
              </w:rPr>
              <w:t>指标</w:t>
            </w:r>
          </w:p>
        </w:tc>
        <w:tc>
          <w:tcPr>
            <w:tcW w:w="1544" w:type="pct"/>
            <w:vMerge w:val="restart"/>
            <w:vAlign w:val="center"/>
          </w:tcPr>
          <w:p w14:paraId="4E785732">
            <w:pPr>
              <w:bidi w:val="0"/>
              <w:spacing w:line="240" w:lineRule="auto"/>
              <w:ind w:firstLine="0" w:firstLineChars="0"/>
              <w:jc w:val="center"/>
              <w:rPr>
                <w:sz w:val="28"/>
                <w:szCs w:val="28"/>
                <w:highlight w:val="none"/>
              </w:rPr>
            </w:pPr>
            <w:r>
              <w:rPr>
                <w:rFonts w:hint="eastAsia"/>
                <w:sz w:val="28"/>
                <w:szCs w:val="28"/>
                <w:highlight w:val="none"/>
              </w:rPr>
              <w:t>资金管理</w:t>
            </w:r>
          </w:p>
        </w:tc>
        <w:tc>
          <w:tcPr>
            <w:tcW w:w="2637" w:type="pct"/>
            <w:vAlign w:val="center"/>
          </w:tcPr>
          <w:p w14:paraId="39698C31">
            <w:pPr>
              <w:bidi w:val="0"/>
              <w:spacing w:line="240" w:lineRule="auto"/>
              <w:ind w:firstLine="0" w:firstLineChars="0"/>
              <w:jc w:val="center"/>
              <w:rPr>
                <w:sz w:val="28"/>
                <w:szCs w:val="28"/>
                <w:highlight w:val="none"/>
              </w:rPr>
            </w:pPr>
            <w:r>
              <w:rPr>
                <w:rFonts w:hint="eastAsia"/>
                <w:sz w:val="28"/>
                <w:szCs w:val="28"/>
                <w:highlight w:val="none"/>
              </w:rPr>
              <w:t>资金到位率</w:t>
            </w:r>
          </w:p>
        </w:tc>
      </w:tr>
      <w:tr w14:paraId="4824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00DFE0B7">
            <w:pPr>
              <w:bidi w:val="0"/>
              <w:spacing w:line="240" w:lineRule="auto"/>
              <w:ind w:firstLine="0" w:firstLineChars="0"/>
              <w:jc w:val="center"/>
              <w:rPr>
                <w:sz w:val="28"/>
                <w:szCs w:val="28"/>
                <w:highlight w:val="none"/>
              </w:rPr>
            </w:pPr>
          </w:p>
        </w:tc>
        <w:tc>
          <w:tcPr>
            <w:tcW w:w="1544" w:type="pct"/>
            <w:vMerge w:val="continue"/>
            <w:vAlign w:val="center"/>
          </w:tcPr>
          <w:p w14:paraId="3B35AC82">
            <w:pPr>
              <w:bidi w:val="0"/>
              <w:spacing w:line="240" w:lineRule="auto"/>
              <w:ind w:firstLine="0" w:firstLineChars="0"/>
              <w:jc w:val="center"/>
              <w:rPr>
                <w:sz w:val="28"/>
                <w:szCs w:val="28"/>
                <w:highlight w:val="none"/>
              </w:rPr>
            </w:pPr>
          </w:p>
        </w:tc>
        <w:tc>
          <w:tcPr>
            <w:tcW w:w="2637" w:type="pct"/>
            <w:vAlign w:val="center"/>
          </w:tcPr>
          <w:p w14:paraId="5DBEE953">
            <w:pPr>
              <w:bidi w:val="0"/>
              <w:spacing w:line="240" w:lineRule="auto"/>
              <w:ind w:firstLine="0" w:firstLineChars="0"/>
              <w:jc w:val="center"/>
              <w:rPr>
                <w:sz w:val="28"/>
                <w:szCs w:val="28"/>
                <w:highlight w:val="none"/>
              </w:rPr>
            </w:pPr>
            <w:r>
              <w:rPr>
                <w:rFonts w:hint="eastAsia"/>
                <w:sz w:val="28"/>
                <w:szCs w:val="28"/>
                <w:highlight w:val="none"/>
              </w:rPr>
              <w:t>预算执行率</w:t>
            </w:r>
          </w:p>
        </w:tc>
      </w:tr>
      <w:tr w14:paraId="0B0D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0B9FA264">
            <w:pPr>
              <w:bidi w:val="0"/>
              <w:spacing w:line="240" w:lineRule="auto"/>
              <w:ind w:firstLine="0" w:firstLineChars="0"/>
              <w:jc w:val="center"/>
              <w:rPr>
                <w:sz w:val="28"/>
                <w:szCs w:val="28"/>
                <w:highlight w:val="none"/>
              </w:rPr>
            </w:pPr>
          </w:p>
        </w:tc>
        <w:tc>
          <w:tcPr>
            <w:tcW w:w="1544" w:type="pct"/>
            <w:vMerge w:val="continue"/>
            <w:vAlign w:val="center"/>
          </w:tcPr>
          <w:p w14:paraId="5802B970">
            <w:pPr>
              <w:bidi w:val="0"/>
              <w:spacing w:line="240" w:lineRule="auto"/>
              <w:ind w:firstLine="0" w:firstLineChars="0"/>
              <w:jc w:val="center"/>
              <w:rPr>
                <w:sz w:val="28"/>
                <w:szCs w:val="28"/>
                <w:highlight w:val="none"/>
              </w:rPr>
            </w:pPr>
          </w:p>
        </w:tc>
        <w:tc>
          <w:tcPr>
            <w:tcW w:w="2637" w:type="pct"/>
            <w:vAlign w:val="center"/>
          </w:tcPr>
          <w:p w14:paraId="06A2D435">
            <w:pPr>
              <w:bidi w:val="0"/>
              <w:spacing w:line="240" w:lineRule="auto"/>
              <w:ind w:firstLine="0" w:firstLineChars="0"/>
              <w:jc w:val="center"/>
              <w:rPr>
                <w:rFonts w:hint="eastAsia"/>
                <w:sz w:val="28"/>
                <w:szCs w:val="28"/>
                <w:highlight w:val="none"/>
              </w:rPr>
            </w:pPr>
            <w:r>
              <w:rPr>
                <w:rFonts w:hint="eastAsia"/>
                <w:sz w:val="28"/>
                <w:szCs w:val="28"/>
                <w:highlight w:val="none"/>
              </w:rPr>
              <w:t>资金使用合规性</w:t>
            </w:r>
          </w:p>
        </w:tc>
      </w:tr>
      <w:tr w14:paraId="268D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337FE68B">
            <w:pPr>
              <w:bidi w:val="0"/>
              <w:spacing w:line="240" w:lineRule="auto"/>
              <w:ind w:firstLine="0" w:firstLineChars="0"/>
              <w:jc w:val="center"/>
              <w:rPr>
                <w:sz w:val="28"/>
                <w:szCs w:val="28"/>
                <w:highlight w:val="none"/>
              </w:rPr>
            </w:pPr>
          </w:p>
        </w:tc>
        <w:tc>
          <w:tcPr>
            <w:tcW w:w="1544" w:type="pct"/>
            <w:vMerge w:val="restart"/>
            <w:vAlign w:val="center"/>
          </w:tcPr>
          <w:p w14:paraId="57A19984">
            <w:pPr>
              <w:bidi w:val="0"/>
              <w:spacing w:line="240" w:lineRule="auto"/>
              <w:ind w:firstLine="0" w:firstLineChars="0"/>
              <w:jc w:val="center"/>
              <w:rPr>
                <w:sz w:val="28"/>
                <w:szCs w:val="28"/>
                <w:highlight w:val="none"/>
              </w:rPr>
            </w:pPr>
            <w:r>
              <w:rPr>
                <w:sz w:val="28"/>
                <w:szCs w:val="28"/>
                <w:highlight w:val="none"/>
              </w:rPr>
              <w:t>组织实施</w:t>
            </w:r>
          </w:p>
        </w:tc>
        <w:tc>
          <w:tcPr>
            <w:tcW w:w="2637" w:type="pct"/>
            <w:vAlign w:val="center"/>
          </w:tcPr>
          <w:p w14:paraId="07EC0D21">
            <w:pPr>
              <w:bidi w:val="0"/>
              <w:spacing w:line="240" w:lineRule="auto"/>
              <w:ind w:firstLine="0" w:firstLineChars="0"/>
              <w:jc w:val="center"/>
              <w:rPr>
                <w:sz w:val="28"/>
                <w:szCs w:val="28"/>
                <w:highlight w:val="none"/>
              </w:rPr>
            </w:pPr>
            <w:r>
              <w:rPr>
                <w:rFonts w:hint="eastAsia"/>
                <w:sz w:val="28"/>
                <w:szCs w:val="28"/>
                <w:highlight w:val="none"/>
              </w:rPr>
              <w:t>管理制度健全性</w:t>
            </w:r>
          </w:p>
        </w:tc>
      </w:tr>
      <w:tr w14:paraId="5894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39F0655E">
            <w:pPr>
              <w:bidi w:val="0"/>
              <w:spacing w:line="240" w:lineRule="auto"/>
              <w:ind w:firstLine="0" w:firstLineChars="0"/>
              <w:jc w:val="center"/>
              <w:rPr>
                <w:sz w:val="28"/>
                <w:szCs w:val="28"/>
                <w:highlight w:val="none"/>
              </w:rPr>
            </w:pPr>
          </w:p>
        </w:tc>
        <w:tc>
          <w:tcPr>
            <w:tcW w:w="1544" w:type="pct"/>
            <w:vMerge w:val="continue"/>
            <w:vAlign w:val="center"/>
          </w:tcPr>
          <w:p w14:paraId="3136D857">
            <w:pPr>
              <w:bidi w:val="0"/>
              <w:spacing w:line="240" w:lineRule="auto"/>
              <w:ind w:firstLine="0" w:firstLineChars="0"/>
              <w:jc w:val="center"/>
              <w:rPr>
                <w:sz w:val="28"/>
                <w:szCs w:val="28"/>
                <w:highlight w:val="none"/>
              </w:rPr>
            </w:pPr>
          </w:p>
        </w:tc>
        <w:tc>
          <w:tcPr>
            <w:tcW w:w="2637" w:type="pct"/>
            <w:vAlign w:val="center"/>
          </w:tcPr>
          <w:p w14:paraId="48842402">
            <w:pPr>
              <w:bidi w:val="0"/>
              <w:spacing w:line="240" w:lineRule="auto"/>
              <w:ind w:firstLine="0" w:firstLineChars="0"/>
              <w:jc w:val="center"/>
              <w:rPr>
                <w:sz w:val="28"/>
                <w:szCs w:val="28"/>
                <w:highlight w:val="none"/>
              </w:rPr>
            </w:pPr>
            <w:r>
              <w:rPr>
                <w:rFonts w:hint="eastAsia"/>
                <w:sz w:val="28"/>
                <w:szCs w:val="28"/>
                <w:highlight w:val="none"/>
              </w:rPr>
              <w:t>制度执行有效性</w:t>
            </w:r>
          </w:p>
        </w:tc>
      </w:tr>
      <w:tr w14:paraId="4E9B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3CB8288C">
            <w:pPr>
              <w:bidi w:val="0"/>
              <w:spacing w:line="240" w:lineRule="auto"/>
              <w:ind w:firstLine="0" w:firstLineChars="0"/>
              <w:jc w:val="center"/>
              <w:rPr>
                <w:sz w:val="28"/>
                <w:szCs w:val="28"/>
                <w:highlight w:val="none"/>
              </w:rPr>
            </w:pPr>
          </w:p>
        </w:tc>
        <w:tc>
          <w:tcPr>
            <w:tcW w:w="1544" w:type="pct"/>
            <w:vMerge w:val="continue"/>
            <w:vAlign w:val="center"/>
          </w:tcPr>
          <w:p w14:paraId="2B0E1CE9">
            <w:pPr>
              <w:bidi w:val="0"/>
              <w:spacing w:line="240" w:lineRule="auto"/>
              <w:ind w:firstLine="0" w:firstLineChars="0"/>
              <w:jc w:val="center"/>
              <w:rPr>
                <w:sz w:val="28"/>
                <w:szCs w:val="28"/>
                <w:highlight w:val="none"/>
              </w:rPr>
            </w:pPr>
          </w:p>
        </w:tc>
        <w:tc>
          <w:tcPr>
            <w:tcW w:w="2637" w:type="pct"/>
            <w:vAlign w:val="center"/>
          </w:tcPr>
          <w:p w14:paraId="661EE59D">
            <w:pPr>
              <w:bidi w:val="0"/>
              <w:spacing w:line="240" w:lineRule="auto"/>
              <w:ind w:firstLine="0" w:firstLineChars="0"/>
              <w:jc w:val="center"/>
              <w:rPr>
                <w:rFonts w:hint="eastAsia"/>
                <w:sz w:val="28"/>
                <w:szCs w:val="28"/>
                <w:highlight w:val="none"/>
              </w:rPr>
            </w:pPr>
            <w:r>
              <w:rPr>
                <w:rFonts w:hint="eastAsia"/>
                <w:sz w:val="28"/>
                <w:szCs w:val="28"/>
                <w:highlight w:val="none"/>
              </w:rPr>
              <w:t>政府采购规范性</w:t>
            </w:r>
          </w:p>
        </w:tc>
      </w:tr>
      <w:tr w14:paraId="1E54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293AC0D8">
            <w:pPr>
              <w:bidi w:val="0"/>
              <w:spacing w:line="240" w:lineRule="auto"/>
              <w:ind w:firstLine="0" w:firstLineChars="0"/>
              <w:jc w:val="center"/>
              <w:rPr>
                <w:sz w:val="28"/>
                <w:szCs w:val="28"/>
                <w:highlight w:val="none"/>
              </w:rPr>
            </w:pPr>
          </w:p>
        </w:tc>
        <w:tc>
          <w:tcPr>
            <w:tcW w:w="1544" w:type="pct"/>
            <w:vMerge w:val="continue"/>
            <w:vAlign w:val="center"/>
          </w:tcPr>
          <w:p w14:paraId="705B5B02">
            <w:pPr>
              <w:bidi w:val="0"/>
              <w:spacing w:line="240" w:lineRule="auto"/>
              <w:ind w:firstLine="0" w:firstLineChars="0"/>
              <w:jc w:val="center"/>
              <w:rPr>
                <w:sz w:val="28"/>
                <w:szCs w:val="28"/>
                <w:highlight w:val="none"/>
              </w:rPr>
            </w:pPr>
          </w:p>
        </w:tc>
        <w:tc>
          <w:tcPr>
            <w:tcW w:w="2637" w:type="pct"/>
            <w:vAlign w:val="center"/>
          </w:tcPr>
          <w:p w14:paraId="13C347D3">
            <w:pPr>
              <w:bidi w:val="0"/>
              <w:spacing w:line="240" w:lineRule="auto"/>
              <w:ind w:firstLine="0" w:firstLineChars="0"/>
              <w:jc w:val="center"/>
              <w:rPr>
                <w:rFonts w:hint="eastAsia"/>
                <w:sz w:val="28"/>
                <w:szCs w:val="28"/>
                <w:highlight w:val="none"/>
              </w:rPr>
            </w:pPr>
            <w:r>
              <w:rPr>
                <w:rFonts w:hint="eastAsia"/>
                <w:sz w:val="28"/>
                <w:szCs w:val="28"/>
                <w:highlight w:val="none"/>
              </w:rPr>
              <w:t>项目质量可控性</w:t>
            </w:r>
          </w:p>
        </w:tc>
      </w:tr>
      <w:tr w14:paraId="76CA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restart"/>
            <w:vAlign w:val="center"/>
          </w:tcPr>
          <w:p w14:paraId="490E9AAA">
            <w:pPr>
              <w:bidi w:val="0"/>
              <w:spacing w:line="240" w:lineRule="auto"/>
              <w:ind w:firstLine="0" w:firstLineChars="0"/>
              <w:jc w:val="center"/>
              <w:rPr>
                <w:sz w:val="28"/>
                <w:szCs w:val="28"/>
                <w:highlight w:val="none"/>
              </w:rPr>
            </w:pPr>
            <w:r>
              <w:rPr>
                <w:sz w:val="28"/>
                <w:szCs w:val="28"/>
                <w:highlight w:val="none"/>
              </w:rPr>
              <w:t>产出</w:t>
            </w:r>
            <w:r>
              <w:rPr>
                <w:rFonts w:hint="eastAsia"/>
                <w:sz w:val="28"/>
                <w:szCs w:val="28"/>
                <w:highlight w:val="none"/>
              </w:rPr>
              <w:t>指标</w:t>
            </w:r>
          </w:p>
        </w:tc>
        <w:tc>
          <w:tcPr>
            <w:tcW w:w="1544" w:type="pct"/>
            <w:vMerge w:val="restart"/>
            <w:vAlign w:val="center"/>
          </w:tcPr>
          <w:p w14:paraId="2F399A52">
            <w:pPr>
              <w:bidi w:val="0"/>
              <w:spacing w:line="240" w:lineRule="auto"/>
              <w:ind w:firstLine="0" w:firstLineChars="0"/>
              <w:jc w:val="center"/>
              <w:rPr>
                <w:rFonts w:hint="eastAsia"/>
                <w:sz w:val="28"/>
                <w:szCs w:val="28"/>
                <w:highlight w:val="none"/>
              </w:rPr>
            </w:pPr>
            <w:r>
              <w:rPr>
                <w:rFonts w:hint="eastAsia"/>
                <w:sz w:val="28"/>
                <w:szCs w:val="28"/>
                <w:highlight w:val="none"/>
              </w:rPr>
              <w:t>产出数量</w:t>
            </w:r>
          </w:p>
        </w:tc>
        <w:tc>
          <w:tcPr>
            <w:tcW w:w="2637" w:type="pct"/>
            <w:vAlign w:val="center"/>
          </w:tcPr>
          <w:p w14:paraId="42B4880A">
            <w:pPr>
              <w:bidi w:val="0"/>
              <w:spacing w:line="240" w:lineRule="auto"/>
              <w:ind w:firstLine="0" w:firstLineChars="0"/>
              <w:jc w:val="center"/>
              <w:rPr>
                <w:rFonts w:hint="default" w:eastAsia="宋体"/>
                <w:sz w:val="28"/>
                <w:szCs w:val="28"/>
                <w:highlight w:val="none"/>
                <w:lang w:val="en-US" w:eastAsia="zh-CN"/>
              </w:rPr>
            </w:pPr>
            <w:r>
              <w:rPr>
                <w:rFonts w:hint="eastAsia"/>
                <w:sz w:val="28"/>
                <w:szCs w:val="28"/>
                <w:highlight w:val="none"/>
                <w:lang w:val="en-US" w:eastAsia="zh-CN"/>
              </w:rPr>
              <w:t>护岸总长</w:t>
            </w:r>
          </w:p>
        </w:tc>
      </w:tr>
      <w:tr w14:paraId="6ABE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6D6B150B">
            <w:pPr>
              <w:bidi w:val="0"/>
              <w:spacing w:line="240" w:lineRule="auto"/>
              <w:ind w:firstLine="0" w:firstLineChars="0"/>
              <w:jc w:val="center"/>
              <w:rPr>
                <w:sz w:val="28"/>
                <w:szCs w:val="28"/>
                <w:highlight w:val="none"/>
              </w:rPr>
            </w:pPr>
          </w:p>
        </w:tc>
        <w:tc>
          <w:tcPr>
            <w:tcW w:w="1544" w:type="pct"/>
            <w:vMerge w:val="continue"/>
            <w:vAlign w:val="center"/>
          </w:tcPr>
          <w:p w14:paraId="42715D99">
            <w:pPr>
              <w:bidi w:val="0"/>
              <w:spacing w:line="240" w:lineRule="auto"/>
              <w:ind w:firstLine="0" w:firstLineChars="0"/>
              <w:jc w:val="center"/>
              <w:rPr>
                <w:rFonts w:hint="eastAsia"/>
                <w:sz w:val="28"/>
                <w:szCs w:val="28"/>
                <w:highlight w:val="none"/>
              </w:rPr>
            </w:pPr>
          </w:p>
        </w:tc>
        <w:tc>
          <w:tcPr>
            <w:tcW w:w="2637" w:type="pct"/>
            <w:vAlign w:val="center"/>
          </w:tcPr>
          <w:p w14:paraId="02AE03E7">
            <w:pPr>
              <w:bidi w:val="0"/>
              <w:spacing w:line="240" w:lineRule="auto"/>
              <w:ind w:firstLine="0" w:firstLineChars="0"/>
              <w:jc w:val="center"/>
              <w:rPr>
                <w:rFonts w:hint="default"/>
                <w:sz w:val="28"/>
                <w:szCs w:val="28"/>
                <w:highlight w:val="none"/>
                <w:lang w:val="en-US" w:eastAsia="zh-CN"/>
              </w:rPr>
            </w:pPr>
            <w:r>
              <w:rPr>
                <w:rFonts w:hint="eastAsia"/>
                <w:sz w:val="28"/>
                <w:szCs w:val="28"/>
                <w:highlight w:val="none"/>
                <w:lang w:val="en-US" w:eastAsia="zh-CN"/>
              </w:rPr>
              <w:t>河道疏浚</w:t>
            </w:r>
          </w:p>
        </w:tc>
      </w:tr>
      <w:tr w14:paraId="0C3E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6CEFFE31">
            <w:pPr>
              <w:bidi w:val="0"/>
              <w:spacing w:line="240" w:lineRule="auto"/>
              <w:ind w:firstLine="0" w:firstLineChars="0"/>
              <w:jc w:val="center"/>
              <w:rPr>
                <w:sz w:val="28"/>
                <w:szCs w:val="28"/>
                <w:highlight w:val="none"/>
              </w:rPr>
            </w:pPr>
          </w:p>
        </w:tc>
        <w:tc>
          <w:tcPr>
            <w:tcW w:w="1544" w:type="pct"/>
            <w:vAlign w:val="center"/>
          </w:tcPr>
          <w:p w14:paraId="738FE24A">
            <w:pPr>
              <w:bidi w:val="0"/>
              <w:spacing w:line="240" w:lineRule="auto"/>
              <w:ind w:firstLine="0" w:firstLineChars="0"/>
              <w:jc w:val="center"/>
              <w:rPr>
                <w:rFonts w:hint="eastAsia"/>
                <w:sz w:val="28"/>
                <w:szCs w:val="28"/>
                <w:highlight w:val="none"/>
              </w:rPr>
            </w:pPr>
            <w:r>
              <w:rPr>
                <w:rFonts w:hint="eastAsia"/>
                <w:sz w:val="28"/>
                <w:szCs w:val="28"/>
                <w:highlight w:val="none"/>
              </w:rPr>
              <w:t>产出质量</w:t>
            </w:r>
          </w:p>
        </w:tc>
        <w:tc>
          <w:tcPr>
            <w:tcW w:w="2637" w:type="pct"/>
            <w:vAlign w:val="center"/>
          </w:tcPr>
          <w:p w14:paraId="6A4BDB05">
            <w:pPr>
              <w:bidi w:val="0"/>
              <w:spacing w:line="240" w:lineRule="auto"/>
              <w:ind w:firstLine="0" w:firstLineChars="0"/>
              <w:jc w:val="center"/>
              <w:rPr>
                <w:rFonts w:hint="default"/>
                <w:sz w:val="28"/>
                <w:szCs w:val="28"/>
                <w:highlight w:val="none"/>
                <w:lang w:val="en-US" w:eastAsia="zh-CN"/>
              </w:rPr>
            </w:pPr>
            <w:r>
              <w:rPr>
                <w:sz w:val="28"/>
                <w:szCs w:val="28"/>
                <w:highlight w:val="none"/>
              </w:rPr>
              <w:t>验收合格率</w:t>
            </w:r>
          </w:p>
        </w:tc>
      </w:tr>
      <w:tr w14:paraId="190F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restart"/>
            <w:vAlign w:val="center"/>
          </w:tcPr>
          <w:p w14:paraId="543AC259">
            <w:pPr>
              <w:bidi w:val="0"/>
              <w:spacing w:line="240" w:lineRule="auto"/>
              <w:ind w:firstLine="0" w:firstLineChars="0"/>
              <w:jc w:val="center"/>
              <w:rPr>
                <w:sz w:val="28"/>
                <w:szCs w:val="28"/>
                <w:highlight w:val="none"/>
              </w:rPr>
            </w:pPr>
            <w:r>
              <w:rPr>
                <w:sz w:val="28"/>
                <w:szCs w:val="28"/>
                <w:highlight w:val="none"/>
              </w:rPr>
              <w:t>产出</w:t>
            </w:r>
            <w:r>
              <w:rPr>
                <w:rFonts w:hint="eastAsia"/>
                <w:sz w:val="28"/>
                <w:szCs w:val="28"/>
                <w:highlight w:val="none"/>
              </w:rPr>
              <w:t>指标</w:t>
            </w:r>
          </w:p>
        </w:tc>
        <w:tc>
          <w:tcPr>
            <w:tcW w:w="1544" w:type="pct"/>
            <w:vAlign w:val="center"/>
          </w:tcPr>
          <w:p w14:paraId="5EA65D66">
            <w:pPr>
              <w:bidi w:val="0"/>
              <w:spacing w:line="240" w:lineRule="auto"/>
              <w:ind w:firstLine="0" w:firstLineChars="0"/>
              <w:jc w:val="center"/>
              <w:rPr>
                <w:sz w:val="28"/>
                <w:szCs w:val="28"/>
                <w:highlight w:val="none"/>
              </w:rPr>
            </w:pPr>
            <w:r>
              <w:rPr>
                <w:rFonts w:hint="eastAsia"/>
                <w:sz w:val="28"/>
                <w:szCs w:val="28"/>
                <w:highlight w:val="none"/>
              </w:rPr>
              <w:t>产出质量</w:t>
            </w:r>
          </w:p>
        </w:tc>
        <w:tc>
          <w:tcPr>
            <w:tcW w:w="2637" w:type="pct"/>
            <w:vAlign w:val="center"/>
          </w:tcPr>
          <w:p w14:paraId="1A430AFC">
            <w:pPr>
              <w:bidi w:val="0"/>
              <w:spacing w:line="240" w:lineRule="auto"/>
              <w:ind w:firstLine="0" w:firstLineChars="0"/>
              <w:jc w:val="center"/>
              <w:rPr>
                <w:sz w:val="28"/>
                <w:szCs w:val="28"/>
                <w:highlight w:val="none"/>
              </w:rPr>
            </w:pPr>
            <w:r>
              <w:rPr>
                <w:rFonts w:hint="eastAsia"/>
                <w:sz w:val="28"/>
                <w:szCs w:val="28"/>
                <w:highlight w:val="none"/>
              </w:rPr>
              <w:t>项目投入使用情况</w:t>
            </w:r>
          </w:p>
        </w:tc>
      </w:tr>
      <w:tr w14:paraId="01BD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2B46DDCE">
            <w:pPr>
              <w:bidi w:val="0"/>
              <w:spacing w:line="240" w:lineRule="auto"/>
              <w:ind w:firstLine="0" w:firstLineChars="0"/>
              <w:jc w:val="center"/>
              <w:rPr>
                <w:sz w:val="28"/>
                <w:szCs w:val="28"/>
                <w:highlight w:val="none"/>
              </w:rPr>
            </w:pPr>
          </w:p>
        </w:tc>
        <w:tc>
          <w:tcPr>
            <w:tcW w:w="1544" w:type="pct"/>
            <w:vMerge w:val="restart"/>
            <w:vAlign w:val="center"/>
          </w:tcPr>
          <w:p w14:paraId="1B3F4079">
            <w:pPr>
              <w:bidi w:val="0"/>
              <w:spacing w:line="240" w:lineRule="auto"/>
              <w:ind w:firstLine="0" w:firstLineChars="0"/>
              <w:jc w:val="center"/>
              <w:rPr>
                <w:rFonts w:hint="eastAsia" w:eastAsia="宋体"/>
                <w:sz w:val="28"/>
                <w:szCs w:val="28"/>
                <w:highlight w:val="none"/>
                <w:lang w:val="en-US" w:eastAsia="zh-CN"/>
              </w:rPr>
            </w:pPr>
            <w:r>
              <w:rPr>
                <w:rFonts w:hint="eastAsia"/>
                <w:sz w:val="28"/>
                <w:szCs w:val="28"/>
                <w:highlight w:val="none"/>
              </w:rPr>
              <w:t>产出时效</w:t>
            </w:r>
          </w:p>
        </w:tc>
        <w:tc>
          <w:tcPr>
            <w:tcW w:w="2637" w:type="pct"/>
            <w:vAlign w:val="center"/>
          </w:tcPr>
          <w:p w14:paraId="666C2754">
            <w:pPr>
              <w:bidi w:val="0"/>
              <w:spacing w:line="240" w:lineRule="auto"/>
              <w:ind w:firstLine="0" w:firstLineChars="0"/>
              <w:jc w:val="center"/>
              <w:rPr>
                <w:rFonts w:hint="eastAsia" w:eastAsia="宋体"/>
                <w:sz w:val="28"/>
                <w:szCs w:val="28"/>
                <w:highlight w:val="none"/>
                <w:lang w:val="en-US" w:eastAsia="zh-CN"/>
              </w:rPr>
            </w:pPr>
            <w:r>
              <w:rPr>
                <w:rFonts w:hint="eastAsia"/>
                <w:sz w:val="28"/>
                <w:szCs w:val="28"/>
                <w:highlight w:val="none"/>
              </w:rPr>
              <w:t>竣工决算及时性</w:t>
            </w:r>
          </w:p>
        </w:tc>
      </w:tr>
      <w:tr w14:paraId="7CE0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4861840B">
            <w:pPr>
              <w:bidi w:val="0"/>
              <w:spacing w:line="240" w:lineRule="auto"/>
              <w:ind w:firstLine="0" w:firstLineChars="0"/>
              <w:jc w:val="center"/>
              <w:rPr>
                <w:sz w:val="28"/>
                <w:szCs w:val="28"/>
                <w:highlight w:val="none"/>
              </w:rPr>
            </w:pPr>
          </w:p>
        </w:tc>
        <w:tc>
          <w:tcPr>
            <w:tcW w:w="1544" w:type="pct"/>
            <w:vMerge w:val="continue"/>
            <w:vAlign w:val="center"/>
          </w:tcPr>
          <w:p w14:paraId="2BCBE232">
            <w:pPr>
              <w:bidi w:val="0"/>
              <w:spacing w:line="240" w:lineRule="auto"/>
              <w:ind w:firstLine="0" w:firstLineChars="0"/>
              <w:jc w:val="center"/>
              <w:rPr>
                <w:rFonts w:hint="eastAsia" w:eastAsia="宋体"/>
                <w:sz w:val="28"/>
                <w:szCs w:val="28"/>
                <w:highlight w:val="none"/>
                <w:lang w:val="en-US" w:eastAsia="zh-CN"/>
              </w:rPr>
            </w:pPr>
          </w:p>
        </w:tc>
        <w:tc>
          <w:tcPr>
            <w:tcW w:w="2637" w:type="pct"/>
            <w:vAlign w:val="center"/>
          </w:tcPr>
          <w:p w14:paraId="166BE8BA">
            <w:pPr>
              <w:pStyle w:val="16"/>
              <w:keepNext w:val="0"/>
              <w:keepLines w:val="0"/>
              <w:widowControl w:val="0"/>
              <w:shd w:val="clear" w:color="auto" w:fill="auto"/>
              <w:bidi w:val="0"/>
              <w:spacing w:before="0" w:beforeLines="0" w:after="0" w:line="240" w:lineRule="auto"/>
              <w:ind w:left="0" w:right="0" w:firstLine="0" w:firstLineChars="0"/>
              <w:jc w:val="center"/>
              <w:rPr>
                <w:sz w:val="28"/>
                <w:szCs w:val="28"/>
                <w:highlight w:val="none"/>
              </w:rPr>
            </w:pPr>
            <w:r>
              <w:rPr>
                <w:rFonts w:ascii="宋体" w:hAnsi="宋体" w:cs="宋体" w:eastAsiaTheme="minorEastAsia"/>
                <w:color w:val="000000"/>
                <w:sz w:val="28"/>
                <w:szCs w:val="28"/>
                <w:highlight w:val="none"/>
                <w:u w:val="none"/>
                <w:shd w:val="clear"/>
              </w:rPr>
              <w:t>资金</w:t>
            </w:r>
            <w:r>
              <w:rPr>
                <w:rFonts w:hint="eastAsia" w:cs="宋体" w:eastAsiaTheme="minorEastAsia"/>
                <w:color w:val="000000"/>
                <w:sz w:val="28"/>
                <w:szCs w:val="28"/>
                <w:highlight w:val="none"/>
                <w:u w:val="none"/>
                <w:shd w:val="clear"/>
                <w:lang w:val="en-US" w:eastAsia="zh-CN"/>
              </w:rPr>
              <w:t>结算</w:t>
            </w:r>
            <w:r>
              <w:rPr>
                <w:rFonts w:ascii="宋体" w:hAnsi="宋体" w:cs="宋体" w:eastAsiaTheme="minorEastAsia"/>
                <w:color w:val="000000"/>
                <w:sz w:val="28"/>
                <w:szCs w:val="28"/>
                <w:highlight w:val="none"/>
                <w:u w:val="none"/>
                <w:shd w:val="clear"/>
              </w:rPr>
              <w:t>及时性</w:t>
            </w:r>
          </w:p>
        </w:tc>
      </w:tr>
      <w:tr w14:paraId="56EA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620D6F6D">
            <w:pPr>
              <w:bidi w:val="0"/>
              <w:spacing w:line="240" w:lineRule="auto"/>
              <w:ind w:firstLine="0" w:firstLineChars="0"/>
              <w:jc w:val="center"/>
              <w:rPr>
                <w:sz w:val="28"/>
                <w:szCs w:val="28"/>
                <w:highlight w:val="none"/>
              </w:rPr>
            </w:pPr>
          </w:p>
        </w:tc>
        <w:tc>
          <w:tcPr>
            <w:tcW w:w="1544" w:type="pct"/>
            <w:vMerge w:val="continue"/>
            <w:vAlign w:val="center"/>
          </w:tcPr>
          <w:p w14:paraId="3DB1DD89">
            <w:pPr>
              <w:bidi w:val="0"/>
              <w:spacing w:line="240" w:lineRule="auto"/>
              <w:ind w:firstLine="0" w:firstLineChars="0"/>
              <w:jc w:val="center"/>
              <w:rPr>
                <w:rFonts w:hint="eastAsia" w:eastAsia="宋体"/>
                <w:sz w:val="28"/>
                <w:szCs w:val="28"/>
                <w:highlight w:val="none"/>
                <w:lang w:val="en-US" w:eastAsia="zh-CN"/>
              </w:rPr>
            </w:pPr>
          </w:p>
        </w:tc>
        <w:tc>
          <w:tcPr>
            <w:tcW w:w="2637" w:type="pct"/>
            <w:vAlign w:val="center"/>
          </w:tcPr>
          <w:p w14:paraId="78051F14">
            <w:pPr>
              <w:bidi w:val="0"/>
              <w:spacing w:line="240" w:lineRule="auto"/>
              <w:ind w:firstLine="0" w:firstLineChars="0"/>
              <w:jc w:val="center"/>
              <w:rPr>
                <w:rFonts w:hint="eastAsia" w:eastAsia="宋体"/>
                <w:sz w:val="28"/>
                <w:szCs w:val="28"/>
                <w:highlight w:val="none"/>
                <w:lang w:val="en-US" w:eastAsia="zh-CN"/>
              </w:rPr>
            </w:pPr>
            <w:r>
              <w:rPr>
                <w:rFonts w:hint="eastAsia" w:eastAsia="宋体"/>
                <w:sz w:val="28"/>
                <w:szCs w:val="28"/>
                <w:highlight w:val="none"/>
                <w:lang w:val="en-US" w:eastAsia="zh-CN"/>
              </w:rPr>
              <w:t>工程进度达标率</w:t>
            </w:r>
          </w:p>
        </w:tc>
      </w:tr>
      <w:tr w14:paraId="3956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2AFA74C5">
            <w:pPr>
              <w:bidi w:val="0"/>
              <w:spacing w:line="240" w:lineRule="auto"/>
              <w:ind w:firstLine="0" w:firstLineChars="0"/>
              <w:jc w:val="center"/>
              <w:rPr>
                <w:sz w:val="28"/>
                <w:szCs w:val="28"/>
                <w:highlight w:val="none"/>
              </w:rPr>
            </w:pPr>
          </w:p>
        </w:tc>
        <w:tc>
          <w:tcPr>
            <w:tcW w:w="1544" w:type="pct"/>
            <w:vMerge w:val="continue"/>
            <w:vAlign w:val="center"/>
          </w:tcPr>
          <w:p w14:paraId="771B5A5D">
            <w:pPr>
              <w:bidi w:val="0"/>
              <w:spacing w:line="240" w:lineRule="auto"/>
              <w:ind w:firstLine="0" w:firstLineChars="0"/>
              <w:jc w:val="center"/>
              <w:rPr>
                <w:rFonts w:hint="eastAsia" w:eastAsia="宋体"/>
                <w:sz w:val="28"/>
                <w:szCs w:val="28"/>
                <w:highlight w:val="none"/>
                <w:lang w:val="en-US" w:eastAsia="zh-CN"/>
              </w:rPr>
            </w:pPr>
          </w:p>
        </w:tc>
        <w:tc>
          <w:tcPr>
            <w:tcW w:w="2637" w:type="pct"/>
            <w:vAlign w:val="center"/>
          </w:tcPr>
          <w:p w14:paraId="5EB5729C">
            <w:pPr>
              <w:bidi w:val="0"/>
              <w:spacing w:line="240" w:lineRule="auto"/>
              <w:ind w:firstLine="0" w:firstLineChars="0"/>
              <w:jc w:val="center"/>
              <w:rPr>
                <w:rFonts w:hint="eastAsia" w:eastAsia="宋体"/>
                <w:sz w:val="28"/>
                <w:szCs w:val="28"/>
                <w:highlight w:val="none"/>
                <w:lang w:val="en-US" w:eastAsia="zh-CN"/>
              </w:rPr>
            </w:pPr>
            <w:r>
              <w:rPr>
                <w:rFonts w:hint="eastAsia" w:eastAsia="宋体"/>
                <w:sz w:val="28"/>
                <w:szCs w:val="28"/>
                <w:highlight w:val="none"/>
                <w:lang w:val="en-US" w:eastAsia="zh-CN"/>
              </w:rPr>
              <w:t>价款支付及时性</w:t>
            </w:r>
          </w:p>
        </w:tc>
      </w:tr>
      <w:tr w14:paraId="2CB5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1C2432EC">
            <w:pPr>
              <w:bidi w:val="0"/>
              <w:spacing w:line="240" w:lineRule="auto"/>
              <w:ind w:firstLine="0" w:firstLineChars="0"/>
              <w:jc w:val="center"/>
              <w:rPr>
                <w:sz w:val="28"/>
                <w:szCs w:val="28"/>
                <w:highlight w:val="none"/>
              </w:rPr>
            </w:pPr>
          </w:p>
        </w:tc>
        <w:tc>
          <w:tcPr>
            <w:tcW w:w="1544" w:type="pct"/>
            <w:vAlign w:val="center"/>
          </w:tcPr>
          <w:p w14:paraId="3626B104">
            <w:pPr>
              <w:bidi w:val="0"/>
              <w:spacing w:line="240" w:lineRule="auto"/>
              <w:ind w:firstLine="0" w:firstLineChars="0"/>
              <w:jc w:val="center"/>
              <w:rPr>
                <w:rFonts w:hint="eastAsia" w:eastAsia="宋体"/>
                <w:sz w:val="28"/>
                <w:szCs w:val="28"/>
                <w:highlight w:val="none"/>
                <w:lang w:val="en-US" w:eastAsia="zh-CN"/>
              </w:rPr>
            </w:pPr>
            <w:r>
              <w:rPr>
                <w:rFonts w:hint="eastAsia" w:eastAsia="宋体"/>
                <w:sz w:val="28"/>
                <w:szCs w:val="28"/>
                <w:highlight w:val="none"/>
                <w:lang w:val="en-US" w:eastAsia="zh-CN"/>
              </w:rPr>
              <w:t>产出成本</w:t>
            </w:r>
          </w:p>
        </w:tc>
        <w:tc>
          <w:tcPr>
            <w:tcW w:w="2637" w:type="pct"/>
            <w:vAlign w:val="center"/>
          </w:tcPr>
          <w:p w14:paraId="63BAD48B">
            <w:pPr>
              <w:bidi w:val="0"/>
              <w:spacing w:line="240" w:lineRule="auto"/>
              <w:ind w:firstLine="0" w:firstLineChars="0"/>
              <w:jc w:val="center"/>
              <w:rPr>
                <w:rFonts w:hint="eastAsia" w:eastAsia="宋体"/>
                <w:sz w:val="28"/>
                <w:szCs w:val="28"/>
                <w:highlight w:val="none"/>
                <w:lang w:val="en-US" w:eastAsia="zh-CN"/>
              </w:rPr>
            </w:pPr>
            <w:r>
              <w:rPr>
                <w:rFonts w:hint="eastAsia" w:eastAsia="宋体"/>
                <w:sz w:val="28"/>
                <w:szCs w:val="28"/>
                <w:highlight w:val="none"/>
                <w:lang w:val="en-US" w:eastAsia="zh-CN"/>
              </w:rPr>
              <w:t>成本控制率</w:t>
            </w:r>
          </w:p>
        </w:tc>
      </w:tr>
      <w:tr w14:paraId="6132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restart"/>
            <w:vAlign w:val="center"/>
          </w:tcPr>
          <w:p w14:paraId="004210CF">
            <w:pPr>
              <w:bidi w:val="0"/>
              <w:spacing w:line="240" w:lineRule="auto"/>
              <w:ind w:firstLine="0" w:firstLineChars="0"/>
              <w:jc w:val="center"/>
              <w:rPr>
                <w:sz w:val="28"/>
                <w:szCs w:val="28"/>
                <w:highlight w:val="none"/>
              </w:rPr>
            </w:pPr>
            <w:r>
              <w:rPr>
                <w:sz w:val="28"/>
                <w:szCs w:val="28"/>
                <w:highlight w:val="none"/>
              </w:rPr>
              <w:t>效益</w:t>
            </w:r>
            <w:r>
              <w:rPr>
                <w:rFonts w:hint="eastAsia"/>
                <w:sz w:val="28"/>
                <w:szCs w:val="28"/>
                <w:highlight w:val="none"/>
              </w:rPr>
              <w:t>指标</w:t>
            </w:r>
          </w:p>
        </w:tc>
        <w:tc>
          <w:tcPr>
            <w:tcW w:w="1544" w:type="pct"/>
            <w:vMerge w:val="restart"/>
            <w:vAlign w:val="center"/>
          </w:tcPr>
          <w:p w14:paraId="4175BD30">
            <w:pPr>
              <w:bidi w:val="0"/>
              <w:spacing w:line="240" w:lineRule="auto"/>
              <w:ind w:firstLine="0" w:firstLineChars="0"/>
              <w:jc w:val="center"/>
              <w:rPr>
                <w:sz w:val="28"/>
                <w:szCs w:val="28"/>
                <w:highlight w:val="none"/>
              </w:rPr>
            </w:pPr>
            <w:r>
              <w:rPr>
                <w:sz w:val="28"/>
                <w:szCs w:val="28"/>
                <w:highlight w:val="none"/>
              </w:rPr>
              <w:t>社会效益</w:t>
            </w:r>
          </w:p>
        </w:tc>
        <w:tc>
          <w:tcPr>
            <w:tcW w:w="2637" w:type="pct"/>
            <w:vAlign w:val="center"/>
          </w:tcPr>
          <w:p w14:paraId="6B1E95A9">
            <w:pPr>
              <w:bidi w:val="0"/>
              <w:spacing w:line="240" w:lineRule="auto"/>
              <w:ind w:firstLine="0" w:firstLineChars="0"/>
              <w:jc w:val="center"/>
              <w:rPr>
                <w:rFonts w:hint="default" w:eastAsia="宋体"/>
                <w:sz w:val="28"/>
                <w:szCs w:val="28"/>
                <w:highlight w:val="none"/>
                <w:lang w:val="en-US" w:eastAsia="zh-CN"/>
              </w:rPr>
            </w:pPr>
            <w:r>
              <w:rPr>
                <w:rFonts w:hint="eastAsia"/>
                <w:sz w:val="28"/>
                <w:szCs w:val="28"/>
                <w:highlight w:val="none"/>
                <w:lang w:val="en-US" w:eastAsia="zh-CN"/>
              </w:rPr>
              <w:t>增加劳动就业机会</w:t>
            </w:r>
          </w:p>
        </w:tc>
      </w:tr>
      <w:tr w14:paraId="33C3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0343518D">
            <w:pPr>
              <w:bidi w:val="0"/>
              <w:spacing w:line="240" w:lineRule="auto"/>
              <w:ind w:firstLine="0" w:firstLineChars="0"/>
              <w:jc w:val="center"/>
              <w:rPr>
                <w:sz w:val="28"/>
                <w:szCs w:val="28"/>
                <w:highlight w:val="none"/>
              </w:rPr>
            </w:pPr>
          </w:p>
        </w:tc>
        <w:tc>
          <w:tcPr>
            <w:tcW w:w="1544" w:type="pct"/>
            <w:vMerge w:val="continue"/>
            <w:vAlign w:val="center"/>
          </w:tcPr>
          <w:p w14:paraId="4D7882AB">
            <w:pPr>
              <w:bidi w:val="0"/>
              <w:spacing w:line="240" w:lineRule="auto"/>
              <w:ind w:firstLine="0" w:firstLineChars="0"/>
              <w:jc w:val="center"/>
              <w:rPr>
                <w:sz w:val="28"/>
                <w:szCs w:val="28"/>
                <w:highlight w:val="none"/>
              </w:rPr>
            </w:pPr>
          </w:p>
        </w:tc>
        <w:tc>
          <w:tcPr>
            <w:tcW w:w="2637" w:type="pct"/>
            <w:vAlign w:val="center"/>
          </w:tcPr>
          <w:p w14:paraId="67753901">
            <w:pPr>
              <w:bidi w:val="0"/>
              <w:spacing w:line="240" w:lineRule="auto"/>
              <w:ind w:firstLine="0" w:firstLineChars="0"/>
              <w:jc w:val="center"/>
              <w:rPr>
                <w:rFonts w:hint="default" w:eastAsia="宋体"/>
                <w:sz w:val="28"/>
                <w:szCs w:val="28"/>
                <w:highlight w:val="none"/>
                <w:lang w:val="en-US" w:eastAsia="zh-CN"/>
              </w:rPr>
            </w:pPr>
            <w:r>
              <w:rPr>
                <w:rFonts w:hint="eastAsia"/>
                <w:sz w:val="28"/>
                <w:szCs w:val="28"/>
                <w:highlight w:val="none"/>
                <w:lang w:val="en-US" w:eastAsia="zh-CN"/>
              </w:rPr>
              <w:t>减免洪涝灾害</w:t>
            </w:r>
          </w:p>
        </w:tc>
      </w:tr>
      <w:tr w14:paraId="341C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2B6E320A">
            <w:pPr>
              <w:bidi w:val="0"/>
              <w:spacing w:line="240" w:lineRule="auto"/>
              <w:ind w:firstLine="0" w:firstLineChars="0"/>
              <w:jc w:val="center"/>
              <w:rPr>
                <w:sz w:val="28"/>
                <w:szCs w:val="28"/>
                <w:highlight w:val="none"/>
              </w:rPr>
            </w:pPr>
          </w:p>
        </w:tc>
        <w:tc>
          <w:tcPr>
            <w:tcW w:w="1544" w:type="pct"/>
            <w:vAlign w:val="center"/>
          </w:tcPr>
          <w:p w14:paraId="4B3010C2">
            <w:pPr>
              <w:bidi w:val="0"/>
              <w:spacing w:line="240" w:lineRule="auto"/>
              <w:ind w:firstLine="0" w:firstLineChars="0"/>
              <w:jc w:val="center"/>
              <w:rPr>
                <w:rFonts w:hint="default" w:eastAsia="宋体"/>
                <w:sz w:val="28"/>
                <w:szCs w:val="28"/>
                <w:highlight w:val="none"/>
                <w:lang w:val="en-US" w:eastAsia="zh-CN"/>
              </w:rPr>
            </w:pPr>
            <w:r>
              <w:rPr>
                <w:rFonts w:hint="eastAsia" w:eastAsia="宋体"/>
                <w:sz w:val="28"/>
                <w:szCs w:val="28"/>
                <w:highlight w:val="none"/>
                <w:lang w:val="en-US" w:eastAsia="zh-CN"/>
              </w:rPr>
              <w:t>生态效益</w:t>
            </w:r>
          </w:p>
        </w:tc>
        <w:tc>
          <w:tcPr>
            <w:tcW w:w="2637" w:type="pct"/>
            <w:vAlign w:val="center"/>
          </w:tcPr>
          <w:p w14:paraId="43DA1413">
            <w:pPr>
              <w:bidi w:val="0"/>
              <w:spacing w:line="240" w:lineRule="auto"/>
              <w:ind w:firstLine="0" w:firstLineChars="0"/>
              <w:jc w:val="center"/>
              <w:rPr>
                <w:rFonts w:hint="default" w:eastAsia="宋体"/>
                <w:sz w:val="28"/>
                <w:szCs w:val="28"/>
                <w:highlight w:val="none"/>
                <w:lang w:val="en-US" w:eastAsia="zh-CN"/>
              </w:rPr>
            </w:pPr>
            <w:r>
              <w:rPr>
                <w:rFonts w:hint="eastAsia"/>
                <w:sz w:val="28"/>
                <w:szCs w:val="28"/>
                <w:highlight w:val="none"/>
                <w:lang w:val="en-US" w:eastAsia="zh-CN"/>
              </w:rPr>
              <w:t>对中小河流的提升或影响程度</w:t>
            </w:r>
          </w:p>
        </w:tc>
      </w:tr>
      <w:tr w14:paraId="0179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66E26217">
            <w:pPr>
              <w:bidi w:val="0"/>
              <w:spacing w:line="240" w:lineRule="auto"/>
              <w:ind w:firstLine="0" w:firstLineChars="0"/>
              <w:jc w:val="center"/>
              <w:rPr>
                <w:sz w:val="28"/>
                <w:szCs w:val="28"/>
                <w:highlight w:val="none"/>
              </w:rPr>
            </w:pPr>
          </w:p>
        </w:tc>
        <w:tc>
          <w:tcPr>
            <w:tcW w:w="1544" w:type="pct"/>
            <w:vAlign w:val="center"/>
          </w:tcPr>
          <w:p w14:paraId="7EF0C228">
            <w:pPr>
              <w:bidi w:val="0"/>
              <w:spacing w:line="240" w:lineRule="auto"/>
              <w:ind w:firstLine="0" w:firstLineChars="0"/>
              <w:jc w:val="center"/>
              <w:rPr>
                <w:rFonts w:hint="eastAsia" w:eastAsia="宋体"/>
                <w:sz w:val="28"/>
                <w:szCs w:val="28"/>
                <w:highlight w:val="none"/>
                <w:lang w:val="en-US" w:eastAsia="zh-CN"/>
              </w:rPr>
            </w:pPr>
            <w:r>
              <w:rPr>
                <w:rFonts w:hint="eastAsia" w:eastAsia="宋体"/>
                <w:sz w:val="28"/>
                <w:szCs w:val="28"/>
                <w:highlight w:val="none"/>
                <w:lang w:val="en-US" w:eastAsia="zh-CN"/>
              </w:rPr>
              <w:t>可持续影响</w:t>
            </w:r>
          </w:p>
        </w:tc>
        <w:tc>
          <w:tcPr>
            <w:tcW w:w="2637" w:type="pct"/>
            <w:vAlign w:val="center"/>
          </w:tcPr>
          <w:p w14:paraId="1E2D6074">
            <w:pPr>
              <w:bidi w:val="0"/>
              <w:spacing w:line="240" w:lineRule="auto"/>
              <w:ind w:firstLine="0" w:firstLineChars="0"/>
              <w:jc w:val="center"/>
              <w:rPr>
                <w:rFonts w:hint="default" w:eastAsia="宋体"/>
                <w:sz w:val="28"/>
                <w:szCs w:val="28"/>
                <w:highlight w:val="none"/>
                <w:lang w:val="en-US" w:eastAsia="zh-CN"/>
              </w:rPr>
            </w:pPr>
            <w:r>
              <w:rPr>
                <w:rFonts w:hint="eastAsia"/>
                <w:sz w:val="28"/>
                <w:szCs w:val="28"/>
                <w:highlight w:val="none"/>
                <w:lang w:val="en-US" w:eastAsia="zh-CN"/>
              </w:rPr>
              <w:t>设施设备管护制度健全性</w:t>
            </w:r>
          </w:p>
        </w:tc>
      </w:tr>
      <w:tr w14:paraId="7268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817" w:type="pct"/>
            <w:vMerge w:val="continue"/>
            <w:vAlign w:val="center"/>
          </w:tcPr>
          <w:p w14:paraId="7A464AAF">
            <w:pPr>
              <w:bidi w:val="0"/>
              <w:spacing w:line="240" w:lineRule="auto"/>
              <w:ind w:firstLine="0" w:firstLineChars="0"/>
              <w:jc w:val="center"/>
              <w:rPr>
                <w:sz w:val="28"/>
                <w:szCs w:val="28"/>
                <w:highlight w:val="none"/>
              </w:rPr>
            </w:pPr>
          </w:p>
        </w:tc>
        <w:tc>
          <w:tcPr>
            <w:tcW w:w="1544" w:type="pct"/>
            <w:vAlign w:val="center"/>
          </w:tcPr>
          <w:p w14:paraId="69C927A4">
            <w:pPr>
              <w:bidi w:val="0"/>
              <w:spacing w:line="240" w:lineRule="auto"/>
              <w:ind w:firstLine="0" w:firstLineChars="0"/>
              <w:jc w:val="center"/>
              <w:rPr>
                <w:rFonts w:hint="eastAsia"/>
                <w:b w:val="0"/>
                <w:bCs w:val="0"/>
                <w:sz w:val="28"/>
                <w:szCs w:val="28"/>
                <w:highlight w:val="none"/>
              </w:rPr>
            </w:pPr>
            <w:r>
              <w:rPr>
                <w:rFonts w:hint="eastAsia"/>
                <w:sz w:val="28"/>
                <w:szCs w:val="28"/>
                <w:highlight w:val="none"/>
              </w:rPr>
              <w:t>满意度</w:t>
            </w:r>
          </w:p>
        </w:tc>
        <w:tc>
          <w:tcPr>
            <w:tcW w:w="2637" w:type="pct"/>
            <w:vAlign w:val="center"/>
          </w:tcPr>
          <w:p w14:paraId="630597B0">
            <w:pPr>
              <w:bidi w:val="0"/>
              <w:spacing w:line="240" w:lineRule="auto"/>
              <w:ind w:firstLine="0" w:firstLineChars="0"/>
              <w:jc w:val="center"/>
              <w:rPr>
                <w:rFonts w:hint="eastAsia"/>
                <w:b w:val="0"/>
                <w:bCs w:val="0"/>
                <w:sz w:val="28"/>
                <w:szCs w:val="28"/>
                <w:highlight w:val="none"/>
                <w:lang w:val="en-US" w:eastAsia="zh-CN"/>
              </w:rPr>
            </w:pPr>
            <w:r>
              <w:rPr>
                <w:rFonts w:hint="eastAsia"/>
                <w:sz w:val="28"/>
                <w:szCs w:val="28"/>
                <w:highlight w:val="none"/>
                <w:lang w:val="en-US" w:eastAsia="zh-CN"/>
              </w:rPr>
              <w:t>群众满意度</w:t>
            </w:r>
          </w:p>
        </w:tc>
      </w:tr>
    </w:tbl>
    <w:p w14:paraId="5EAD0972">
      <w:pPr>
        <w:pStyle w:val="4"/>
        <w:bidi w:val="0"/>
        <w:rPr>
          <w:rFonts w:hint="eastAsia"/>
          <w:lang w:val="en-US" w:eastAsia="zh-CN"/>
        </w:rPr>
      </w:pPr>
      <w:bookmarkStart w:id="35" w:name="_Toc21007"/>
      <w:r>
        <w:rPr>
          <w:rFonts w:hint="eastAsia"/>
          <w:lang w:val="en-US" w:eastAsia="zh-CN"/>
        </w:rPr>
        <w:t>3.评价结果的确定</w:t>
      </w:r>
      <w:bookmarkEnd w:id="35"/>
    </w:p>
    <w:p w14:paraId="578ABBB8">
      <w:pPr>
        <w:bidi w:val="0"/>
        <w:rPr>
          <w:rFonts w:hint="eastAsia"/>
          <w:highlight w:val="none"/>
          <w:lang w:val="en-US" w:eastAsia="zh-CN"/>
        </w:rPr>
      </w:pPr>
      <w:r>
        <w:rPr>
          <w:highlight w:val="none"/>
        </w:rPr>
        <w:t>根据《河南省财政厅关于印发</w:t>
      </w:r>
      <w:r>
        <w:rPr>
          <w:rFonts w:hint="eastAsia"/>
          <w:highlight w:val="none"/>
          <w:lang w:val="en-US" w:eastAsia="zh-CN"/>
        </w:rPr>
        <w:t>&lt;</w:t>
      </w:r>
      <w:r>
        <w:rPr>
          <w:highlight w:val="none"/>
        </w:rPr>
        <w:t>河南省省级预算项目支出绩效评价管理办法</w:t>
      </w:r>
      <w:r>
        <w:rPr>
          <w:rFonts w:hint="eastAsia"/>
          <w:highlight w:val="none"/>
          <w:lang w:val="en-US" w:eastAsia="zh-CN"/>
        </w:rPr>
        <w:t>&gt;</w:t>
      </w:r>
      <w:r>
        <w:rPr>
          <w:highlight w:val="none"/>
        </w:rPr>
        <w:t>的通知》（</w:t>
      </w:r>
      <w:r>
        <w:t>豫财效</w:t>
      </w:r>
      <w:r>
        <w:rPr>
          <w:rFonts w:hint="eastAsia"/>
          <w:lang w:eastAsia="zh-CN"/>
        </w:rPr>
        <w:t>〔</w:t>
      </w:r>
      <w:r>
        <w:rPr>
          <w:rFonts w:hint="eastAsia"/>
          <w:lang w:val="en-US" w:eastAsia="zh-CN"/>
        </w:rPr>
        <w:t>2020</w:t>
      </w:r>
      <w:r>
        <w:rPr>
          <w:rFonts w:hint="eastAsia"/>
          <w:lang w:eastAsia="zh-CN"/>
        </w:rPr>
        <w:t>〕</w:t>
      </w:r>
      <w:r>
        <w:t>10号）</w:t>
      </w:r>
      <w:r>
        <w:rPr>
          <w:highlight w:val="none"/>
        </w:rPr>
        <w:t>，本次绩效评价结果采取评分和评级相结合的方式，具体分值和等级根据不同评价内容设定。</w:t>
      </w:r>
      <w:r>
        <w:rPr>
          <w:rFonts w:hint="eastAsia"/>
          <w:highlight w:val="none"/>
          <w:lang w:val="en-US" w:eastAsia="zh-CN"/>
        </w:rPr>
        <w:t>分值评级详见下表：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4"/>
        <w:gridCol w:w="3654"/>
        <w:gridCol w:w="2999"/>
      </w:tblGrid>
      <w:tr w14:paraId="6F9B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02" w:type="pct"/>
            <w:vAlign w:val="center"/>
          </w:tcPr>
          <w:p w14:paraId="5998B470">
            <w:pPr>
              <w:bidi w:val="0"/>
              <w:spacing w:line="240" w:lineRule="auto"/>
              <w:ind w:firstLine="0" w:firstLineChars="0"/>
              <w:jc w:val="center"/>
              <w:rPr>
                <w:rFonts w:hint="eastAsia" w:eastAsia="宋体"/>
                <w:b/>
                <w:bCs/>
                <w:sz w:val="28"/>
                <w:szCs w:val="28"/>
                <w:highlight w:val="none"/>
                <w:vertAlign w:val="baseline"/>
                <w:lang w:val="en-US" w:eastAsia="zh-CN"/>
              </w:rPr>
            </w:pPr>
            <w:r>
              <w:rPr>
                <w:rFonts w:hint="eastAsia" w:eastAsia="宋体"/>
                <w:b/>
                <w:bCs/>
                <w:sz w:val="28"/>
                <w:szCs w:val="28"/>
                <w:highlight w:val="none"/>
                <w:vertAlign w:val="baseline"/>
                <w:lang w:val="en-US" w:eastAsia="zh-CN"/>
              </w:rPr>
              <w:t>序号</w:t>
            </w:r>
          </w:p>
        </w:tc>
        <w:tc>
          <w:tcPr>
            <w:tcW w:w="2030" w:type="pct"/>
            <w:vAlign w:val="center"/>
          </w:tcPr>
          <w:p w14:paraId="360E392B">
            <w:pPr>
              <w:bidi w:val="0"/>
              <w:spacing w:line="240" w:lineRule="auto"/>
              <w:ind w:firstLine="0" w:firstLineChars="0"/>
              <w:jc w:val="center"/>
              <w:rPr>
                <w:rFonts w:hint="eastAsia" w:eastAsia="宋体"/>
                <w:b/>
                <w:bCs/>
                <w:sz w:val="28"/>
                <w:szCs w:val="28"/>
                <w:highlight w:val="none"/>
                <w:vertAlign w:val="baseline"/>
                <w:lang w:val="en-US" w:eastAsia="zh-CN"/>
              </w:rPr>
            </w:pPr>
            <w:r>
              <w:rPr>
                <w:rFonts w:hint="eastAsia" w:eastAsia="宋体"/>
                <w:b/>
                <w:bCs/>
                <w:sz w:val="28"/>
                <w:szCs w:val="28"/>
                <w:highlight w:val="none"/>
                <w:vertAlign w:val="baseline"/>
                <w:lang w:val="en-US" w:eastAsia="zh-CN"/>
              </w:rPr>
              <w:t>分值范围</w:t>
            </w:r>
          </w:p>
        </w:tc>
        <w:tc>
          <w:tcPr>
            <w:tcW w:w="1666" w:type="pct"/>
            <w:vAlign w:val="center"/>
          </w:tcPr>
          <w:p w14:paraId="6B8F42FF">
            <w:pPr>
              <w:bidi w:val="0"/>
              <w:spacing w:line="240" w:lineRule="auto"/>
              <w:ind w:firstLine="0" w:firstLineChars="0"/>
              <w:jc w:val="center"/>
              <w:rPr>
                <w:rFonts w:hint="default" w:eastAsia="宋体"/>
                <w:b/>
                <w:bCs/>
                <w:sz w:val="28"/>
                <w:szCs w:val="28"/>
                <w:highlight w:val="none"/>
                <w:vertAlign w:val="baseline"/>
                <w:lang w:val="en-US" w:eastAsia="zh-CN"/>
              </w:rPr>
            </w:pPr>
            <w:r>
              <w:rPr>
                <w:rFonts w:hint="eastAsia" w:eastAsia="宋体"/>
                <w:b/>
                <w:bCs/>
                <w:sz w:val="28"/>
                <w:szCs w:val="28"/>
                <w:highlight w:val="none"/>
                <w:vertAlign w:val="baseline"/>
                <w:lang w:val="en-US" w:eastAsia="zh-CN"/>
              </w:rPr>
              <w:t>绩效评价结果</w:t>
            </w:r>
          </w:p>
        </w:tc>
      </w:tr>
      <w:tr w14:paraId="4503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02" w:type="pct"/>
            <w:vAlign w:val="center"/>
          </w:tcPr>
          <w:p w14:paraId="28626425">
            <w:pPr>
              <w:bidi w:val="0"/>
              <w:spacing w:line="240" w:lineRule="auto"/>
              <w:ind w:firstLine="0" w:firstLineChars="0"/>
              <w:jc w:val="center"/>
              <w:rPr>
                <w:rFonts w:hint="eastAsia" w:eastAsia="宋体"/>
                <w:sz w:val="28"/>
                <w:szCs w:val="28"/>
                <w:highlight w:val="none"/>
                <w:vertAlign w:val="baseline"/>
                <w:lang w:val="en-US" w:eastAsia="zh-CN"/>
              </w:rPr>
            </w:pPr>
            <w:r>
              <w:rPr>
                <w:rFonts w:hint="eastAsia" w:eastAsia="宋体"/>
                <w:sz w:val="28"/>
                <w:szCs w:val="28"/>
                <w:highlight w:val="none"/>
                <w:vertAlign w:val="baseline"/>
                <w:lang w:val="en-US" w:eastAsia="zh-CN"/>
              </w:rPr>
              <w:t>1</w:t>
            </w:r>
          </w:p>
        </w:tc>
        <w:tc>
          <w:tcPr>
            <w:tcW w:w="2030" w:type="pct"/>
            <w:vAlign w:val="center"/>
          </w:tcPr>
          <w:p w14:paraId="651787FF">
            <w:pPr>
              <w:bidi w:val="0"/>
              <w:spacing w:line="240" w:lineRule="auto"/>
              <w:ind w:firstLine="0" w:firstLineChars="0"/>
              <w:jc w:val="center"/>
              <w:rPr>
                <w:rFonts w:hint="default" w:eastAsia="宋体"/>
                <w:sz w:val="28"/>
                <w:szCs w:val="28"/>
                <w:highlight w:val="none"/>
                <w:vertAlign w:val="baseline"/>
                <w:lang w:val="en-US" w:eastAsia="zh-CN"/>
              </w:rPr>
            </w:pPr>
            <w:r>
              <w:rPr>
                <w:rFonts w:hint="eastAsia" w:eastAsia="宋体"/>
                <w:sz w:val="28"/>
                <w:szCs w:val="28"/>
                <w:highlight w:val="none"/>
                <w:vertAlign w:val="baseline"/>
                <w:lang w:val="en-US" w:eastAsia="zh-CN"/>
              </w:rPr>
              <w:t>90-100</w:t>
            </w:r>
          </w:p>
        </w:tc>
        <w:tc>
          <w:tcPr>
            <w:tcW w:w="1666" w:type="pct"/>
            <w:vAlign w:val="center"/>
          </w:tcPr>
          <w:p w14:paraId="06E84FFB">
            <w:pPr>
              <w:bidi w:val="0"/>
              <w:spacing w:line="240" w:lineRule="auto"/>
              <w:ind w:firstLine="0" w:firstLineChars="0"/>
              <w:jc w:val="center"/>
              <w:rPr>
                <w:rFonts w:hint="eastAsia" w:eastAsia="宋体"/>
                <w:sz w:val="28"/>
                <w:szCs w:val="28"/>
                <w:highlight w:val="none"/>
                <w:vertAlign w:val="baseline"/>
                <w:lang w:val="en-US" w:eastAsia="zh-CN"/>
              </w:rPr>
            </w:pPr>
            <w:r>
              <w:rPr>
                <w:rFonts w:hint="eastAsia" w:eastAsia="宋体"/>
                <w:sz w:val="28"/>
                <w:szCs w:val="28"/>
                <w:highlight w:val="none"/>
                <w:vertAlign w:val="baseline"/>
                <w:lang w:val="en-US" w:eastAsia="zh-CN"/>
              </w:rPr>
              <w:t>优</w:t>
            </w:r>
          </w:p>
        </w:tc>
      </w:tr>
      <w:tr w14:paraId="0172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02" w:type="pct"/>
            <w:vAlign w:val="center"/>
          </w:tcPr>
          <w:p w14:paraId="6082D211">
            <w:pPr>
              <w:bidi w:val="0"/>
              <w:spacing w:line="240" w:lineRule="auto"/>
              <w:ind w:firstLine="0" w:firstLineChars="0"/>
              <w:jc w:val="center"/>
              <w:rPr>
                <w:rFonts w:hint="eastAsia" w:eastAsia="宋体"/>
                <w:sz w:val="28"/>
                <w:szCs w:val="28"/>
                <w:highlight w:val="none"/>
                <w:vertAlign w:val="baseline"/>
                <w:lang w:val="en-US" w:eastAsia="zh-CN"/>
              </w:rPr>
            </w:pPr>
            <w:r>
              <w:rPr>
                <w:rFonts w:hint="eastAsia" w:eastAsia="宋体"/>
                <w:sz w:val="28"/>
                <w:szCs w:val="28"/>
                <w:highlight w:val="none"/>
                <w:vertAlign w:val="baseline"/>
                <w:lang w:val="en-US" w:eastAsia="zh-CN"/>
              </w:rPr>
              <w:t>2</w:t>
            </w:r>
          </w:p>
        </w:tc>
        <w:tc>
          <w:tcPr>
            <w:tcW w:w="2030" w:type="pct"/>
            <w:vAlign w:val="center"/>
          </w:tcPr>
          <w:p w14:paraId="60F0A11F">
            <w:pPr>
              <w:bidi w:val="0"/>
              <w:spacing w:line="240" w:lineRule="auto"/>
              <w:ind w:firstLine="0" w:firstLineChars="0"/>
              <w:jc w:val="center"/>
              <w:rPr>
                <w:rFonts w:hint="default" w:eastAsia="宋体"/>
                <w:sz w:val="28"/>
                <w:szCs w:val="28"/>
                <w:highlight w:val="none"/>
                <w:vertAlign w:val="baseline"/>
                <w:lang w:val="en-US" w:eastAsia="zh-CN"/>
              </w:rPr>
            </w:pPr>
            <w:r>
              <w:rPr>
                <w:rFonts w:hint="eastAsia" w:eastAsia="宋体"/>
                <w:sz w:val="28"/>
                <w:szCs w:val="28"/>
                <w:highlight w:val="none"/>
                <w:vertAlign w:val="baseline"/>
                <w:lang w:val="en-US" w:eastAsia="zh-CN"/>
              </w:rPr>
              <w:t>80-90（不含）</w:t>
            </w:r>
          </w:p>
        </w:tc>
        <w:tc>
          <w:tcPr>
            <w:tcW w:w="1666" w:type="pct"/>
            <w:vAlign w:val="center"/>
          </w:tcPr>
          <w:p w14:paraId="6B11D01F">
            <w:pPr>
              <w:bidi w:val="0"/>
              <w:spacing w:line="240" w:lineRule="auto"/>
              <w:ind w:firstLine="0" w:firstLineChars="0"/>
              <w:jc w:val="center"/>
              <w:rPr>
                <w:rFonts w:hint="eastAsia" w:eastAsia="宋体"/>
                <w:sz w:val="28"/>
                <w:szCs w:val="28"/>
                <w:highlight w:val="none"/>
                <w:vertAlign w:val="baseline"/>
                <w:lang w:val="en-US" w:eastAsia="zh-CN"/>
              </w:rPr>
            </w:pPr>
            <w:r>
              <w:rPr>
                <w:rFonts w:hint="eastAsia" w:eastAsia="宋体"/>
                <w:sz w:val="28"/>
                <w:szCs w:val="28"/>
                <w:highlight w:val="none"/>
                <w:vertAlign w:val="baseline"/>
                <w:lang w:val="en-US" w:eastAsia="zh-CN"/>
              </w:rPr>
              <w:t>良</w:t>
            </w:r>
          </w:p>
        </w:tc>
      </w:tr>
      <w:tr w14:paraId="4AED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02" w:type="pct"/>
            <w:vAlign w:val="center"/>
          </w:tcPr>
          <w:p w14:paraId="45988A93">
            <w:pPr>
              <w:bidi w:val="0"/>
              <w:spacing w:line="240" w:lineRule="auto"/>
              <w:ind w:firstLine="0" w:firstLineChars="0"/>
              <w:jc w:val="center"/>
              <w:rPr>
                <w:rFonts w:hint="eastAsia" w:eastAsia="宋体"/>
                <w:sz w:val="28"/>
                <w:szCs w:val="28"/>
                <w:highlight w:val="none"/>
                <w:vertAlign w:val="baseline"/>
                <w:lang w:val="en-US" w:eastAsia="zh-CN"/>
              </w:rPr>
            </w:pPr>
            <w:r>
              <w:rPr>
                <w:rFonts w:hint="eastAsia" w:eastAsia="宋体"/>
                <w:sz w:val="28"/>
                <w:szCs w:val="28"/>
                <w:highlight w:val="none"/>
                <w:vertAlign w:val="baseline"/>
                <w:lang w:val="en-US" w:eastAsia="zh-CN"/>
              </w:rPr>
              <w:t>3</w:t>
            </w:r>
          </w:p>
        </w:tc>
        <w:tc>
          <w:tcPr>
            <w:tcW w:w="2030" w:type="pct"/>
            <w:vAlign w:val="center"/>
          </w:tcPr>
          <w:p w14:paraId="608F26F4">
            <w:pPr>
              <w:bidi w:val="0"/>
              <w:spacing w:line="240" w:lineRule="auto"/>
              <w:ind w:firstLine="0" w:firstLineChars="0"/>
              <w:jc w:val="center"/>
              <w:rPr>
                <w:rFonts w:hint="default" w:eastAsia="宋体"/>
                <w:sz w:val="28"/>
                <w:szCs w:val="28"/>
                <w:highlight w:val="none"/>
                <w:vertAlign w:val="baseline"/>
                <w:lang w:val="en-US" w:eastAsia="zh-CN"/>
              </w:rPr>
            </w:pPr>
            <w:r>
              <w:rPr>
                <w:rFonts w:hint="eastAsia" w:eastAsia="宋体"/>
                <w:sz w:val="28"/>
                <w:szCs w:val="28"/>
                <w:highlight w:val="none"/>
                <w:vertAlign w:val="baseline"/>
                <w:lang w:val="en-US" w:eastAsia="zh-CN"/>
              </w:rPr>
              <w:t>60-80（不含）</w:t>
            </w:r>
          </w:p>
        </w:tc>
        <w:tc>
          <w:tcPr>
            <w:tcW w:w="1666" w:type="pct"/>
            <w:vAlign w:val="center"/>
          </w:tcPr>
          <w:p w14:paraId="65784000">
            <w:pPr>
              <w:bidi w:val="0"/>
              <w:spacing w:line="240" w:lineRule="auto"/>
              <w:ind w:firstLine="0" w:firstLineChars="0"/>
              <w:jc w:val="center"/>
              <w:rPr>
                <w:rFonts w:hint="eastAsia" w:eastAsia="宋体"/>
                <w:sz w:val="28"/>
                <w:szCs w:val="28"/>
                <w:highlight w:val="none"/>
                <w:vertAlign w:val="baseline"/>
                <w:lang w:val="en-US" w:eastAsia="zh-CN"/>
              </w:rPr>
            </w:pPr>
            <w:r>
              <w:rPr>
                <w:rFonts w:hint="eastAsia" w:eastAsia="宋体"/>
                <w:sz w:val="28"/>
                <w:szCs w:val="28"/>
                <w:highlight w:val="none"/>
                <w:vertAlign w:val="baseline"/>
                <w:lang w:val="en-US" w:eastAsia="zh-CN"/>
              </w:rPr>
              <w:t>中</w:t>
            </w:r>
          </w:p>
        </w:tc>
      </w:tr>
      <w:tr w14:paraId="6AD3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02" w:type="pct"/>
            <w:vAlign w:val="center"/>
          </w:tcPr>
          <w:p w14:paraId="193E33D9">
            <w:pPr>
              <w:bidi w:val="0"/>
              <w:spacing w:line="240" w:lineRule="auto"/>
              <w:ind w:firstLine="0" w:firstLineChars="0"/>
              <w:jc w:val="center"/>
              <w:rPr>
                <w:rFonts w:hint="eastAsia" w:eastAsia="宋体"/>
                <w:sz w:val="28"/>
                <w:szCs w:val="28"/>
                <w:highlight w:val="none"/>
                <w:vertAlign w:val="baseline"/>
                <w:lang w:val="en-US" w:eastAsia="zh-CN"/>
              </w:rPr>
            </w:pPr>
            <w:r>
              <w:rPr>
                <w:rFonts w:hint="eastAsia" w:eastAsia="宋体"/>
                <w:sz w:val="28"/>
                <w:szCs w:val="28"/>
                <w:highlight w:val="none"/>
                <w:vertAlign w:val="baseline"/>
                <w:lang w:val="en-US" w:eastAsia="zh-CN"/>
              </w:rPr>
              <w:t>4</w:t>
            </w:r>
          </w:p>
        </w:tc>
        <w:tc>
          <w:tcPr>
            <w:tcW w:w="2030" w:type="pct"/>
            <w:vAlign w:val="center"/>
          </w:tcPr>
          <w:p w14:paraId="38B3F273">
            <w:pPr>
              <w:bidi w:val="0"/>
              <w:spacing w:line="240" w:lineRule="auto"/>
              <w:ind w:firstLine="0" w:firstLineChars="0"/>
              <w:jc w:val="center"/>
              <w:rPr>
                <w:rFonts w:hint="default" w:eastAsia="宋体"/>
                <w:sz w:val="28"/>
                <w:szCs w:val="28"/>
                <w:highlight w:val="none"/>
                <w:vertAlign w:val="baseline"/>
                <w:lang w:val="en-US" w:eastAsia="zh-CN"/>
              </w:rPr>
            </w:pPr>
            <w:r>
              <w:rPr>
                <w:rFonts w:hint="eastAsia" w:eastAsia="宋体"/>
                <w:sz w:val="28"/>
                <w:szCs w:val="28"/>
                <w:highlight w:val="none"/>
                <w:vertAlign w:val="baseline"/>
                <w:lang w:val="en-US" w:eastAsia="zh-CN"/>
              </w:rPr>
              <w:t>0-60（不含）</w:t>
            </w:r>
          </w:p>
        </w:tc>
        <w:tc>
          <w:tcPr>
            <w:tcW w:w="1666" w:type="pct"/>
            <w:vAlign w:val="center"/>
          </w:tcPr>
          <w:p w14:paraId="01BDA19F">
            <w:pPr>
              <w:bidi w:val="0"/>
              <w:spacing w:line="240" w:lineRule="auto"/>
              <w:ind w:firstLine="0" w:firstLineChars="0"/>
              <w:jc w:val="center"/>
              <w:rPr>
                <w:rFonts w:hint="eastAsia" w:eastAsia="宋体"/>
                <w:sz w:val="28"/>
                <w:szCs w:val="28"/>
                <w:highlight w:val="none"/>
                <w:vertAlign w:val="baseline"/>
                <w:lang w:val="en-US" w:eastAsia="zh-CN"/>
              </w:rPr>
            </w:pPr>
            <w:r>
              <w:rPr>
                <w:rFonts w:hint="eastAsia" w:eastAsia="宋体"/>
                <w:sz w:val="28"/>
                <w:szCs w:val="28"/>
                <w:highlight w:val="none"/>
                <w:vertAlign w:val="baseline"/>
                <w:lang w:val="en-US" w:eastAsia="zh-CN"/>
              </w:rPr>
              <w:t>差</w:t>
            </w:r>
          </w:p>
        </w:tc>
      </w:tr>
    </w:tbl>
    <w:p w14:paraId="5964E4C6">
      <w:pPr>
        <w:pStyle w:val="3"/>
        <w:bidi w:val="0"/>
        <w:rPr>
          <w:rFonts w:hint="eastAsia"/>
          <w:lang w:eastAsia="zh-CN"/>
        </w:rPr>
      </w:pPr>
      <w:bookmarkStart w:id="36" w:name="_Toc15917"/>
      <w:bookmarkStart w:id="37" w:name="_Toc8000"/>
      <w:r>
        <w:rPr>
          <w:rFonts w:hint="eastAsia"/>
          <w:lang w:val="en-US" w:eastAsia="zh-CN"/>
        </w:rPr>
        <w:t>（六）评价工作过程</w:t>
      </w:r>
      <w:bookmarkEnd w:id="36"/>
      <w:bookmarkEnd w:id="37"/>
      <w:r>
        <w:rPr>
          <w:rFonts w:hint="eastAsia"/>
          <w:lang w:val="en-US" w:eastAsia="zh-CN"/>
        </w:rPr>
        <w:t xml:space="preserve"> </w:t>
      </w:r>
    </w:p>
    <w:p w14:paraId="054951EB">
      <w:pPr>
        <w:pStyle w:val="4"/>
        <w:bidi w:val="0"/>
        <w:rPr>
          <w:rFonts w:hint="default"/>
          <w:lang w:val="en-US" w:eastAsia="zh-CN"/>
        </w:rPr>
      </w:pPr>
      <w:bookmarkStart w:id="38" w:name="_Toc3312"/>
      <w:bookmarkStart w:id="39" w:name="_Toc22082"/>
      <w:r>
        <w:rPr>
          <w:rFonts w:hint="eastAsia"/>
          <w:lang w:val="en-US" w:eastAsia="zh-CN"/>
        </w:rPr>
        <w:t>1.评价工作</w:t>
      </w:r>
      <w:bookmarkEnd w:id="38"/>
      <w:r>
        <w:rPr>
          <w:rFonts w:hint="eastAsia"/>
          <w:lang w:val="en-US" w:eastAsia="zh-CN"/>
        </w:rPr>
        <w:t>安排</w:t>
      </w:r>
      <w:bookmarkEnd w:id="39"/>
    </w:p>
    <w:p w14:paraId="28AE52FF">
      <w:pPr>
        <w:bidi w:val="0"/>
        <w:rPr>
          <w:highlight w:val="none"/>
          <w:lang w:val="en-US" w:eastAsia="zh-CN"/>
        </w:rPr>
      </w:pPr>
      <w:r>
        <w:rPr>
          <w:highlight w:val="none"/>
          <w:lang w:val="en-US" w:eastAsia="zh-CN"/>
        </w:rPr>
        <w:t>按照评价要求，对整个评价周期进行阶段性划分，工作程序主要包括前期准备、组织实施、分析评价、撰写与提交评价报告、档案归集与质量控制等五个阶段。</w:t>
      </w:r>
    </w:p>
    <w:p w14:paraId="0A0BE7F9">
      <w:pPr>
        <w:bidi w:val="0"/>
        <w:rPr>
          <w:rFonts w:hint="eastAsia"/>
          <w:highlight w:val="none"/>
          <w:lang w:val="en-US" w:eastAsia="zh-CN"/>
        </w:rPr>
      </w:pPr>
      <w:r>
        <w:rPr>
          <w:rFonts w:hint="eastAsia"/>
          <w:highlight w:val="none"/>
          <w:lang w:val="en-US" w:eastAsia="zh-CN"/>
        </w:rPr>
        <w:t>（1）非现场评价内容：</w:t>
      </w:r>
    </w:p>
    <w:p w14:paraId="6C651729">
      <w:pPr>
        <w:bidi w:val="0"/>
        <w:rPr>
          <w:rFonts w:hint="eastAsia"/>
          <w:highlight w:val="none"/>
          <w:lang w:val="en-US" w:eastAsia="zh-CN"/>
        </w:rPr>
      </w:pPr>
      <w:r>
        <w:rPr>
          <w:rFonts w:hint="eastAsia"/>
          <w:highlight w:val="none"/>
          <w:lang w:val="en-US" w:eastAsia="zh-CN"/>
        </w:rPr>
        <w:t>①检查项目决策部分中的立项依据充分性、立项程序规范性、绩效目标合理性、绩效指标明确性、预算编制科学性、资金分配合理性。</w:t>
      </w:r>
    </w:p>
    <w:p w14:paraId="1C15C7F9">
      <w:pPr>
        <w:bidi w:val="0"/>
        <w:rPr>
          <w:rFonts w:hint="eastAsia"/>
          <w:highlight w:val="none"/>
          <w:lang w:val="en-US" w:eastAsia="zh-CN"/>
        </w:rPr>
      </w:pPr>
      <w:r>
        <w:rPr>
          <w:rFonts w:hint="eastAsia"/>
          <w:highlight w:val="none"/>
          <w:lang w:val="en-US" w:eastAsia="zh-CN"/>
        </w:rPr>
        <w:t>②检查项目过程部分中的资金到位率、预算执行率、资金使用合规性、管理制度健全性、制度执行有效性、政府采购规范性等。</w:t>
      </w:r>
    </w:p>
    <w:p w14:paraId="7A39505E">
      <w:pPr>
        <w:bidi w:val="0"/>
        <w:rPr>
          <w:rFonts w:hint="eastAsia"/>
          <w:highlight w:val="none"/>
          <w:lang w:val="en-US" w:eastAsia="zh-CN"/>
        </w:rPr>
      </w:pPr>
      <w:r>
        <w:rPr>
          <w:rFonts w:hint="eastAsia"/>
          <w:highlight w:val="none"/>
          <w:lang w:val="en-US" w:eastAsia="zh-CN"/>
        </w:rPr>
        <w:t>（2）现场评价内容：</w:t>
      </w:r>
    </w:p>
    <w:p w14:paraId="689D668F">
      <w:pPr>
        <w:numPr>
          <w:ilvl w:val="0"/>
          <w:numId w:val="0"/>
        </w:numPr>
        <w:bidi w:val="0"/>
        <w:ind w:left="0" w:leftChars="0" w:firstLine="560" w:firstLineChars="200"/>
        <w:rPr>
          <w:highlight w:val="yellow"/>
          <w:lang w:val="en-US" w:eastAsia="zh-CN"/>
        </w:rPr>
      </w:pPr>
      <w:r>
        <w:rPr>
          <w:rFonts w:hint="eastAsia"/>
          <w:highlight w:val="none"/>
          <w:lang w:val="en-US" w:eastAsia="zh-CN"/>
        </w:rPr>
        <w:t>项目的工程进度达标率、项目投入使用情况、验收合格率、成本控制率四个方面予以全方位的现场实地考核评价；对项目效益部分进行评价，具体是对社会效益、经济效益、可持续影响、满意度四个部分以现场核实、走访、调查问卷、查阅资料等方式予以考核评价。</w:t>
      </w:r>
    </w:p>
    <w:p w14:paraId="72029768">
      <w:pPr>
        <w:pStyle w:val="4"/>
        <w:numPr>
          <w:ilvl w:val="0"/>
          <w:numId w:val="0"/>
        </w:numPr>
        <w:bidi w:val="0"/>
        <w:ind w:firstLine="602" w:firstLineChars="200"/>
        <w:rPr>
          <w:rFonts w:hint="eastAsia"/>
          <w:highlight w:val="none"/>
          <w:lang w:val="en-US" w:eastAsia="zh-CN"/>
        </w:rPr>
      </w:pPr>
      <w:bookmarkStart w:id="40" w:name="_Toc26534"/>
      <w:bookmarkStart w:id="41" w:name="_Toc19206"/>
      <w:bookmarkStart w:id="42" w:name="_Toc12140"/>
      <w:bookmarkStart w:id="43" w:name="_Toc8599"/>
      <w:r>
        <w:rPr>
          <w:rFonts w:hint="eastAsia" w:ascii="宋体" w:hAnsi="宋体" w:eastAsia="宋体" w:cs="宋体"/>
          <w:b/>
          <w:sz w:val="30"/>
          <w:szCs w:val="28"/>
          <w:lang w:val="en-US" w:eastAsia="zh-CN"/>
        </w:rPr>
        <w:t>2.</w:t>
      </w:r>
      <w:r>
        <w:rPr>
          <w:rFonts w:hint="eastAsia"/>
          <w:highlight w:val="none"/>
          <w:lang w:val="en-US" w:eastAsia="zh-CN"/>
        </w:rPr>
        <w:t>现场评价过程</w:t>
      </w:r>
      <w:bookmarkEnd w:id="40"/>
      <w:bookmarkEnd w:id="41"/>
      <w:bookmarkEnd w:id="42"/>
    </w:p>
    <w:p w14:paraId="3520746D">
      <w:pPr>
        <w:bidi w:val="0"/>
        <w:rPr>
          <w:rFonts w:hint="eastAsia"/>
          <w:lang w:val="en-US" w:eastAsia="zh-CN"/>
        </w:rPr>
      </w:pPr>
      <w:r>
        <w:rPr>
          <w:rFonts w:hint="eastAsia"/>
          <w:lang w:val="en-US" w:eastAsia="zh-CN"/>
        </w:rPr>
        <w:t>（1）工程现场查看</w:t>
      </w:r>
    </w:p>
    <w:p w14:paraId="6EF0B40C">
      <w:pPr>
        <w:bidi w:val="0"/>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165100</wp:posOffset>
            </wp:positionH>
            <wp:positionV relativeFrom="paragraph">
              <wp:posOffset>50165</wp:posOffset>
            </wp:positionV>
            <wp:extent cx="5539740" cy="7386955"/>
            <wp:effectExtent l="0" t="0" r="7620" b="4445"/>
            <wp:wrapTopAndBottom/>
            <wp:docPr id="2" name="图片 2" descr="bde8bfd56f556fb6f9d16ab87c14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de8bfd56f556fb6f9d16ab87c14ab6"/>
                    <pic:cNvPicPr>
                      <a:picLocks noChangeAspect="1"/>
                    </pic:cNvPicPr>
                  </pic:nvPicPr>
                  <pic:blipFill>
                    <a:blip r:embed="rId13"/>
                    <a:stretch>
                      <a:fillRect/>
                    </a:stretch>
                  </pic:blipFill>
                  <pic:spPr>
                    <a:xfrm>
                      <a:off x="0" y="0"/>
                      <a:ext cx="5539740" cy="7386955"/>
                    </a:xfrm>
                    <a:prstGeom prst="rect">
                      <a:avLst/>
                    </a:prstGeom>
                  </pic:spPr>
                </pic:pic>
              </a:graphicData>
            </a:graphic>
          </wp:anchor>
        </w:drawing>
      </w:r>
    </w:p>
    <w:p w14:paraId="17D9F046">
      <w:pPr>
        <w:tabs>
          <w:tab w:val="left" w:pos="209"/>
        </w:tabs>
        <w:bidi w:val="0"/>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7620</wp:posOffset>
            </wp:positionH>
            <wp:positionV relativeFrom="paragraph">
              <wp:posOffset>172085</wp:posOffset>
            </wp:positionV>
            <wp:extent cx="5539740" cy="7386955"/>
            <wp:effectExtent l="0" t="0" r="7620" b="4445"/>
            <wp:wrapTopAndBottom/>
            <wp:docPr id="3" name="图片 3" descr="d2fddf03b6bad09ad70680bf989f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fddf03b6bad09ad70680bf989facf"/>
                    <pic:cNvPicPr>
                      <a:picLocks noChangeAspect="1"/>
                    </pic:cNvPicPr>
                  </pic:nvPicPr>
                  <pic:blipFill>
                    <a:blip r:embed="rId14"/>
                    <a:stretch>
                      <a:fillRect/>
                    </a:stretch>
                  </pic:blipFill>
                  <pic:spPr>
                    <a:xfrm>
                      <a:off x="0" y="0"/>
                      <a:ext cx="5539740" cy="7386955"/>
                    </a:xfrm>
                    <a:prstGeom prst="rect">
                      <a:avLst/>
                    </a:prstGeom>
                  </pic:spPr>
                </pic:pic>
              </a:graphicData>
            </a:graphic>
          </wp:anchor>
        </w:drawing>
      </w:r>
      <w:r>
        <w:rPr>
          <w:rFonts w:hint="eastAsia"/>
          <w:lang w:val="en-US" w:eastAsia="zh-CN"/>
        </w:rPr>
        <w:tab/>
      </w:r>
    </w:p>
    <w:p w14:paraId="436A5F52">
      <w:pPr>
        <w:pStyle w:val="4"/>
        <w:bidi w:val="0"/>
        <w:rPr>
          <w:rFonts w:hint="eastAsia"/>
          <w:highlight w:val="none"/>
          <w:lang w:val="en-US" w:eastAsia="zh-CN"/>
        </w:rPr>
      </w:pPr>
    </w:p>
    <w:p w14:paraId="7FF5715A">
      <w:pPr>
        <w:bidi w:val="0"/>
        <w:rPr>
          <w:rFonts w:hint="eastAsia"/>
          <w:highlight w:val="none"/>
          <w:lang w:val="en-US" w:eastAsia="zh-CN"/>
        </w:rPr>
      </w:pPr>
      <w:r>
        <w:rPr>
          <w:rFonts w:hint="eastAsia"/>
          <w:highlight w:val="none"/>
          <w:lang w:val="en-US" w:eastAsia="zh-CN"/>
        </w:rPr>
        <w:drawing>
          <wp:anchor distT="0" distB="0" distL="114300" distR="114300" simplePos="0" relativeHeight="251666432" behindDoc="0" locked="0" layoutInCell="1" allowOverlap="1">
            <wp:simplePos x="0" y="0"/>
            <wp:positionH relativeFrom="column">
              <wp:posOffset>-93980</wp:posOffset>
            </wp:positionH>
            <wp:positionV relativeFrom="paragraph">
              <wp:posOffset>3937000</wp:posOffset>
            </wp:positionV>
            <wp:extent cx="5563870" cy="3265170"/>
            <wp:effectExtent l="0" t="0" r="13970" b="11430"/>
            <wp:wrapTopAndBottom/>
            <wp:docPr id="12" name="图片 12" descr="6152748b674bb0fb37721231ede69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152748b674bb0fb37721231ede69f3"/>
                    <pic:cNvPicPr>
                      <a:picLocks noChangeAspect="1"/>
                    </pic:cNvPicPr>
                  </pic:nvPicPr>
                  <pic:blipFill>
                    <a:blip r:embed="rId15"/>
                    <a:stretch>
                      <a:fillRect/>
                    </a:stretch>
                  </pic:blipFill>
                  <pic:spPr>
                    <a:xfrm>
                      <a:off x="0" y="0"/>
                      <a:ext cx="5563870" cy="3265170"/>
                    </a:xfrm>
                    <a:prstGeom prst="rect">
                      <a:avLst/>
                    </a:prstGeom>
                  </pic:spPr>
                </pic:pic>
              </a:graphicData>
            </a:graphic>
          </wp:anchor>
        </w:drawing>
      </w:r>
      <w:r>
        <w:rPr>
          <w:rFonts w:hint="eastAsia"/>
          <w:highlight w:val="none"/>
          <w:lang w:val="en-US" w:eastAsia="zh-CN"/>
        </w:rPr>
        <w:drawing>
          <wp:anchor distT="0" distB="0" distL="114300" distR="114300" simplePos="0" relativeHeight="251663360" behindDoc="0" locked="0" layoutInCell="1" allowOverlap="1">
            <wp:simplePos x="0" y="0"/>
            <wp:positionH relativeFrom="column">
              <wp:posOffset>-114300</wp:posOffset>
            </wp:positionH>
            <wp:positionV relativeFrom="paragraph">
              <wp:posOffset>339725</wp:posOffset>
            </wp:positionV>
            <wp:extent cx="5563870" cy="3395345"/>
            <wp:effectExtent l="0" t="0" r="13970" b="3175"/>
            <wp:wrapTopAndBottom/>
            <wp:docPr id="6" name="图片 6" descr="b8b2bba75682f198ea5f1d237932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8b2bba75682f198ea5f1d237932e28"/>
                    <pic:cNvPicPr>
                      <a:picLocks noChangeAspect="1"/>
                    </pic:cNvPicPr>
                  </pic:nvPicPr>
                  <pic:blipFill>
                    <a:blip r:embed="rId16"/>
                    <a:stretch>
                      <a:fillRect/>
                    </a:stretch>
                  </pic:blipFill>
                  <pic:spPr>
                    <a:xfrm>
                      <a:off x="0" y="0"/>
                      <a:ext cx="5563870" cy="3395345"/>
                    </a:xfrm>
                    <a:prstGeom prst="rect">
                      <a:avLst/>
                    </a:prstGeom>
                  </pic:spPr>
                </pic:pic>
              </a:graphicData>
            </a:graphic>
          </wp:anchor>
        </w:drawing>
      </w:r>
    </w:p>
    <w:p w14:paraId="28382ED6">
      <w:pPr>
        <w:bidi w:val="0"/>
        <w:rPr>
          <w:rFonts w:hint="eastAsia"/>
          <w:highlight w:val="none"/>
          <w:lang w:val="en-US" w:eastAsia="zh-CN"/>
        </w:rPr>
      </w:pPr>
    </w:p>
    <w:p w14:paraId="1477AD82">
      <w:pPr>
        <w:bidi w:val="0"/>
        <w:rPr>
          <w:rFonts w:hint="default"/>
          <w:highlight w:val="none"/>
          <w:lang w:val="en-US" w:eastAsia="zh-CN"/>
        </w:rPr>
      </w:pPr>
      <w:r>
        <w:rPr>
          <w:rFonts w:hint="eastAsia"/>
          <w:highlight w:val="none"/>
          <w:lang w:val="en-US" w:eastAsia="zh-CN"/>
        </w:rPr>
        <w:drawing>
          <wp:anchor distT="0" distB="0" distL="114300" distR="114300" simplePos="0" relativeHeight="251664384" behindDoc="0" locked="0" layoutInCell="1" allowOverlap="1">
            <wp:simplePos x="0" y="0"/>
            <wp:positionH relativeFrom="column">
              <wp:posOffset>205740</wp:posOffset>
            </wp:positionH>
            <wp:positionV relativeFrom="paragraph">
              <wp:posOffset>573405</wp:posOffset>
            </wp:positionV>
            <wp:extent cx="5107940" cy="8661400"/>
            <wp:effectExtent l="0" t="0" r="12700" b="10160"/>
            <wp:wrapTopAndBottom/>
            <wp:docPr id="10" name="图片 10" descr="451f7c1979d561bc069fd5453416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51f7c1979d561bc069fd545341649d"/>
                    <pic:cNvPicPr>
                      <a:picLocks noChangeAspect="1"/>
                    </pic:cNvPicPr>
                  </pic:nvPicPr>
                  <pic:blipFill>
                    <a:blip r:embed="rId17"/>
                    <a:stretch>
                      <a:fillRect/>
                    </a:stretch>
                  </pic:blipFill>
                  <pic:spPr>
                    <a:xfrm>
                      <a:off x="0" y="0"/>
                      <a:ext cx="5107940" cy="8661400"/>
                    </a:xfrm>
                    <a:prstGeom prst="rect">
                      <a:avLst/>
                    </a:prstGeom>
                  </pic:spPr>
                </pic:pic>
              </a:graphicData>
            </a:graphic>
          </wp:anchor>
        </w:drawing>
      </w:r>
      <w:r>
        <w:rPr>
          <w:rFonts w:hint="eastAsia"/>
          <w:highlight w:val="none"/>
          <w:lang w:val="en-US" w:eastAsia="zh-CN"/>
        </w:rPr>
        <w:t>（2）现场走访调研</w:t>
      </w:r>
    </w:p>
    <w:p w14:paraId="522E6F1B">
      <w:pPr>
        <w:pStyle w:val="4"/>
        <w:bidi w:val="0"/>
        <w:rPr>
          <w:rFonts w:hint="eastAsia"/>
          <w:highlight w:val="none"/>
          <w:lang w:val="en-US" w:eastAsia="zh-CN"/>
        </w:rPr>
      </w:pPr>
      <w:r>
        <w:rPr>
          <w:rFonts w:hint="eastAsia"/>
          <w:highlight w:val="none"/>
          <w:lang w:val="en-US" w:eastAsia="zh-CN"/>
        </w:rPr>
        <w:drawing>
          <wp:anchor distT="0" distB="0" distL="114300" distR="114300" simplePos="0" relativeHeight="251665408" behindDoc="0" locked="0" layoutInCell="1" allowOverlap="1">
            <wp:simplePos x="0" y="0"/>
            <wp:positionH relativeFrom="column">
              <wp:posOffset>342900</wp:posOffset>
            </wp:positionH>
            <wp:positionV relativeFrom="paragraph">
              <wp:posOffset>354965</wp:posOffset>
            </wp:positionV>
            <wp:extent cx="4871720" cy="8661400"/>
            <wp:effectExtent l="0" t="0" r="5080" b="10160"/>
            <wp:wrapTopAndBottom/>
            <wp:docPr id="11" name="图片 11" descr="759de674f8114195e4609d093600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59de674f8114195e4609d093600da9"/>
                    <pic:cNvPicPr>
                      <a:picLocks noChangeAspect="1"/>
                    </pic:cNvPicPr>
                  </pic:nvPicPr>
                  <pic:blipFill>
                    <a:blip r:embed="rId18"/>
                    <a:stretch>
                      <a:fillRect/>
                    </a:stretch>
                  </pic:blipFill>
                  <pic:spPr>
                    <a:xfrm>
                      <a:off x="0" y="0"/>
                      <a:ext cx="4871720" cy="8661400"/>
                    </a:xfrm>
                    <a:prstGeom prst="rect">
                      <a:avLst/>
                    </a:prstGeom>
                  </pic:spPr>
                </pic:pic>
              </a:graphicData>
            </a:graphic>
          </wp:anchor>
        </w:drawing>
      </w:r>
    </w:p>
    <w:p w14:paraId="0B69BD53">
      <w:pPr>
        <w:pStyle w:val="4"/>
        <w:bidi w:val="0"/>
        <w:rPr>
          <w:rFonts w:hint="eastAsia"/>
          <w:highlight w:val="none"/>
          <w:lang w:val="en-US" w:eastAsia="zh-CN"/>
        </w:rPr>
      </w:pPr>
      <w:r>
        <w:rPr>
          <w:rFonts w:hint="eastAsia"/>
          <w:highlight w:val="none"/>
          <w:lang w:val="en-US" w:eastAsia="zh-CN"/>
        </w:rPr>
        <w:drawing>
          <wp:anchor distT="0" distB="0" distL="114300" distR="114300" simplePos="0" relativeHeight="251668480" behindDoc="0" locked="0" layoutInCell="1" allowOverlap="1">
            <wp:simplePos x="0" y="0"/>
            <wp:positionH relativeFrom="column">
              <wp:posOffset>53340</wp:posOffset>
            </wp:positionH>
            <wp:positionV relativeFrom="paragraph">
              <wp:posOffset>4726305</wp:posOffset>
            </wp:positionV>
            <wp:extent cx="5563870" cy="2503805"/>
            <wp:effectExtent l="0" t="0" r="13970" b="10795"/>
            <wp:wrapTopAndBottom/>
            <wp:docPr id="15" name="图片 15" descr="f30e04a5a65da57dd796bb3dc795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30e04a5a65da57dd796bb3dc7951db"/>
                    <pic:cNvPicPr>
                      <a:picLocks noChangeAspect="1"/>
                    </pic:cNvPicPr>
                  </pic:nvPicPr>
                  <pic:blipFill>
                    <a:blip r:embed="rId19"/>
                    <a:stretch>
                      <a:fillRect/>
                    </a:stretch>
                  </pic:blipFill>
                  <pic:spPr>
                    <a:xfrm>
                      <a:off x="0" y="0"/>
                      <a:ext cx="5563870" cy="2503805"/>
                    </a:xfrm>
                    <a:prstGeom prst="rect">
                      <a:avLst/>
                    </a:prstGeom>
                  </pic:spPr>
                </pic:pic>
              </a:graphicData>
            </a:graphic>
          </wp:anchor>
        </w:drawing>
      </w:r>
      <w:r>
        <w:rPr>
          <w:rFonts w:hint="eastAsia"/>
          <w:highlight w:val="none"/>
          <w:lang w:val="en-US" w:eastAsia="zh-CN"/>
        </w:rPr>
        <w:drawing>
          <wp:anchor distT="0" distB="0" distL="114300" distR="114300" simplePos="0" relativeHeight="251667456" behindDoc="0" locked="0" layoutInCell="1" allowOverlap="1">
            <wp:simplePos x="0" y="0"/>
            <wp:positionH relativeFrom="column">
              <wp:posOffset>45720</wp:posOffset>
            </wp:positionH>
            <wp:positionV relativeFrom="paragraph">
              <wp:posOffset>271145</wp:posOffset>
            </wp:positionV>
            <wp:extent cx="5565775" cy="4174490"/>
            <wp:effectExtent l="0" t="0" r="12065" b="1270"/>
            <wp:wrapTopAndBottom/>
            <wp:docPr id="14" name="图片 14" descr="d70a820afa9afaf9ab355bdd7914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70a820afa9afaf9ab355bdd791430b"/>
                    <pic:cNvPicPr>
                      <a:picLocks noChangeAspect="1"/>
                    </pic:cNvPicPr>
                  </pic:nvPicPr>
                  <pic:blipFill>
                    <a:blip r:embed="rId20"/>
                    <a:stretch>
                      <a:fillRect/>
                    </a:stretch>
                  </pic:blipFill>
                  <pic:spPr>
                    <a:xfrm>
                      <a:off x="0" y="0"/>
                      <a:ext cx="5565775" cy="4174490"/>
                    </a:xfrm>
                    <a:prstGeom prst="rect">
                      <a:avLst/>
                    </a:prstGeom>
                  </pic:spPr>
                </pic:pic>
              </a:graphicData>
            </a:graphic>
          </wp:anchor>
        </w:drawing>
      </w:r>
    </w:p>
    <w:p w14:paraId="6E1C1F98">
      <w:pPr>
        <w:pStyle w:val="4"/>
        <w:bidi w:val="0"/>
        <w:rPr>
          <w:rFonts w:hint="eastAsia"/>
          <w:highlight w:val="none"/>
          <w:lang w:val="en-US" w:eastAsia="zh-CN"/>
        </w:rPr>
      </w:pPr>
    </w:p>
    <w:p w14:paraId="75D735BF">
      <w:pPr>
        <w:pStyle w:val="4"/>
        <w:bidi w:val="0"/>
        <w:rPr>
          <w:rFonts w:hint="eastAsia"/>
          <w:highlight w:val="none"/>
          <w:lang w:val="en-US" w:eastAsia="zh-CN"/>
        </w:rPr>
      </w:pPr>
    </w:p>
    <w:p w14:paraId="4D9108E1">
      <w:pPr>
        <w:numPr>
          <w:ilvl w:val="0"/>
          <w:numId w:val="2"/>
        </w:numPr>
        <w:bidi w:val="0"/>
        <w:ind w:left="0" w:leftChars="0" w:firstLine="560" w:firstLineChars="200"/>
        <w:rPr>
          <w:rFonts w:hint="eastAsia"/>
          <w:lang w:val="en-US" w:eastAsia="zh-CN"/>
        </w:rPr>
      </w:pPr>
      <w:r>
        <w:rPr>
          <w:rFonts w:hint="default"/>
          <w:lang w:val="en-US" w:eastAsia="zh-CN"/>
        </w:rPr>
        <w:drawing>
          <wp:anchor distT="0" distB="0" distL="114300" distR="114300" simplePos="0" relativeHeight="251670528" behindDoc="0" locked="0" layoutInCell="1" allowOverlap="1">
            <wp:simplePos x="0" y="0"/>
            <wp:positionH relativeFrom="column">
              <wp:posOffset>144780</wp:posOffset>
            </wp:positionH>
            <wp:positionV relativeFrom="paragraph">
              <wp:posOffset>508000</wp:posOffset>
            </wp:positionV>
            <wp:extent cx="5354955" cy="3679825"/>
            <wp:effectExtent l="0" t="0" r="9525" b="8255"/>
            <wp:wrapTopAndBottom/>
            <wp:docPr id="17" name="图片 17" descr="6f3051c35aec24ddfbe02f2e1d72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f3051c35aec24ddfbe02f2e1d722a8"/>
                    <pic:cNvPicPr>
                      <a:picLocks noChangeAspect="1"/>
                    </pic:cNvPicPr>
                  </pic:nvPicPr>
                  <pic:blipFill>
                    <a:blip r:embed="rId21"/>
                    <a:stretch>
                      <a:fillRect/>
                    </a:stretch>
                  </pic:blipFill>
                  <pic:spPr>
                    <a:xfrm>
                      <a:off x="0" y="0"/>
                      <a:ext cx="5354955" cy="3679825"/>
                    </a:xfrm>
                    <a:prstGeom prst="rect">
                      <a:avLst/>
                    </a:prstGeom>
                  </pic:spPr>
                </pic:pic>
              </a:graphicData>
            </a:graphic>
          </wp:anchor>
        </w:drawing>
      </w:r>
      <w:r>
        <w:rPr>
          <w:rFonts w:hint="eastAsia"/>
          <w:lang w:val="en-US" w:eastAsia="zh-CN"/>
        </w:rPr>
        <w:t>现场座谈会</w:t>
      </w:r>
    </w:p>
    <w:p w14:paraId="3CBD3140">
      <w:pPr>
        <w:widowControl w:val="0"/>
        <w:numPr>
          <w:ilvl w:val="0"/>
          <w:numId w:val="0"/>
        </w:numPr>
        <w:bidi w:val="0"/>
        <w:spacing w:line="600" w:lineRule="exact"/>
        <w:jc w:val="both"/>
        <w:rPr>
          <w:rFonts w:hint="default"/>
          <w:lang w:val="en-US" w:eastAsia="zh-CN"/>
        </w:rPr>
      </w:pPr>
      <w:r>
        <w:rPr>
          <w:rFonts w:hint="default"/>
          <w:lang w:val="en-US" w:eastAsia="zh-CN"/>
        </w:rPr>
        <w:drawing>
          <wp:anchor distT="0" distB="0" distL="114300" distR="114300" simplePos="0" relativeHeight="251669504" behindDoc="0" locked="0" layoutInCell="1" allowOverlap="1">
            <wp:simplePos x="0" y="0"/>
            <wp:positionH relativeFrom="column">
              <wp:posOffset>160020</wp:posOffset>
            </wp:positionH>
            <wp:positionV relativeFrom="paragraph">
              <wp:posOffset>3812540</wp:posOffset>
            </wp:positionV>
            <wp:extent cx="5321300" cy="3901440"/>
            <wp:effectExtent l="0" t="0" r="12700" b="0"/>
            <wp:wrapTopAndBottom/>
            <wp:docPr id="16" name="图片 16" descr="e920756a6599eaec7c413d0547f7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920756a6599eaec7c413d0547f764c"/>
                    <pic:cNvPicPr>
                      <a:picLocks noChangeAspect="1"/>
                    </pic:cNvPicPr>
                  </pic:nvPicPr>
                  <pic:blipFill>
                    <a:blip r:embed="rId22"/>
                    <a:stretch>
                      <a:fillRect/>
                    </a:stretch>
                  </pic:blipFill>
                  <pic:spPr>
                    <a:xfrm>
                      <a:off x="0" y="0"/>
                      <a:ext cx="5321300" cy="3901440"/>
                    </a:xfrm>
                    <a:prstGeom prst="rect">
                      <a:avLst/>
                    </a:prstGeom>
                  </pic:spPr>
                </pic:pic>
              </a:graphicData>
            </a:graphic>
          </wp:anchor>
        </w:drawing>
      </w:r>
    </w:p>
    <w:p w14:paraId="387EA8BC">
      <w:pPr>
        <w:pStyle w:val="4"/>
        <w:bidi w:val="0"/>
      </w:pPr>
      <w:bookmarkStart w:id="44" w:name="_Toc20749"/>
      <w:r>
        <w:rPr>
          <w:rFonts w:hint="default"/>
          <w:lang w:val="en-US" w:eastAsia="zh-CN"/>
        </w:rPr>
        <w:drawing>
          <wp:anchor distT="0" distB="0" distL="114300" distR="114300" simplePos="0" relativeHeight="251672576" behindDoc="0" locked="0" layoutInCell="1" allowOverlap="1">
            <wp:simplePos x="0" y="0"/>
            <wp:positionH relativeFrom="column">
              <wp:posOffset>-2540</wp:posOffset>
            </wp:positionH>
            <wp:positionV relativeFrom="paragraph">
              <wp:posOffset>4409440</wp:posOffset>
            </wp:positionV>
            <wp:extent cx="5423535" cy="4067810"/>
            <wp:effectExtent l="0" t="0" r="1905" b="1270"/>
            <wp:wrapTopAndBottom/>
            <wp:docPr id="19" name="图片 19" descr="4ea5f312e6da3836b2b239da1a28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ea5f312e6da3836b2b239da1a28cbc"/>
                    <pic:cNvPicPr>
                      <a:picLocks noChangeAspect="1"/>
                    </pic:cNvPicPr>
                  </pic:nvPicPr>
                  <pic:blipFill>
                    <a:blip r:embed="rId23"/>
                    <a:stretch>
                      <a:fillRect/>
                    </a:stretch>
                  </pic:blipFill>
                  <pic:spPr>
                    <a:xfrm>
                      <a:off x="0" y="0"/>
                      <a:ext cx="5423535" cy="4067810"/>
                    </a:xfrm>
                    <a:prstGeom prst="rect">
                      <a:avLst/>
                    </a:prstGeom>
                  </pic:spPr>
                </pic:pic>
              </a:graphicData>
            </a:graphic>
          </wp:anchor>
        </w:drawing>
      </w:r>
      <w:r>
        <w:rPr>
          <w:rFonts w:hint="default"/>
          <w:lang w:val="en-US" w:eastAsia="zh-CN"/>
        </w:rPr>
        <w:drawing>
          <wp:anchor distT="0" distB="0" distL="114300" distR="114300" simplePos="0" relativeHeight="251671552" behindDoc="0" locked="0" layoutInCell="1" allowOverlap="1">
            <wp:simplePos x="0" y="0"/>
            <wp:positionH relativeFrom="column">
              <wp:posOffset>106680</wp:posOffset>
            </wp:positionH>
            <wp:positionV relativeFrom="paragraph">
              <wp:posOffset>210185</wp:posOffset>
            </wp:positionV>
            <wp:extent cx="5271135" cy="3953510"/>
            <wp:effectExtent l="0" t="0" r="1905" b="8890"/>
            <wp:wrapTopAndBottom/>
            <wp:docPr id="18" name="图片 18" descr="f97af8a1b8cf62524f8b6cc4bddc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97af8a1b8cf62524f8b6cc4bddcdb1"/>
                    <pic:cNvPicPr>
                      <a:picLocks noChangeAspect="1"/>
                    </pic:cNvPicPr>
                  </pic:nvPicPr>
                  <pic:blipFill>
                    <a:blip r:embed="rId24"/>
                    <a:stretch>
                      <a:fillRect/>
                    </a:stretch>
                  </pic:blipFill>
                  <pic:spPr>
                    <a:xfrm>
                      <a:off x="0" y="0"/>
                      <a:ext cx="5271135" cy="3953510"/>
                    </a:xfrm>
                    <a:prstGeom prst="rect">
                      <a:avLst/>
                    </a:prstGeom>
                  </pic:spPr>
                </pic:pic>
              </a:graphicData>
            </a:graphic>
          </wp:anchor>
        </w:drawing>
      </w:r>
      <w:r>
        <w:rPr>
          <w:rFonts w:hint="eastAsia"/>
          <w:highlight w:val="none"/>
          <w:lang w:val="en-US" w:eastAsia="zh-CN"/>
        </w:rPr>
        <w:t>3.</w:t>
      </w:r>
      <w:bookmarkStart w:id="45" w:name="_Toc1708"/>
      <w:bookmarkStart w:id="46" w:name="_Toc26230"/>
      <w:r>
        <w:rPr>
          <w:highlight w:val="none"/>
        </w:rPr>
        <w:t>评价</w:t>
      </w:r>
      <w:r>
        <w:rPr>
          <w:rFonts w:hint="eastAsia"/>
          <w:highlight w:val="none"/>
          <w:lang w:val="en-US" w:eastAsia="zh-CN"/>
        </w:rPr>
        <w:t>小组人员</w:t>
      </w:r>
      <w:r>
        <w:rPr>
          <w:highlight w:val="none"/>
        </w:rPr>
        <w:t>安排</w:t>
      </w:r>
      <w:bookmarkEnd w:id="43"/>
      <w:bookmarkEnd w:id="44"/>
      <w:bookmarkEnd w:id="45"/>
      <w:bookmarkEnd w:id="46"/>
    </w:p>
    <w:p w14:paraId="38FAA038">
      <w:pPr>
        <w:bidi w:val="0"/>
        <w:rPr>
          <w:rFonts w:hint="eastAsia"/>
        </w:rPr>
      </w:pPr>
      <w:r>
        <w:t>本次绩效评价的组织者为三门峡市</w:t>
      </w:r>
      <w:r>
        <w:rPr>
          <w:rFonts w:hint="eastAsia"/>
          <w:lang w:val="en-US" w:eastAsia="zh-CN"/>
        </w:rPr>
        <w:t>陕州区财政局</w:t>
      </w:r>
      <w:r>
        <w:t>，受托方为</w:t>
      </w:r>
      <w:r>
        <w:rPr>
          <w:rFonts w:hint="eastAsia" w:eastAsia="宋体"/>
          <w:lang w:val="en-US" w:eastAsia="zh-CN"/>
        </w:rPr>
        <w:t>三门峡中和会计师事务所(普通合伙)</w:t>
      </w:r>
      <w:r>
        <w:t>。</w:t>
      </w:r>
      <w:r>
        <w:rPr>
          <w:rFonts w:hint="eastAsia"/>
        </w:rPr>
        <w:t>三门峡中和会计师事务所(普通合伙)</w:t>
      </w:r>
      <w:r>
        <w:t>负责</w:t>
      </w:r>
      <w:r>
        <w:rPr>
          <w:rFonts w:hint="eastAsia"/>
        </w:rPr>
        <w:t>完成绩效评价工作，包括前期调查，制定工作方案，调查取数，撰写报告。</w:t>
      </w:r>
    </w:p>
    <w:p w14:paraId="51BECBD9">
      <w:pPr>
        <w:bidi w:val="0"/>
        <w:rPr>
          <w:rFonts w:hint="eastAsia" w:eastAsia="宋体"/>
          <w:lang w:eastAsia="zh-CN"/>
        </w:rPr>
      </w:pPr>
      <w:r>
        <w:rPr>
          <w:rFonts w:hint="eastAsia"/>
        </w:rPr>
        <w:t>具体人员名单详见</w:t>
      </w:r>
      <w:r>
        <w:rPr>
          <w:rFonts w:hint="eastAsia"/>
          <w:lang w:val="en-US" w:eastAsia="zh-CN"/>
        </w:rPr>
        <w:t>下</w:t>
      </w:r>
      <w:r>
        <w:rPr>
          <w:rFonts w:hint="eastAsia"/>
        </w:rPr>
        <w:t>表</w:t>
      </w:r>
      <w:r>
        <w:rPr>
          <w:rFonts w:hint="eastAsia"/>
          <w:lang w:eastAsia="zh-CN"/>
        </w:rPr>
        <w:t>：</w:t>
      </w:r>
    </w:p>
    <w:tbl>
      <w:tblPr>
        <w:tblStyle w:val="13"/>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69"/>
        <w:gridCol w:w="939"/>
        <w:gridCol w:w="1288"/>
        <w:gridCol w:w="2023"/>
        <w:gridCol w:w="3286"/>
      </w:tblGrid>
      <w:tr w14:paraId="3077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4" w:hRule="atLeast"/>
          <w:tblHeader/>
          <w:jc w:val="right"/>
        </w:trPr>
        <w:tc>
          <w:tcPr>
            <w:tcW w:w="720" w:type="pct"/>
            <w:vAlign w:val="center"/>
          </w:tcPr>
          <w:p w14:paraId="67D77047">
            <w:pPr>
              <w:spacing w:before="0" w:beforeLines="0" w:line="240" w:lineRule="auto"/>
              <w:ind w:firstLine="0" w:firstLineChars="0"/>
              <w:jc w:val="center"/>
              <w:rPr>
                <w:b/>
                <w:bCs/>
                <w:sz w:val="24"/>
                <w:szCs w:val="24"/>
              </w:rPr>
            </w:pPr>
            <w:r>
              <w:rPr>
                <w:b/>
                <w:bCs/>
                <w:color w:val="000000"/>
                <w:sz w:val="24"/>
                <w:szCs w:val="24"/>
              </w:rPr>
              <w:t>姓名</w:t>
            </w:r>
          </w:p>
        </w:tc>
        <w:tc>
          <w:tcPr>
            <w:tcW w:w="533" w:type="pct"/>
            <w:vAlign w:val="center"/>
          </w:tcPr>
          <w:p w14:paraId="050EBDD6">
            <w:pPr>
              <w:spacing w:before="0" w:beforeLines="0" w:line="240" w:lineRule="auto"/>
              <w:ind w:firstLine="0" w:firstLineChars="0"/>
              <w:jc w:val="center"/>
              <w:rPr>
                <w:b/>
                <w:bCs/>
                <w:sz w:val="24"/>
                <w:szCs w:val="24"/>
              </w:rPr>
            </w:pPr>
            <w:r>
              <w:rPr>
                <w:b/>
                <w:bCs/>
                <w:color w:val="000000"/>
                <w:sz w:val="24"/>
                <w:szCs w:val="24"/>
              </w:rPr>
              <w:t>性别</w:t>
            </w:r>
          </w:p>
        </w:tc>
        <w:tc>
          <w:tcPr>
            <w:tcW w:w="731" w:type="pct"/>
            <w:vAlign w:val="center"/>
          </w:tcPr>
          <w:p w14:paraId="0571E3AA">
            <w:pPr>
              <w:spacing w:before="0" w:beforeLines="0" w:line="240" w:lineRule="auto"/>
              <w:ind w:firstLine="0" w:firstLineChars="0"/>
              <w:jc w:val="center"/>
              <w:rPr>
                <w:b/>
                <w:bCs/>
                <w:sz w:val="24"/>
                <w:szCs w:val="24"/>
              </w:rPr>
            </w:pPr>
            <w:r>
              <w:rPr>
                <w:b/>
                <w:bCs/>
                <w:color w:val="000000"/>
                <w:sz w:val="24"/>
                <w:szCs w:val="24"/>
              </w:rPr>
              <w:t>职务</w:t>
            </w:r>
          </w:p>
        </w:tc>
        <w:tc>
          <w:tcPr>
            <w:tcW w:w="1148" w:type="pct"/>
            <w:vAlign w:val="center"/>
          </w:tcPr>
          <w:p w14:paraId="404A5D57">
            <w:pPr>
              <w:spacing w:before="0" w:beforeLines="0" w:line="240" w:lineRule="auto"/>
              <w:ind w:firstLine="0" w:firstLineChars="0"/>
              <w:jc w:val="center"/>
              <w:rPr>
                <w:b/>
                <w:bCs/>
                <w:sz w:val="24"/>
                <w:szCs w:val="24"/>
              </w:rPr>
            </w:pPr>
            <w:r>
              <w:rPr>
                <w:b/>
                <w:bCs/>
                <w:color w:val="000000"/>
                <w:sz w:val="24"/>
                <w:szCs w:val="24"/>
              </w:rPr>
              <w:t>职称／资格证</w:t>
            </w:r>
          </w:p>
        </w:tc>
        <w:tc>
          <w:tcPr>
            <w:tcW w:w="1865" w:type="pct"/>
            <w:vAlign w:val="center"/>
          </w:tcPr>
          <w:p w14:paraId="65B87516">
            <w:pPr>
              <w:spacing w:before="0" w:beforeLines="0" w:line="240" w:lineRule="auto"/>
              <w:ind w:firstLine="0" w:firstLineChars="0"/>
              <w:jc w:val="center"/>
              <w:rPr>
                <w:b/>
                <w:bCs/>
                <w:sz w:val="24"/>
                <w:szCs w:val="24"/>
              </w:rPr>
            </w:pPr>
            <w:r>
              <w:rPr>
                <w:b/>
                <w:bCs/>
                <w:color w:val="000000"/>
                <w:sz w:val="24"/>
                <w:szCs w:val="24"/>
              </w:rPr>
              <w:t>承担任务</w:t>
            </w:r>
          </w:p>
        </w:tc>
      </w:tr>
      <w:tr w14:paraId="1F83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0" w:type="pct"/>
            <w:vAlign w:val="center"/>
          </w:tcPr>
          <w:p w14:paraId="60891CC1">
            <w:pPr>
              <w:spacing w:before="0" w:beforeLines="0" w:line="240" w:lineRule="auto"/>
              <w:ind w:firstLine="0" w:firstLineChars="0"/>
              <w:jc w:val="center"/>
              <w:rPr>
                <w:rFonts w:hint="default" w:eastAsia="宋体"/>
                <w:sz w:val="24"/>
                <w:szCs w:val="24"/>
                <w:lang w:val="en-US" w:eastAsia="zh-CN"/>
              </w:rPr>
            </w:pPr>
            <w:r>
              <w:rPr>
                <w:rFonts w:hint="eastAsia" w:eastAsia="宋体"/>
                <w:sz w:val="24"/>
                <w:szCs w:val="24"/>
                <w:lang w:val="en-US" w:eastAsia="zh-CN"/>
              </w:rPr>
              <w:t>秦莉莉</w:t>
            </w:r>
          </w:p>
        </w:tc>
        <w:tc>
          <w:tcPr>
            <w:tcW w:w="533" w:type="pct"/>
            <w:vAlign w:val="center"/>
          </w:tcPr>
          <w:p w14:paraId="7F44D5DE">
            <w:pPr>
              <w:spacing w:before="0" w:beforeLines="0" w:line="240" w:lineRule="auto"/>
              <w:ind w:firstLine="0" w:firstLineChars="0"/>
              <w:jc w:val="center"/>
              <w:rPr>
                <w:rFonts w:hint="default" w:eastAsia="宋体"/>
                <w:sz w:val="24"/>
                <w:szCs w:val="24"/>
                <w:lang w:val="en-US" w:eastAsia="zh-CN"/>
              </w:rPr>
            </w:pPr>
            <w:r>
              <w:rPr>
                <w:rFonts w:hint="eastAsia" w:eastAsia="宋体"/>
                <w:sz w:val="24"/>
                <w:szCs w:val="24"/>
                <w:lang w:val="en-US" w:eastAsia="zh-CN"/>
              </w:rPr>
              <w:t>女</w:t>
            </w:r>
          </w:p>
        </w:tc>
        <w:tc>
          <w:tcPr>
            <w:tcW w:w="731" w:type="pct"/>
            <w:vAlign w:val="center"/>
          </w:tcPr>
          <w:p w14:paraId="6C13BAE0">
            <w:pPr>
              <w:spacing w:before="0" w:beforeLines="0" w:line="240" w:lineRule="auto"/>
              <w:ind w:firstLine="0" w:firstLineChars="0"/>
              <w:jc w:val="center"/>
              <w:rPr>
                <w:rFonts w:hint="eastAsia" w:eastAsia="宋体"/>
                <w:color w:val="000000"/>
                <w:sz w:val="24"/>
                <w:szCs w:val="24"/>
                <w:lang w:val="en-US" w:eastAsia="zh-CN"/>
              </w:rPr>
            </w:pPr>
            <w:r>
              <w:rPr>
                <w:color w:val="000000"/>
                <w:sz w:val="24"/>
                <w:szCs w:val="24"/>
              </w:rPr>
              <w:t>项目</w:t>
            </w:r>
            <w:r>
              <w:rPr>
                <w:rFonts w:hint="eastAsia"/>
                <w:color w:val="000000"/>
                <w:sz w:val="24"/>
                <w:szCs w:val="24"/>
                <w:lang w:val="en-US" w:eastAsia="zh-CN"/>
              </w:rPr>
              <w:t>组</w:t>
            </w:r>
          </w:p>
          <w:p w14:paraId="5FA903C7">
            <w:pPr>
              <w:spacing w:before="0" w:beforeLines="0" w:line="240" w:lineRule="auto"/>
              <w:ind w:firstLine="0" w:firstLineChars="0"/>
              <w:jc w:val="center"/>
              <w:rPr>
                <w:sz w:val="24"/>
                <w:szCs w:val="24"/>
              </w:rPr>
            </w:pPr>
            <w:r>
              <w:rPr>
                <w:color w:val="000000"/>
                <w:sz w:val="24"/>
                <w:szCs w:val="24"/>
              </w:rPr>
              <w:t>组长</w:t>
            </w:r>
          </w:p>
        </w:tc>
        <w:tc>
          <w:tcPr>
            <w:tcW w:w="1148" w:type="pct"/>
            <w:vAlign w:val="center"/>
          </w:tcPr>
          <w:p w14:paraId="7A6200E0">
            <w:pPr>
              <w:spacing w:before="0" w:beforeLines="0" w:line="240" w:lineRule="auto"/>
              <w:ind w:firstLine="0" w:firstLineChars="0"/>
              <w:jc w:val="center"/>
              <w:rPr>
                <w:color w:val="000000"/>
                <w:sz w:val="24"/>
                <w:szCs w:val="24"/>
              </w:rPr>
            </w:pPr>
            <w:r>
              <w:rPr>
                <w:rFonts w:hint="eastAsia" w:eastAsia="宋体"/>
                <w:color w:val="000000"/>
                <w:sz w:val="24"/>
                <w:szCs w:val="24"/>
                <w:lang w:val="en-US" w:eastAsia="zh-CN"/>
              </w:rPr>
              <w:t>注册会计师、</w:t>
            </w:r>
          </w:p>
          <w:p w14:paraId="0C18EBA7">
            <w:pPr>
              <w:spacing w:before="0" w:beforeLines="0" w:line="240" w:lineRule="auto"/>
              <w:ind w:firstLine="0" w:firstLineChars="0"/>
              <w:jc w:val="center"/>
              <w:rPr>
                <w:sz w:val="24"/>
                <w:szCs w:val="24"/>
              </w:rPr>
            </w:pPr>
            <w:r>
              <w:rPr>
                <w:rFonts w:hint="eastAsia" w:eastAsia="宋体"/>
                <w:color w:val="000000"/>
                <w:sz w:val="24"/>
                <w:szCs w:val="24"/>
                <w:lang w:val="en-US" w:eastAsia="zh-CN"/>
              </w:rPr>
              <w:t>中级</w:t>
            </w:r>
            <w:r>
              <w:rPr>
                <w:color w:val="000000"/>
                <w:sz w:val="24"/>
                <w:szCs w:val="24"/>
              </w:rPr>
              <w:t>绩效评价师</w:t>
            </w:r>
          </w:p>
        </w:tc>
        <w:tc>
          <w:tcPr>
            <w:tcW w:w="1865" w:type="pct"/>
            <w:vAlign w:val="center"/>
          </w:tcPr>
          <w:p w14:paraId="6864275B">
            <w:pPr>
              <w:spacing w:before="0" w:beforeLines="0" w:line="240" w:lineRule="auto"/>
              <w:ind w:firstLine="0" w:firstLineChars="0"/>
              <w:jc w:val="both"/>
              <w:rPr>
                <w:sz w:val="24"/>
                <w:szCs w:val="24"/>
              </w:rPr>
            </w:pPr>
            <w:r>
              <w:rPr>
                <w:color w:val="000000"/>
                <w:sz w:val="24"/>
                <w:szCs w:val="24"/>
              </w:rPr>
              <w:t>负责项目整体的组织实施、人员安排及协调工作，指导工作开展，审核工作成果。</w:t>
            </w:r>
          </w:p>
        </w:tc>
      </w:tr>
      <w:tr w14:paraId="54BF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0" w:type="pct"/>
            <w:vAlign w:val="center"/>
          </w:tcPr>
          <w:p w14:paraId="3CD95DCA">
            <w:pPr>
              <w:spacing w:before="0" w:beforeLines="0" w:line="240" w:lineRule="auto"/>
              <w:ind w:firstLine="0" w:firstLineChars="0"/>
              <w:jc w:val="center"/>
              <w:rPr>
                <w:rFonts w:hint="eastAsia" w:eastAsia="宋体"/>
                <w:sz w:val="24"/>
                <w:szCs w:val="24"/>
                <w:lang w:eastAsia="zh-CN"/>
              </w:rPr>
            </w:pPr>
            <w:r>
              <w:rPr>
                <w:rFonts w:hint="eastAsia" w:eastAsia="宋体"/>
                <w:color w:val="000000"/>
                <w:sz w:val="24"/>
                <w:szCs w:val="24"/>
                <w:lang w:val="en-US" w:eastAsia="zh-CN"/>
              </w:rPr>
              <w:t>刘占国</w:t>
            </w:r>
          </w:p>
        </w:tc>
        <w:tc>
          <w:tcPr>
            <w:tcW w:w="533" w:type="pct"/>
            <w:vAlign w:val="center"/>
          </w:tcPr>
          <w:p w14:paraId="10FAAE2C">
            <w:pPr>
              <w:spacing w:before="0" w:beforeLines="0" w:line="240" w:lineRule="auto"/>
              <w:ind w:firstLine="0" w:firstLineChars="0"/>
              <w:jc w:val="center"/>
              <w:rPr>
                <w:sz w:val="24"/>
                <w:szCs w:val="24"/>
              </w:rPr>
            </w:pPr>
            <w:r>
              <w:rPr>
                <w:color w:val="000000"/>
                <w:sz w:val="24"/>
                <w:szCs w:val="24"/>
              </w:rPr>
              <w:t>男</w:t>
            </w:r>
          </w:p>
        </w:tc>
        <w:tc>
          <w:tcPr>
            <w:tcW w:w="731" w:type="pct"/>
            <w:vAlign w:val="center"/>
          </w:tcPr>
          <w:p w14:paraId="04D85470">
            <w:pPr>
              <w:spacing w:before="0" w:beforeLines="0" w:line="240" w:lineRule="auto"/>
              <w:ind w:firstLine="0" w:firstLineChars="0"/>
              <w:jc w:val="center"/>
              <w:rPr>
                <w:rFonts w:hint="eastAsia" w:eastAsia="宋体"/>
                <w:color w:val="000000"/>
                <w:sz w:val="24"/>
                <w:szCs w:val="24"/>
                <w:highlight w:val="none"/>
                <w:lang w:val="en-US" w:eastAsia="zh-CN"/>
              </w:rPr>
            </w:pPr>
            <w:r>
              <w:rPr>
                <w:color w:val="000000"/>
                <w:sz w:val="24"/>
                <w:szCs w:val="24"/>
                <w:highlight w:val="none"/>
              </w:rPr>
              <w:t>项目</w:t>
            </w:r>
            <w:r>
              <w:rPr>
                <w:rFonts w:hint="eastAsia"/>
                <w:color w:val="000000"/>
                <w:sz w:val="24"/>
                <w:szCs w:val="24"/>
                <w:highlight w:val="none"/>
                <w:lang w:val="en-US" w:eastAsia="zh-CN"/>
              </w:rPr>
              <w:t>组</w:t>
            </w:r>
          </w:p>
          <w:p w14:paraId="56063299">
            <w:pPr>
              <w:spacing w:before="0" w:beforeLines="0" w:line="240" w:lineRule="auto"/>
              <w:ind w:firstLine="0" w:firstLineChars="0"/>
              <w:jc w:val="center"/>
              <w:rPr>
                <w:sz w:val="24"/>
                <w:szCs w:val="24"/>
                <w:highlight w:val="none"/>
              </w:rPr>
            </w:pPr>
            <w:r>
              <w:rPr>
                <w:color w:val="000000"/>
                <w:sz w:val="24"/>
                <w:szCs w:val="24"/>
                <w:highlight w:val="none"/>
              </w:rPr>
              <w:t>副组长</w:t>
            </w:r>
          </w:p>
        </w:tc>
        <w:tc>
          <w:tcPr>
            <w:tcW w:w="1148" w:type="pct"/>
            <w:vAlign w:val="center"/>
          </w:tcPr>
          <w:p w14:paraId="7C19861D">
            <w:pPr>
              <w:spacing w:before="0" w:beforeLines="0" w:line="240" w:lineRule="auto"/>
              <w:ind w:firstLine="0" w:firstLineChars="0"/>
              <w:jc w:val="center"/>
              <w:rPr>
                <w:color w:val="000000"/>
                <w:sz w:val="24"/>
                <w:szCs w:val="24"/>
                <w:highlight w:val="none"/>
              </w:rPr>
            </w:pPr>
            <w:r>
              <w:rPr>
                <w:rFonts w:hint="eastAsia" w:eastAsia="宋体"/>
                <w:color w:val="000000"/>
                <w:sz w:val="24"/>
                <w:szCs w:val="24"/>
                <w:highlight w:val="none"/>
                <w:lang w:val="en-US" w:eastAsia="zh-CN"/>
              </w:rPr>
              <w:t>注册会计师</w:t>
            </w:r>
            <w:r>
              <w:rPr>
                <w:color w:val="000000"/>
                <w:sz w:val="24"/>
                <w:szCs w:val="24"/>
                <w:highlight w:val="none"/>
              </w:rPr>
              <w:t>、</w:t>
            </w:r>
          </w:p>
          <w:p w14:paraId="428BDA16">
            <w:pPr>
              <w:spacing w:before="0" w:beforeLines="0" w:line="240" w:lineRule="auto"/>
              <w:ind w:firstLine="0" w:firstLineChars="0"/>
              <w:jc w:val="center"/>
              <w:rPr>
                <w:sz w:val="24"/>
                <w:szCs w:val="24"/>
                <w:highlight w:val="none"/>
              </w:rPr>
            </w:pPr>
            <w:r>
              <w:rPr>
                <w:color w:val="000000"/>
                <w:sz w:val="24"/>
                <w:szCs w:val="24"/>
                <w:highlight w:val="none"/>
              </w:rPr>
              <w:t>中级绩效评价师</w:t>
            </w:r>
          </w:p>
        </w:tc>
        <w:tc>
          <w:tcPr>
            <w:tcW w:w="1865" w:type="pct"/>
            <w:vAlign w:val="center"/>
          </w:tcPr>
          <w:p w14:paraId="0B129570">
            <w:pPr>
              <w:spacing w:before="0" w:beforeLines="0" w:line="240" w:lineRule="auto"/>
              <w:ind w:left="0" w:leftChars="0" w:firstLine="0" w:firstLineChars="0"/>
              <w:jc w:val="both"/>
              <w:rPr>
                <w:rFonts w:hint="eastAsia" w:eastAsia="宋体"/>
                <w:sz w:val="24"/>
                <w:szCs w:val="24"/>
                <w:lang w:eastAsia="zh-CN"/>
              </w:rPr>
            </w:pPr>
            <w:r>
              <w:rPr>
                <w:color w:val="000000"/>
                <w:sz w:val="24"/>
                <w:szCs w:val="24"/>
              </w:rPr>
              <w:t>负责所在小组项目工作的组织实施，及时汇报工作进展，</w:t>
            </w:r>
            <w:r>
              <w:rPr>
                <w:rFonts w:hint="eastAsia"/>
                <w:color w:val="000000"/>
                <w:sz w:val="24"/>
                <w:szCs w:val="24"/>
                <w:lang w:val="en-US" w:eastAsia="zh-CN"/>
              </w:rPr>
              <w:t>协调</w:t>
            </w:r>
            <w:r>
              <w:rPr>
                <w:color w:val="000000"/>
                <w:sz w:val="24"/>
                <w:szCs w:val="24"/>
              </w:rPr>
              <w:t>安排人员等工作，参与报告撰写，质量控制等</w:t>
            </w:r>
            <w:r>
              <w:rPr>
                <w:rFonts w:hint="eastAsia"/>
                <w:color w:val="000000"/>
                <w:sz w:val="24"/>
                <w:szCs w:val="24"/>
                <w:lang w:eastAsia="zh-CN"/>
              </w:rPr>
              <w:t>。</w:t>
            </w:r>
          </w:p>
        </w:tc>
      </w:tr>
      <w:tr w14:paraId="16B5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0" w:type="pct"/>
            <w:vAlign w:val="center"/>
          </w:tcPr>
          <w:p w14:paraId="366BAE2D">
            <w:pPr>
              <w:spacing w:before="0" w:beforeLines="0" w:line="240" w:lineRule="auto"/>
              <w:ind w:firstLine="0" w:firstLineChars="0"/>
              <w:jc w:val="center"/>
              <w:rPr>
                <w:rFonts w:hint="default" w:eastAsia="宋体"/>
                <w:sz w:val="24"/>
                <w:szCs w:val="24"/>
                <w:lang w:val="en-US" w:eastAsia="zh-CN"/>
              </w:rPr>
            </w:pPr>
            <w:r>
              <w:rPr>
                <w:rFonts w:hint="eastAsia"/>
                <w:sz w:val="24"/>
                <w:szCs w:val="24"/>
                <w:lang w:val="en-US" w:eastAsia="zh-CN"/>
              </w:rPr>
              <w:t>李桂珍</w:t>
            </w:r>
          </w:p>
        </w:tc>
        <w:tc>
          <w:tcPr>
            <w:tcW w:w="533" w:type="pct"/>
            <w:vAlign w:val="center"/>
          </w:tcPr>
          <w:p w14:paraId="2FD66FA7">
            <w:pPr>
              <w:spacing w:before="0" w:beforeLines="0" w:line="240" w:lineRule="auto"/>
              <w:ind w:firstLine="0" w:firstLineChars="0"/>
              <w:jc w:val="center"/>
              <w:rPr>
                <w:rFonts w:hint="eastAsia" w:eastAsia="宋体"/>
                <w:sz w:val="24"/>
                <w:szCs w:val="24"/>
                <w:lang w:eastAsia="zh-CN"/>
              </w:rPr>
            </w:pPr>
            <w:r>
              <w:rPr>
                <w:rFonts w:hint="eastAsia"/>
                <w:color w:val="000000"/>
                <w:sz w:val="24"/>
                <w:szCs w:val="24"/>
                <w:lang w:val="en-US" w:eastAsia="zh-CN"/>
              </w:rPr>
              <w:t>女</w:t>
            </w:r>
          </w:p>
        </w:tc>
        <w:tc>
          <w:tcPr>
            <w:tcW w:w="731" w:type="pct"/>
            <w:vAlign w:val="center"/>
          </w:tcPr>
          <w:p w14:paraId="026E9A16">
            <w:pPr>
              <w:spacing w:before="0" w:beforeLines="0" w:line="240" w:lineRule="auto"/>
              <w:ind w:firstLine="0" w:firstLineChars="0"/>
              <w:jc w:val="center"/>
              <w:rPr>
                <w:color w:val="000000"/>
                <w:sz w:val="24"/>
                <w:szCs w:val="24"/>
                <w:highlight w:val="none"/>
              </w:rPr>
            </w:pPr>
            <w:r>
              <w:rPr>
                <w:color w:val="000000"/>
                <w:sz w:val="24"/>
                <w:szCs w:val="24"/>
                <w:highlight w:val="none"/>
              </w:rPr>
              <w:t>项目组</w:t>
            </w:r>
          </w:p>
          <w:p w14:paraId="50B9E630">
            <w:pPr>
              <w:spacing w:before="0" w:beforeLines="0" w:line="240" w:lineRule="auto"/>
              <w:ind w:firstLine="0" w:firstLineChars="0"/>
              <w:jc w:val="center"/>
              <w:rPr>
                <w:sz w:val="24"/>
                <w:szCs w:val="24"/>
                <w:highlight w:val="none"/>
              </w:rPr>
            </w:pPr>
            <w:r>
              <w:rPr>
                <w:color w:val="000000"/>
                <w:sz w:val="24"/>
                <w:szCs w:val="24"/>
                <w:highlight w:val="none"/>
              </w:rPr>
              <w:t>成员</w:t>
            </w:r>
          </w:p>
        </w:tc>
        <w:tc>
          <w:tcPr>
            <w:tcW w:w="1148" w:type="pct"/>
            <w:vAlign w:val="center"/>
          </w:tcPr>
          <w:p w14:paraId="4C14AAA7">
            <w:pPr>
              <w:spacing w:before="0" w:beforeLines="0" w:line="240" w:lineRule="auto"/>
              <w:ind w:firstLine="0" w:firstLineChars="0"/>
              <w:jc w:val="center"/>
              <w:rPr>
                <w:rFonts w:hint="eastAsia" w:eastAsia="宋体"/>
                <w:color w:val="000000"/>
                <w:sz w:val="24"/>
                <w:szCs w:val="24"/>
                <w:highlight w:val="none"/>
                <w:lang w:val="en-US" w:eastAsia="zh-CN"/>
              </w:rPr>
            </w:pPr>
            <w:r>
              <w:rPr>
                <w:rFonts w:hint="eastAsia" w:eastAsia="宋体"/>
                <w:color w:val="000000"/>
                <w:sz w:val="24"/>
                <w:szCs w:val="24"/>
                <w:highlight w:val="none"/>
                <w:lang w:val="en-US" w:eastAsia="zh-CN"/>
              </w:rPr>
              <w:t>注册</w:t>
            </w:r>
            <w:r>
              <w:rPr>
                <w:rFonts w:hint="eastAsia"/>
                <w:color w:val="000000"/>
                <w:sz w:val="24"/>
                <w:szCs w:val="24"/>
                <w:highlight w:val="none"/>
                <w:lang w:val="en-US" w:eastAsia="zh-CN"/>
              </w:rPr>
              <w:t>会计师</w:t>
            </w:r>
            <w:r>
              <w:rPr>
                <w:rFonts w:hint="eastAsia" w:eastAsia="宋体"/>
                <w:color w:val="000000"/>
                <w:sz w:val="24"/>
                <w:szCs w:val="24"/>
                <w:highlight w:val="none"/>
                <w:lang w:val="en-US" w:eastAsia="zh-CN"/>
              </w:rPr>
              <w:t>、</w:t>
            </w:r>
          </w:p>
          <w:p w14:paraId="6A3FDBF7">
            <w:pPr>
              <w:spacing w:before="0" w:beforeLines="0" w:line="240" w:lineRule="auto"/>
              <w:ind w:firstLine="0" w:firstLineChars="0"/>
              <w:jc w:val="center"/>
              <w:rPr>
                <w:sz w:val="24"/>
                <w:szCs w:val="24"/>
                <w:highlight w:val="none"/>
              </w:rPr>
            </w:pPr>
            <w:r>
              <w:rPr>
                <w:rFonts w:hint="eastAsia"/>
                <w:color w:val="000000"/>
                <w:sz w:val="24"/>
                <w:szCs w:val="24"/>
                <w:highlight w:val="none"/>
                <w:lang w:val="en-US" w:eastAsia="zh-CN"/>
              </w:rPr>
              <w:t>中级</w:t>
            </w:r>
            <w:r>
              <w:rPr>
                <w:color w:val="000000"/>
                <w:sz w:val="24"/>
                <w:szCs w:val="24"/>
                <w:highlight w:val="none"/>
              </w:rPr>
              <w:t>绩效评价师</w:t>
            </w:r>
          </w:p>
        </w:tc>
        <w:tc>
          <w:tcPr>
            <w:tcW w:w="1865" w:type="pct"/>
            <w:vAlign w:val="center"/>
          </w:tcPr>
          <w:p w14:paraId="208DF719">
            <w:pPr>
              <w:spacing w:before="0" w:beforeLines="0" w:line="240" w:lineRule="auto"/>
              <w:ind w:firstLine="0" w:firstLineChars="0"/>
              <w:jc w:val="both"/>
              <w:rPr>
                <w:rFonts w:hint="eastAsia" w:eastAsia="宋体"/>
                <w:sz w:val="24"/>
                <w:szCs w:val="24"/>
                <w:lang w:eastAsia="zh-CN"/>
              </w:rPr>
            </w:pPr>
            <w:r>
              <w:rPr>
                <w:color w:val="000000"/>
                <w:sz w:val="24"/>
                <w:szCs w:val="24"/>
              </w:rPr>
              <w:t>直接参与项目的实施和操作，参与指标体系研制，主要参与方案制定、数据汇总分析、报告撰写等</w:t>
            </w:r>
            <w:r>
              <w:rPr>
                <w:rFonts w:hint="eastAsia"/>
                <w:color w:val="000000"/>
                <w:sz w:val="24"/>
                <w:szCs w:val="24"/>
                <w:lang w:eastAsia="zh-CN"/>
              </w:rPr>
              <w:t>。</w:t>
            </w:r>
          </w:p>
        </w:tc>
      </w:tr>
      <w:tr w14:paraId="64D6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0" w:type="pct"/>
            <w:vAlign w:val="center"/>
          </w:tcPr>
          <w:p w14:paraId="1AA792B0">
            <w:pPr>
              <w:spacing w:before="0" w:beforeLines="0" w:line="240" w:lineRule="auto"/>
              <w:ind w:firstLine="0" w:firstLineChars="0"/>
              <w:jc w:val="center"/>
              <w:rPr>
                <w:rFonts w:hint="eastAsia" w:eastAsia="宋体"/>
                <w:sz w:val="24"/>
                <w:szCs w:val="24"/>
                <w:lang w:eastAsia="zh-CN"/>
              </w:rPr>
            </w:pPr>
            <w:r>
              <w:rPr>
                <w:rFonts w:hint="eastAsia"/>
                <w:color w:val="000000"/>
                <w:sz w:val="24"/>
                <w:szCs w:val="24"/>
                <w:lang w:val="en-US" w:eastAsia="zh-CN"/>
              </w:rPr>
              <w:t>李建峡</w:t>
            </w:r>
          </w:p>
        </w:tc>
        <w:tc>
          <w:tcPr>
            <w:tcW w:w="533" w:type="pct"/>
            <w:vAlign w:val="center"/>
          </w:tcPr>
          <w:p w14:paraId="63400EA7">
            <w:pPr>
              <w:spacing w:before="0" w:beforeLines="0" w:line="240" w:lineRule="auto"/>
              <w:ind w:firstLine="0" w:firstLineChars="0"/>
              <w:jc w:val="center"/>
              <w:rPr>
                <w:rFonts w:hint="eastAsia" w:eastAsia="宋体"/>
                <w:sz w:val="24"/>
                <w:szCs w:val="24"/>
                <w:lang w:eastAsia="zh-CN"/>
              </w:rPr>
            </w:pPr>
            <w:r>
              <w:rPr>
                <w:rFonts w:hint="eastAsia"/>
                <w:color w:val="000000"/>
                <w:sz w:val="24"/>
                <w:szCs w:val="24"/>
                <w:lang w:val="en-US" w:eastAsia="zh-CN"/>
              </w:rPr>
              <w:t>女</w:t>
            </w:r>
          </w:p>
        </w:tc>
        <w:tc>
          <w:tcPr>
            <w:tcW w:w="731" w:type="pct"/>
            <w:vAlign w:val="center"/>
          </w:tcPr>
          <w:p w14:paraId="54C01A88">
            <w:pPr>
              <w:spacing w:before="0" w:beforeLines="0" w:line="240" w:lineRule="auto"/>
              <w:ind w:firstLine="0" w:firstLineChars="0"/>
              <w:jc w:val="center"/>
              <w:rPr>
                <w:color w:val="000000"/>
                <w:sz w:val="24"/>
                <w:szCs w:val="24"/>
              </w:rPr>
            </w:pPr>
            <w:r>
              <w:rPr>
                <w:color w:val="000000"/>
                <w:sz w:val="24"/>
                <w:szCs w:val="24"/>
              </w:rPr>
              <w:t>项目组</w:t>
            </w:r>
          </w:p>
          <w:p w14:paraId="4C1AEA92">
            <w:pPr>
              <w:spacing w:before="0" w:beforeLines="0" w:line="240" w:lineRule="auto"/>
              <w:ind w:firstLine="0" w:firstLineChars="0"/>
              <w:jc w:val="center"/>
              <w:rPr>
                <w:sz w:val="24"/>
                <w:szCs w:val="24"/>
              </w:rPr>
            </w:pPr>
            <w:r>
              <w:rPr>
                <w:color w:val="000000"/>
                <w:sz w:val="24"/>
                <w:szCs w:val="24"/>
              </w:rPr>
              <w:t>成员</w:t>
            </w:r>
          </w:p>
        </w:tc>
        <w:tc>
          <w:tcPr>
            <w:tcW w:w="1148" w:type="pct"/>
            <w:vAlign w:val="center"/>
          </w:tcPr>
          <w:p w14:paraId="6E3845C8">
            <w:pPr>
              <w:spacing w:before="0" w:beforeLines="0" w:line="240" w:lineRule="auto"/>
              <w:ind w:firstLine="0" w:firstLineChars="0"/>
              <w:jc w:val="center"/>
              <w:rPr>
                <w:color w:val="000000"/>
                <w:sz w:val="24"/>
                <w:szCs w:val="24"/>
              </w:rPr>
            </w:pPr>
            <w:r>
              <w:rPr>
                <w:rFonts w:hint="eastAsia" w:eastAsia="宋体"/>
                <w:color w:val="000000"/>
                <w:sz w:val="24"/>
                <w:szCs w:val="24"/>
                <w:lang w:val="en-US" w:eastAsia="zh-CN"/>
              </w:rPr>
              <w:t>注册会计师、</w:t>
            </w:r>
          </w:p>
          <w:p w14:paraId="734FF924">
            <w:pPr>
              <w:spacing w:before="0" w:beforeLines="0" w:line="240" w:lineRule="auto"/>
              <w:ind w:firstLine="0" w:firstLineChars="0"/>
              <w:jc w:val="center"/>
              <w:rPr>
                <w:sz w:val="24"/>
                <w:szCs w:val="24"/>
              </w:rPr>
            </w:pPr>
            <w:r>
              <w:rPr>
                <w:color w:val="000000"/>
                <w:sz w:val="24"/>
                <w:szCs w:val="24"/>
              </w:rPr>
              <w:t>绩效评价师</w:t>
            </w:r>
          </w:p>
        </w:tc>
        <w:tc>
          <w:tcPr>
            <w:tcW w:w="1865" w:type="pct"/>
            <w:vAlign w:val="center"/>
          </w:tcPr>
          <w:p w14:paraId="4EBBF77C">
            <w:pPr>
              <w:spacing w:before="0" w:beforeLines="0" w:line="240" w:lineRule="auto"/>
              <w:ind w:firstLine="0" w:firstLineChars="0"/>
              <w:jc w:val="both"/>
              <w:rPr>
                <w:rFonts w:hint="eastAsia" w:eastAsia="宋体"/>
                <w:sz w:val="24"/>
                <w:szCs w:val="24"/>
                <w:lang w:eastAsia="zh-CN"/>
              </w:rPr>
            </w:pPr>
            <w:r>
              <w:rPr>
                <w:color w:val="000000"/>
                <w:sz w:val="24"/>
                <w:szCs w:val="24"/>
              </w:rPr>
              <w:t>直接参与项目的实施和操作，参与指标体系研制，主要参与方案制定、数据采集、报告撰写</w:t>
            </w:r>
            <w:r>
              <w:rPr>
                <w:rFonts w:hint="eastAsia"/>
                <w:color w:val="000000"/>
                <w:sz w:val="24"/>
                <w:szCs w:val="24"/>
                <w:lang w:eastAsia="zh-CN"/>
              </w:rPr>
              <w:t>。</w:t>
            </w:r>
          </w:p>
        </w:tc>
      </w:tr>
      <w:tr w14:paraId="7092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0" w:type="pct"/>
            <w:shd w:val="clear" w:color="auto" w:fill="auto"/>
            <w:vAlign w:val="center"/>
          </w:tcPr>
          <w:p w14:paraId="18C199A3">
            <w:pPr>
              <w:spacing w:before="0" w:beforeLines="0" w:line="240" w:lineRule="auto"/>
              <w:ind w:firstLine="0" w:firstLineChars="0"/>
              <w:jc w:val="center"/>
              <w:rPr>
                <w:rFonts w:hint="eastAsia" w:ascii="宋体" w:hAnsi="宋体" w:eastAsia="宋体" w:cs="宋体"/>
                <w:color w:val="000000"/>
                <w:sz w:val="24"/>
                <w:szCs w:val="24"/>
                <w:lang w:val="en-US" w:eastAsia="zh-CN"/>
              </w:rPr>
            </w:pPr>
            <w:r>
              <w:rPr>
                <w:rFonts w:hint="eastAsia"/>
                <w:color w:val="000000"/>
                <w:sz w:val="24"/>
                <w:szCs w:val="24"/>
                <w:lang w:val="en-US" w:eastAsia="zh-CN"/>
              </w:rPr>
              <w:t>张宏宽</w:t>
            </w:r>
          </w:p>
        </w:tc>
        <w:tc>
          <w:tcPr>
            <w:tcW w:w="533" w:type="pct"/>
            <w:shd w:val="clear" w:color="auto" w:fill="auto"/>
            <w:vAlign w:val="center"/>
          </w:tcPr>
          <w:p w14:paraId="5D3E95D7">
            <w:pPr>
              <w:spacing w:before="0" w:beforeLines="0" w:line="240" w:lineRule="auto"/>
              <w:ind w:firstLine="0" w:firstLineChars="0"/>
              <w:jc w:val="center"/>
              <w:rPr>
                <w:rFonts w:hint="eastAsia" w:ascii="宋体" w:hAnsi="宋体" w:eastAsia="宋体" w:cs="宋体"/>
                <w:color w:val="000000"/>
                <w:sz w:val="24"/>
                <w:szCs w:val="24"/>
                <w:lang w:val="en-US" w:eastAsia="zh-CN"/>
              </w:rPr>
            </w:pPr>
            <w:r>
              <w:rPr>
                <w:rFonts w:hint="eastAsia"/>
                <w:color w:val="000000"/>
                <w:sz w:val="24"/>
                <w:szCs w:val="24"/>
                <w:lang w:val="en-US" w:eastAsia="zh-CN"/>
              </w:rPr>
              <w:t>男</w:t>
            </w:r>
          </w:p>
        </w:tc>
        <w:tc>
          <w:tcPr>
            <w:tcW w:w="731" w:type="pct"/>
            <w:shd w:val="clear" w:color="auto" w:fill="auto"/>
            <w:vAlign w:val="center"/>
          </w:tcPr>
          <w:p w14:paraId="52B5AEF8">
            <w:pPr>
              <w:spacing w:before="0" w:beforeLines="0" w:line="240" w:lineRule="auto"/>
              <w:ind w:firstLine="0" w:firstLineChars="0"/>
              <w:jc w:val="center"/>
              <w:rPr>
                <w:color w:val="000000"/>
                <w:sz w:val="24"/>
                <w:szCs w:val="24"/>
              </w:rPr>
            </w:pPr>
            <w:r>
              <w:rPr>
                <w:color w:val="000000"/>
                <w:sz w:val="24"/>
                <w:szCs w:val="24"/>
              </w:rPr>
              <w:t>项目组</w:t>
            </w:r>
          </w:p>
          <w:p w14:paraId="0B9E68C2">
            <w:pPr>
              <w:spacing w:before="0" w:beforeLines="0" w:line="240" w:lineRule="auto"/>
              <w:ind w:firstLine="0" w:firstLineChars="0"/>
              <w:jc w:val="center"/>
              <w:rPr>
                <w:rFonts w:ascii="宋体" w:hAnsi="宋体" w:eastAsia="宋体" w:cs="宋体"/>
                <w:color w:val="000000"/>
                <w:sz w:val="24"/>
                <w:szCs w:val="24"/>
              </w:rPr>
            </w:pPr>
            <w:r>
              <w:rPr>
                <w:color w:val="000000"/>
                <w:sz w:val="24"/>
                <w:szCs w:val="24"/>
              </w:rPr>
              <w:t>成员</w:t>
            </w:r>
          </w:p>
        </w:tc>
        <w:tc>
          <w:tcPr>
            <w:tcW w:w="1148" w:type="pct"/>
            <w:shd w:val="clear" w:color="auto" w:fill="auto"/>
            <w:vAlign w:val="center"/>
          </w:tcPr>
          <w:p w14:paraId="63588F98">
            <w:pPr>
              <w:spacing w:before="0" w:beforeLines="0" w:line="240" w:lineRule="auto"/>
              <w:ind w:firstLine="0" w:firstLineChars="0"/>
              <w:jc w:val="center"/>
              <w:rPr>
                <w:rFonts w:hint="eastAsia" w:ascii="宋体" w:hAnsi="宋体" w:eastAsia="宋体" w:cs="宋体"/>
                <w:color w:val="000000"/>
                <w:sz w:val="24"/>
                <w:szCs w:val="24"/>
                <w:lang w:val="en-US" w:eastAsia="zh-CN"/>
              </w:rPr>
            </w:pPr>
            <w:r>
              <w:rPr>
                <w:rFonts w:hint="eastAsia"/>
                <w:color w:val="000000"/>
                <w:sz w:val="24"/>
                <w:szCs w:val="24"/>
                <w:lang w:val="en-US" w:eastAsia="zh-CN"/>
              </w:rPr>
              <w:t>工程师</w:t>
            </w:r>
          </w:p>
        </w:tc>
        <w:tc>
          <w:tcPr>
            <w:tcW w:w="1865" w:type="pct"/>
            <w:shd w:val="clear" w:color="auto" w:fill="auto"/>
            <w:vAlign w:val="center"/>
          </w:tcPr>
          <w:p w14:paraId="72C31051">
            <w:pPr>
              <w:spacing w:before="0" w:beforeLines="0" w:line="240" w:lineRule="auto"/>
              <w:ind w:firstLine="0" w:firstLineChars="0"/>
              <w:jc w:val="both"/>
              <w:rPr>
                <w:rFonts w:ascii="宋体" w:hAnsi="宋体" w:eastAsia="宋体" w:cs="宋体"/>
                <w:color w:val="000000"/>
                <w:sz w:val="24"/>
                <w:szCs w:val="24"/>
              </w:rPr>
            </w:pPr>
            <w:r>
              <w:rPr>
                <w:color w:val="000000"/>
                <w:sz w:val="24"/>
                <w:szCs w:val="24"/>
              </w:rPr>
              <w:t>直接参与项目的实施和操作，参与指标体系研制，主要参与方案制定、数据采集、</w:t>
            </w:r>
            <w:r>
              <w:rPr>
                <w:rFonts w:hint="eastAsia"/>
                <w:color w:val="000000"/>
                <w:sz w:val="24"/>
                <w:szCs w:val="24"/>
                <w:lang w:val="en-US" w:eastAsia="zh-CN"/>
              </w:rPr>
              <w:t>现场调研、提出专家建议</w:t>
            </w:r>
            <w:r>
              <w:rPr>
                <w:rFonts w:hint="eastAsia"/>
                <w:color w:val="000000"/>
                <w:sz w:val="24"/>
                <w:szCs w:val="24"/>
                <w:lang w:eastAsia="zh-CN"/>
              </w:rPr>
              <w:t>。</w:t>
            </w:r>
          </w:p>
        </w:tc>
      </w:tr>
      <w:tr w14:paraId="42FB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0" w:type="pct"/>
            <w:vAlign w:val="center"/>
          </w:tcPr>
          <w:p w14:paraId="1B29E3B5">
            <w:pPr>
              <w:spacing w:before="0" w:beforeLines="0" w:line="240" w:lineRule="auto"/>
              <w:ind w:firstLine="0" w:firstLineChars="0"/>
              <w:jc w:val="center"/>
              <w:rPr>
                <w:rFonts w:hint="eastAsia" w:eastAsia="宋体"/>
                <w:sz w:val="24"/>
                <w:szCs w:val="24"/>
                <w:lang w:eastAsia="zh-CN"/>
              </w:rPr>
            </w:pPr>
            <w:r>
              <w:rPr>
                <w:rFonts w:hint="eastAsia"/>
                <w:color w:val="000000"/>
                <w:sz w:val="24"/>
                <w:szCs w:val="24"/>
                <w:lang w:val="en-US" w:eastAsia="zh-CN"/>
              </w:rPr>
              <w:t>曾庆霞</w:t>
            </w:r>
          </w:p>
        </w:tc>
        <w:tc>
          <w:tcPr>
            <w:tcW w:w="533" w:type="pct"/>
            <w:vAlign w:val="center"/>
          </w:tcPr>
          <w:p w14:paraId="48F59ACA">
            <w:pPr>
              <w:spacing w:before="0" w:beforeLines="0" w:line="240" w:lineRule="auto"/>
              <w:ind w:firstLine="0" w:firstLineChars="0"/>
              <w:jc w:val="center"/>
              <w:rPr>
                <w:sz w:val="24"/>
                <w:szCs w:val="24"/>
              </w:rPr>
            </w:pPr>
            <w:r>
              <w:rPr>
                <w:color w:val="000000"/>
                <w:sz w:val="24"/>
                <w:szCs w:val="24"/>
              </w:rPr>
              <w:t>女</w:t>
            </w:r>
          </w:p>
        </w:tc>
        <w:tc>
          <w:tcPr>
            <w:tcW w:w="731" w:type="pct"/>
            <w:vAlign w:val="center"/>
          </w:tcPr>
          <w:p w14:paraId="71A40E4C">
            <w:pPr>
              <w:spacing w:before="0" w:beforeLines="0" w:line="240" w:lineRule="auto"/>
              <w:ind w:firstLine="0" w:firstLineChars="0"/>
              <w:jc w:val="center"/>
              <w:rPr>
                <w:color w:val="000000"/>
                <w:sz w:val="24"/>
                <w:szCs w:val="24"/>
              </w:rPr>
            </w:pPr>
            <w:r>
              <w:rPr>
                <w:color w:val="000000"/>
                <w:sz w:val="24"/>
                <w:szCs w:val="24"/>
              </w:rPr>
              <w:t>项目组</w:t>
            </w:r>
          </w:p>
          <w:p w14:paraId="2086C10E">
            <w:pPr>
              <w:spacing w:before="0" w:beforeLines="0" w:line="240" w:lineRule="auto"/>
              <w:ind w:firstLine="0" w:firstLineChars="0"/>
              <w:jc w:val="center"/>
              <w:rPr>
                <w:sz w:val="24"/>
                <w:szCs w:val="24"/>
              </w:rPr>
            </w:pPr>
            <w:r>
              <w:rPr>
                <w:color w:val="000000"/>
                <w:sz w:val="24"/>
                <w:szCs w:val="24"/>
              </w:rPr>
              <w:t>成员</w:t>
            </w:r>
          </w:p>
        </w:tc>
        <w:tc>
          <w:tcPr>
            <w:tcW w:w="1148" w:type="pct"/>
            <w:vAlign w:val="center"/>
          </w:tcPr>
          <w:p w14:paraId="2AF65C12">
            <w:pPr>
              <w:spacing w:before="0" w:beforeLines="0" w:line="240" w:lineRule="auto"/>
              <w:ind w:firstLine="0" w:firstLineChars="0"/>
              <w:jc w:val="center"/>
              <w:rPr>
                <w:sz w:val="24"/>
                <w:szCs w:val="24"/>
              </w:rPr>
            </w:pPr>
            <w:r>
              <w:rPr>
                <w:rFonts w:hint="eastAsia" w:eastAsia="宋体"/>
                <w:color w:val="000000"/>
                <w:sz w:val="24"/>
                <w:szCs w:val="24"/>
                <w:lang w:val="en-US" w:eastAsia="zh-CN"/>
              </w:rPr>
              <w:t>注册会计师</w:t>
            </w:r>
          </w:p>
        </w:tc>
        <w:tc>
          <w:tcPr>
            <w:tcW w:w="1865" w:type="pct"/>
            <w:vAlign w:val="center"/>
          </w:tcPr>
          <w:p w14:paraId="280252BF">
            <w:pPr>
              <w:spacing w:before="0" w:beforeLines="0" w:line="240" w:lineRule="auto"/>
              <w:ind w:firstLine="0" w:firstLineChars="0"/>
              <w:jc w:val="both"/>
              <w:rPr>
                <w:rFonts w:hint="eastAsia" w:eastAsia="宋体"/>
                <w:sz w:val="24"/>
                <w:szCs w:val="24"/>
                <w:lang w:val="en-US" w:eastAsia="zh-CN"/>
              </w:rPr>
            </w:pPr>
            <w:r>
              <w:rPr>
                <w:color w:val="000000"/>
                <w:sz w:val="24"/>
                <w:szCs w:val="24"/>
              </w:rPr>
              <w:t>直接参与项目的实施和操作，参与指标体系研制，主要参与方案制定、数据采集、报告撰写</w:t>
            </w:r>
            <w:r>
              <w:rPr>
                <w:rFonts w:hint="eastAsia" w:eastAsia="宋体"/>
                <w:color w:val="000000"/>
                <w:sz w:val="24"/>
                <w:szCs w:val="24"/>
                <w:lang w:val="en-US" w:eastAsia="zh-CN"/>
              </w:rPr>
              <w:t>等</w:t>
            </w:r>
            <w:r>
              <w:rPr>
                <w:rFonts w:hint="eastAsia"/>
                <w:color w:val="000000"/>
                <w:sz w:val="24"/>
                <w:szCs w:val="24"/>
                <w:lang w:val="en-US" w:eastAsia="zh-CN"/>
              </w:rPr>
              <w:t>。</w:t>
            </w:r>
          </w:p>
        </w:tc>
      </w:tr>
      <w:tr w14:paraId="427D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17" w:hRule="atLeast"/>
          <w:jc w:val="right"/>
        </w:trPr>
        <w:tc>
          <w:tcPr>
            <w:tcW w:w="720" w:type="pct"/>
            <w:shd w:val="clear" w:color="auto" w:fill="auto"/>
            <w:vAlign w:val="center"/>
          </w:tcPr>
          <w:p w14:paraId="232813DD">
            <w:pPr>
              <w:spacing w:before="0" w:beforeLines="0" w:line="240" w:lineRule="auto"/>
              <w:ind w:firstLine="0" w:firstLineChars="0"/>
              <w:jc w:val="center"/>
              <w:rPr>
                <w:rFonts w:hint="eastAsia" w:ascii="宋体" w:hAnsi="宋体" w:eastAsia="宋体" w:cs="宋体"/>
                <w:color w:val="000000"/>
                <w:sz w:val="24"/>
                <w:szCs w:val="24"/>
                <w:lang w:val="en-US" w:eastAsia="zh-CN"/>
              </w:rPr>
            </w:pPr>
            <w:r>
              <w:rPr>
                <w:rFonts w:hint="eastAsia"/>
                <w:color w:val="000000"/>
                <w:sz w:val="24"/>
                <w:szCs w:val="24"/>
                <w:lang w:val="en-US" w:eastAsia="zh-CN"/>
              </w:rPr>
              <w:t>姚扬帆</w:t>
            </w:r>
          </w:p>
        </w:tc>
        <w:tc>
          <w:tcPr>
            <w:tcW w:w="533" w:type="pct"/>
            <w:shd w:val="clear" w:color="auto" w:fill="auto"/>
            <w:vAlign w:val="center"/>
          </w:tcPr>
          <w:p w14:paraId="2E22CC14">
            <w:pPr>
              <w:spacing w:before="0" w:beforeLines="0" w:line="240" w:lineRule="auto"/>
              <w:ind w:firstLine="0" w:firstLineChars="0"/>
              <w:jc w:val="center"/>
              <w:rPr>
                <w:rFonts w:hint="eastAsia" w:ascii="宋体" w:hAnsi="宋体" w:eastAsia="宋体" w:cs="宋体"/>
                <w:color w:val="000000"/>
                <w:sz w:val="24"/>
                <w:szCs w:val="24"/>
                <w:lang w:val="en-US" w:eastAsia="zh-CN"/>
              </w:rPr>
            </w:pPr>
            <w:r>
              <w:rPr>
                <w:rFonts w:hint="eastAsia"/>
                <w:color w:val="000000"/>
                <w:sz w:val="24"/>
                <w:szCs w:val="24"/>
                <w:lang w:val="en-US" w:eastAsia="zh-CN"/>
              </w:rPr>
              <w:t>男</w:t>
            </w:r>
          </w:p>
        </w:tc>
        <w:tc>
          <w:tcPr>
            <w:tcW w:w="731" w:type="pct"/>
            <w:shd w:val="clear" w:color="auto" w:fill="auto"/>
            <w:vAlign w:val="center"/>
          </w:tcPr>
          <w:p w14:paraId="39E4CCC6">
            <w:pPr>
              <w:spacing w:before="0" w:beforeLines="0" w:line="240" w:lineRule="auto"/>
              <w:ind w:firstLine="0" w:firstLineChars="0"/>
              <w:jc w:val="center"/>
              <w:rPr>
                <w:color w:val="000000"/>
                <w:sz w:val="24"/>
                <w:szCs w:val="24"/>
              </w:rPr>
            </w:pPr>
            <w:r>
              <w:rPr>
                <w:color w:val="000000"/>
                <w:sz w:val="24"/>
                <w:szCs w:val="24"/>
              </w:rPr>
              <w:t>项目组</w:t>
            </w:r>
          </w:p>
          <w:p w14:paraId="2E6F3665">
            <w:pPr>
              <w:spacing w:before="0" w:beforeLines="0" w:line="240" w:lineRule="auto"/>
              <w:ind w:firstLine="0" w:firstLineChars="0"/>
              <w:jc w:val="center"/>
              <w:rPr>
                <w:rFonts w:ascii="宋体" w:hAnsi="宋体" w:eastAsia="宋体" w:cs="宋体"/>
                <w:color w:val="000000"/>
                <w:sz w:val="24"/>
                <w:szCs w:val="24"/>
              </w:rPr>
            </w:pPr>
            <w:r>
              <w:rPr>
                <w:color w:val="000000"/>
                <w:sz w:val="24"/>
                <w:szCs w:val="24"/>
              </w:rPr>
              <w:t>成员</w:t>
            </w:r>
          </w:p>
        </w:tc>
        <w:tc>
          <w:tcPr>
            <w:tcW w:w="1148" w:type="pct"/>
            <w:shd w:val="clear" w:color="auto" w:fill="auto"/>
            <w:vAlign w:val="center"/>
          </w:tcPr>
          <w:p w14:paraId="320E3F88">
            <w:pPr>
              <w:spacing w:before="0" w:beforeLines="0" w:line="240" w:lineRule="auto"/>
              <w:ind w:firstLine="0" w:firstLineChars="0"/>
              <w:jc w:val="center"/>
              <w:rPr>
                <w:rFonts w:hint="eastAsia" w:ascii="宋体" w:hAnsi="宋体" w:eastAsia="宋体" w:cs="宋体"/>
                <w:color w:val="000000"/>
                <w:sz w:val="24"/>
                <w:szCs w:val="24"/>
                <w:lang w:val="en-US" w:eastAsia="zh-CN"/>
              </w:rPr>
            </w:pPr>
            <w:r>
              <w:rPr>
                <w:color w:val="000000"/>
                <w:sz w:val="24"/>
                <w:szCs w:val="24"/>
              </w:rPr>
              <w:t>绩效评价师</w:t>
            </w:r>
          </w:p>
        </w:tc>
        <w:tc>
          <w:tcPr>
            <w:tcW w:w="1865" w:type="pct"/>
            <w:shd w:val="clear" w:color="auto" w:fill="auto"/>
            <w:vAlign w:val="center"/>
          </w:tcPr>
          <w:p w14:paraId="301FADB6">
            <w:pPr>
              <w:spacing w:before="0" w:beforeLines="0" w:line="240" w:lineRule="auto"/>
              <w:ind w:firstLine="0" w:firstLineChars="0"/>
              <w:jc w:val="both"/>
              <w:rPr>
                <w:rFonts w:ascii="宋体" w:hAnsi="宋体" w:eastAsia="宋体" w:cs="宋体"/>
                <w:color w:val="000000"/>
                <w:sz w:val="24"/>
                <w:szCs w:val="24"/>
              </w:rPr>
            </w:pPr>
            <w:r>
              <w:rPr>
                <w:color w:val="000000"/>
                <w:sz w:val="24"/>
                <w:szCs w:val="24"/>
              </w:rPr>
              <w:t>直接参与项目的实施和操作，参与指标体系研制，主要参与方案制定、数据采集、报告撰写</w:t>
            </w:r>
            <w:r>
              <w:rPr>
                <w:rFonts w:hint="eastAsia" w:eastAsia="宋体"/>
                <w:color w:val="000000"/>
                <w:sz w:val="24"/>
                <w:szCs w:val="24"/>
                <w:lang w:val="en-US" w:eastAsia="zh-CN"/>
              </w:rPr>
              <w:t>等</w:t>
            </w:r>
            <w:r>
              <w:rPr>
                <w:rFonts w:hint="eastAsia"/>
                <w:color w:val="000000"/>
                <w:sz w:val="24"/>
                <w:szCs w:val="24"/>
                <w:lang w:val="en-US" w:eastAsia="zh-CN"/>
              </w:rPr>
              <w:t>。</w:t>
            </w:r>
          </w:p>
        </w:tc>
      </w:tr>
    </w:tbl>
    <w:p w14:paraId="669460E4">
      <w:pPr>
        <w:bidi w:val="0"/>
        <w:rPr>
          <w:highlight w:val="none"/>
          <w:lang w:val="en-US" w:eastAsia="zh-CN"/>
        </w:rPr>
      </w:pPr>
    </w:p>
    <w:p w14:paraId="61B03A20">
      <w:pPr>
        <w:pStyle w:val="2"/>
        <w:bidi w:val="0"/>
      </w:pPr>
      <w:bookmarkStart w:id="47" w:name="_Toc18268"/>
      <w:r>
        <w:t>三、综合评价情况及评价结论</w:t>
      </w:r>
      <w:bookmarkEnd w:id="47"/>
    </w:p>
    <w:p w14:paraId="7F58C88B">
      <w:pPr>
        <w:pStyle w:val="3"/>
        <w:bidi w:val="0"/>
        <w:rPr>
          <w:highlight w:val="none"/>
        </w:rPr>
      </w:pPr>
      <w:bookmarkStart w:id="48" w:name="_Toc2459"/>
      <w:r>
        <w:rPr>
          <w:highlight w:val="none"/>
        </w:rPr>
        <w:t>（一）总体评价得分</w:t>
      </w:r>
      <w:bookmarkEnd w:id="48"/>
    </w:p>
    <w:p w14:paraId="539D9AA9">
      <w:pPr>
        <w:bidi w:val="0"/>
        <w:rPr>
          <w:rFonts w:hint="eastAsia" w:eastAsia="宋体"/>
          <w:highlight w:val="none"/>
          <w:lang w:eastAsia="zh-CN"/>
        </w:rPr>
      </w:pPr>
      <w:r>
        <w:rPr>
          <w:rFonts w:hint="eastAsia"/>
          <w:highlight w:val="none"/>
        </w:rPr>
        <w:t>根据《河南省省级预算项目支出绩效评价管理办法》，评价组对照绩效指标评价体系，从决策、过程、产出和效益四个维度，通过数据采集、实地调研和问卷访谈等方式，对本项目进行客观公正的绩效评价，总得分为</w:t>
      </w:r>
      <w:r>
        <w:rPr>
          <w:rFonts w:hint="eastAsia"/>
          <w:highlight w:val="none"/>
          <w:lang w:val="en-US" w:eastAsia="zh-CN"/>
        </w:rPr>
        <w:t>90.46</w:t>
      </w:r>
      <w:r>
        <w:rPr>
          <w:rFonts w:hint="eastAsia"/>
          <w:highlight w:val="none"/>
        </w:rPr>
        <w:t>分，绩效评价等级属于</w:t>
      </w:r>
      <w:r>
        <w:rPr>
          <w:rFonts w:hint="eastAsia" w:eastAsia="宋体"/>
          <w:highlight w:val="none"/>
          <w:lang w:eastAsia="zh-CN"/>
        </w:rPr>
        <w:t>“</w:t>
      </w:r>
      <w:r>
        <w:rPr>
          <w:rFonts w:hint="eastAsia"/>
          <w:highlight w:val="none"/>
          <w:lang w:val="en-US" w:eastAsia="zh-CN"/>
        </w:rPr>
        <w:t>优</w:t>
      </w:r>
      <w:r>
        <w:rPr>
          <w:rFonts w:hint="eastAsia" w:eastAsia="宋体"/>
          <w:highlight w:val="none"/>
          <w:lang w:eastAsia="zh-CN"/>
        </w:rPr>
        <w:t>”</w:t>
      </w:r>
      <w:r>
        <w:rPr>
          <w:rFonts w:hint="eastAsia"/>
          <w:highlight w:val="none"/>
        </w:rPr>
        <w:t>。最终评价结果如下表所示，各指标具体评分情况详见附件1</w:t>
      </w:r>
      <w:r>
        <w:rPr>
          <w:rFonts w:hint="eastAsia"/>
          <w:highlight w:val="none"/>
          <w:lang w:eastAsia="zh-CN"/>
        </w:rPr>
        <w:t>。</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84"/>
        <w:gridCol w:w="2073"/>
        <w:gridCol w:w="2585"/>
        <w:gridCol w:w="2258"/>
      </w:tblGrid>
      <w:tr w14:paraId="5F98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jc w:val="center"/>
        </w:trPr>
        <w:tc>
          <w:tcPr>
            <w:tcW w:w="1070" w:type="pct"/>
            <w:vAlign w:val="center"/>
          </w:tcPr>
          <w:p w14:paraId="5A814F28">
            <w:pPr>
              <w:spacing w:before="0" w:beforeLines="0" w:line="240" w:lineRule="auto"/>
              <w:ind w:firstLine="0" w:firstLineChars="0"/>
              <w:jc w:val="center"/>
              <w:rPr>
                <w:b/>
                <w:bCs/>
                <w:sz w:val="24"/>
                <w:szCs w:val="24"/>
                <w:highlight w:val="none"/>
              </w:rPr>
            </w:pPr>
            <w:r>
              <w:rPr>
                <w:b/>
                <w:bCs/>
                <w:color w:val="000000"/>
                <w:sz w:val="24"/>
                <w:szCs w:val="24"/>
                <w:highlight w:val="none"/>
              </w:rPr>
              <w:t>一级指标</w:t>
            </w:r>
          </w:p>
        </w:tc>
        <w:tc>
          <w:tcPr>
            <w:tcW w:w="1177" w:type="pct"/>
            <w:vAlign w:val="center"/>
          </w:tcPr>
          <w:p w14:paraId="64B8A683">
            <w:pPr>
              <w:spacing w:before="0" w:beforeLines="0" w:line="240" w:lineRule="auto"/>
              <w:ind w:firstLine="0" w:firstLineChars="0"/>
              <w:jc w:val="center"/>
              <w:rPr>
                <w:b/>
                <w:bCs/>
                <w:sz w:val="24"/>
                <w:szCs w:val="24"/>
                <w:highlight w:val="none"/>
              </w:rPr>
            </w:pPr>
            <w:r>
              <w:rPr>
                <w:b/>
                <w:bCs/>
                <w:color w:val="000000"/>
                <w:sz w:val="24"/>
                <w:szCs w:val="24"/>
                <w:highlight w:val="none"/>
              </w:rPr>
              <w:t>权重</w:t>
            </w:r>
          </w:p>
        </w:tc>
        <w:tc>
          <w:tcPr>
            <w:tcW w:w="1468" w:type="pct"/>
            <w:vAlign w:val="center"/>
          </w:tcPr>
          <w:p w14:paraId="5FCBFAD4">
            <w:pPr>
              <w:spacing w:before="0" w:beforeLines="0" w:line="240" w:lineRule="auto"/>
              <w:ind w:firstLine="0" w:firstLineChars="0"/>
              <w:jc w:val="center"/>
              <w:rPr>
                <w:b/>
                <w:bCs/>
                <w:sz w:val="24"/>
                <w:szCs w:val="24"/>
                <w:highlight w:val="none"/>
              </w:rPr>
            </w:pPr>
            <w:r>
              <w:rPr>
                <w:b/>
                <w:bCs/>
                <w:color w:val="000000"/>
                <w:sz w:val="24"/>
                <w:szCs w:val="24"/>
                <w:highlight w:val="none"/>
              </w:rPr>
              <w:t>得分率</w:t>
            </w:r>
          </w:p>
        </w:tc>
        <w:tc>
          <w:tcPr>
            <w:tcW w:w="1282" w:type="pct"/>
            <w:vAlign w:val="center"/>
          </w:tcPr>
          <w:p w14:paraId="6C058F51">
            <w:pPr>
              <w:spacing w:before="0" w:beforeLines="0" w:line="240" w:lineRule="auto"/>
              <w:ind w:firstLine="0" w:firstLineChars="0"/>
              <w:jc w:val="center"/>
              <w:rPr>
                <w:b/>
                <w:bCs/>
                <w:sz w:val="24"/>
                <w:szCs w:val="24"/>
                <w:highlight w:val="none"/>
              </w:rPr>
            </w:pPr>
            <w:r>
              <w:rPr>
                <w:b/>
                <w:bCs/>
                <w:color w:val="000000"/>
                <w:sz w:val="24"/>
                <w:szCs w:val="24"/>
                <w:highlight w:val="none"/>
              </w:rPr>
              <w:t>得分</w:t>
            </w:r>
          </w:p>
        </w:tc>
      </w:tr>
      <w:tr w14:paraId="1B4F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jc w:val="center"/>
        </w:trPr>
        <w:tc>
          <w:tcPr>
            <w:tcW w:w="1070" w:type="pct"/>
            <w:vAlign w:val="center"/>
          </w:tcPr>
          <w:p w14:paraId="539FA481">
            <w:pPr>
              <w:spacing w:before="0" w:beforeLines="0" w:line="240" w:lineRule="auto"/>
              <w:ind w:firstLine="0" w:firstLineChars="0"/>
              <w:jc w:val="center"/>
              <w:rPr>
                <w:sz w:val="24"/>
                <w:szCs w:val="24"/>
                <w:highlight w:val="none"/>
              </w:rPr>
            </w:pPr>
            <w:r>
              <w:rPr>
                <w:color w:val="000000"/>
                <w:sz w:val="24"/>
                <w:szCs w:val="24"/>
                <w:highlight w:val="none"/>
              </w:rPr>
              <w:t>决策</w:t>
            </w:r>
          </w:p>
        </w:tc>
        <w:tc>
          <w:tcPr>
            <w:tcW w:w="1177" w:type="pct"/>
            <w:vAlign w:val="center"/>
          </w:tcPr>
          <w:p w14:paraId="2D10EC81">
            <w:pPr>
              <w:spacing w:before="0" w:beforeLines="0" w:line="240" w:lineRule="auto"/>
              <w:ind w:firstLine="0" w:firstLineChars="0"/>
              <w:jc w:val="center"/>
              <w:rPr>
                <w:rFonts w:hint="default"/>
                <w:color w:val="000000"/>
                <w:sz w:val="24"/>
                <w:szCs w:val="24"/>
                <w:highlight w:val="none"/>
                <w:lang w:val="en-US"/>
              </w:rPr>
            </w:pPr>
            <w:r>
              <w:rPr>
                <w:rFonts w:hint="eastAsia"/>
                <w:color w:val="000000"/>
                <w:sz w:val="24"/>
                <w:szCs w:val="24"/>
                <w:highlight w:val="none"/>
                <w:lang w:val="en-US" w:eastAsia="zh-CN"/>
              </w:rPr>
              <w:t>16.00</w:t>
            </w:r>
          </w:p>
        </w:tc>
        <w:tc>
          <w:tcPr>
            <w:tcW w:w="2585" w:type="dxa"/>
            <w:vAlign w:val="center"/>
          </w:tcPr>
          <w:p w14:paraId="63F1065E">
            <w:pPr>
              <w:spacing w:before="0" w:beforeLines="0" w:line="240" w:lineRule="auto"/>
              <w:ind w:firstLine="0" w:firstLineChars="0"/>
              <w:jc w:val="center"/>
              <w:rPr>
                <w:rFonts w:hint="default"/>
                <w:color w:val="000000"/>
                <w:sz w:val="24"/>
                <w:szCs w:val="24"/>
                <w:highlight w:val="none"/>
                <w:lang w:val="en-US" w:eastAsia="zh-CN"/>
              </w:rPr>
            </w:pPr>
            <w:r>
              <w:rPr>
                <w:rFonts w:hint="eastAsia"/>
                <w:color w:val="000000"/>
                <w:sz w:val="24"/>
                <w:szCs w:val="24"/>
                <w:highlight w:val="none"/>
                <w:lang w:val="en-US" w:eastAsia="zh-CN"/>
              </w:rPr>
              <w:t>75.00%</w:t>
            </w:r>
          </w:p>
        </w:tc>
        <w:tc>
          <w:tcPr>
            <w:tcW w:w="2258" w:type="dxa"/>
            <w:vAlign w:val="center"/>
          </w:tcPr>
          <w:p w14:paraId="3AA413F8">
            <w:pPr>
              <w:spacing w:before="0" w:beforeLines="0" w:line="240" w:lineRule="auto"/>
              <w:ind w:firstLine="0" w:firstLineChars="0"/>
              <w:jc w:val="center"/>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12</w:t>
            </w:r>
          </w:p>
        </w:tc>
      </w:tr>
      <w:tr w14:paraId="60E9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jc w:val="center"/>
        </w:trPr>
        <w:tc>
          <w:tcPr>
            <w:tcW w:w="1070" w:type="pct"/>
            <w:vAlign w:val="center"/>
          </w:tcPr>
          <w:p w14:paraId="776840B3">
            <w:pPr>
              <w:spacing w:before="0" w:beforeLines="0" w:line="240" w:lineRule="auto"/>
              <w:ind w:firstLine="0" w:firstLineChars="0"/>
              <w:jc w:val="center"/>
              <w:rPr>
                <w:sz w:val="24"/>
                <w:szCs w:val="24"/>
                <w:highlight w:val="none"/>
              </w:rPr>
            </w:pPr>
            <w:r>
              <w:rPr>
                <w:color w:val="000000"/>
                <w:sz w:val="24"/>
                <w:szCs w:val="24"/>
                <w:highlight w:val="none"/>
              </w:rPr>
              <w:t>过程</w:t>
            </w:r>
          </w:p>
        </w:tc>
        <w:tc>
          <w:tcPr>
            <w:tcW w:w="1177" w:type="pct"/>
            <w:vAlign w:val="center"/>
          </w:tcPr>
          <w:p w14:paraId="383A586A">
            <w:pPr>
              <w:spacing w:before="0" w:beforeLines="0" w:line="240" w:lineRule="auto"/>
              <w:ind w:firstLine="0" w:firstLineChars="0"/>
              <w:jc w:val="center"/>
              <w:rPr>
                <w:color w:val="000000"/>
                <w:sz w:val="24"/>
                <w:szCs w:val="24"/>
                <w:highlight w:val="none"/>
              </w:rPr>
            </w:pPr>
            <w:r>
              <w:rPr>
                <w:rFonts w:hint="eastAsia"/>
                <w:color w:val="000000"/>
                <w:sz w:val="24"/>
                <w:szCs w:val="24"/>
                <w:highlight w:val="none"/>
                <w:lang w:val="en-US" w:eastAsia="zh-CN"/>
              </w:rPr>
              <w:t>24.00</w:t>
            </w:r>
          </w:p>
        </w:tc>
        <w:tc>
          <w:tcPr>
            <w:tcW w:w="2585" w:type="dxa"/>
            <w:vAlign w:val="center"/>
          </w:tcPr>
          <w:p w14:paraId="146AB524">
            <w:pPr>
              <w:spacing w:before="0" w:beforeLines="0" w:line="240" w:lineRule="auto"/>
              <w:ind w:firstLine="0" w:firstLineChars="0"/>
              <w:jc w:val="center"/>
              <w:rPr>
                <w:rFonts w:hint="default"/>
                <w:color w:val="000000"/>
                <w:sz w:val="24"/>
                <w:szCs w:val="24"/>
                <w:highlight w:val="none"/>
                <w:lang w:val="en-US" w:eastAsia="zh-CN"/>
              </w:rPr>
            </w:pPr>
            <w:r>
              <w:rPr>
                <w:rFonts w:hint="eastAsia"/>
                <w:color w:val="000000"/>
                <w:sz w:val="24"/>
                <w:szCs w:val="24"/>
                <w:highlight w:val="none"/>
                <w:lang w:val="en-US" w:eastAsia="zh-CN"/>
              </w:rPr>
              <w:t>89.42%</w:t>
            </w:r>
          </w:p>
        </w:tc>
        <w:tc>
          <w:tcPr>
            <w:tcW w:w="2258" w:type="dxa"/>
            <w:vAlign w:val="center"/>
          </w:tcPr>
          <w:p w14:paraId="0500A6A1">
            <w:pPr>
              <w:spacing w:before="0" w:beforeLines="0" w:line="240" w:lineRule="auto"/>
              <w:ind w:firstLine="0" w:firstLineChars="0"/>
              <w:jc w:val="center"/>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21.46</w:t>
            </w:r>
          </w:p>
        </w:tc>
      </w:tr>
      <w:tr w14:paraId="4796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jc w:val="center"/>
        </w:trPr>
        <w:tc>
          <w:tcPr>
            <w:tcW w:w="1070" w:type="pct"/>
            <w:vAlign w:val="center"/>
          </w:tcPr>
          <w:p w14:paraId="6A6F9917">
            <w:pPr>
              <w:spacing w:before="0" w:beforeLines="0" w:line="240" w:lineRule="auto"/>
              <w:ind w:firstLine="0" w:firstLineChars="0"/>
              <w:jc w:val="center"/>
              <w:rPr>
                <w:sz w:val="24"/>
                <w:szCs w:val="24"/>
                <w:highlight w:val="none"/>
              </w:rPr>
            </w:pPr>
            <w:r>
              <w:rPr>
                <w:color w:val="000000"/>
                <w:sz w:val="24"/>
                <w:szCs w:val="24"/>
                <w:highlight w:val="none"/>
              </w:rPr>
              <w:t>产出</w:t>
            </w:r>
          </w:p>
        </w:tc>
        <w:tc>
          <w:tcPr>
            <w:tcW w:w="1177" w:type="pct"/>
            <w:vAlign w:val="center"/>
          </w:tcPr>
          <w:p w14:paraId="1519FBC9">
            <w:pPr>
              <w:spacing w:before="0" w:beforeLines="0" w:line="240" w:lineRule="auto"/>
              <w:ind w:firstLine="0" w:firstLineChars="0"/>
              <w:jc w:val="center"/>
              <w:rPr>
                <w:color w:val="000000"/>
                <w:sz w:val="24"/>
                <w:szCs w:val="24"/>
                <w:highlight w:val="none"/>
              </w:rPr>
            </w:pPr>
            <w:r>
              <w:rPr>
                <w:rFonts w:hint="eastAsia"/>
                <w:color w:val="000000"/>
                <w:sz w:val="24"/>
                <w:szCs w:val="24"/>
                <w:highlight w:val="none"/>
                <w:lang w:val="en-US" w:eastAsia="zh-CN"/>
              </w:rPr>
              <w:t>40.00</w:t>
            </w:r>
          </w:p>
        </w:tc>
        <w:tc>
          <w:tcPr>
            <w:tcW w:w="2585" w:type="dxa"/>
            <w:vAlign w:val="center"/>
          </w:tcPr>
          <w:p w14:paraId="51D7E7CF">
            <w:pPr>
              <w:spacing w:before="0" w:beforeLines="0" w:line="240" w:lineRule="auto"/>
              <w:ind w:firstLine="0" w:firstLineChars="0"/>
              <w:jc w:val="center"/>
              <w:rPr>
                <w:rFonts w:hint="default"/>
                <w:color w:val="000000"/>
                <w:sz w:val="24"/>
                <w:szCs w:val="24"/>
                <w:highlight w:val="none"/>
                <w:lang w:val="en-US" w:eastAsia="zh-CN"/>
              </w:rPr>
            </w:pPr>
            <w:r>
              <w:rPr>
                <w:rFonts w:hint="eastAsia"/>
                <w:color w:val="000000"/>
                <w:sz w:val="24"/>
                <w:szCs w:val="24"/>
                <w:highlight w:val="none"/>
                <w:lang w:val="en-US" w:eastAsia="zh-CN"/>
              </w:rPr>
              <w:t>92.50%</w:t>
            </w:r>
          </w:p>
        </w:tc>
        <w:tc>
          <w:tcPr>
            <w:tcW w:w="2258" w:type="dxa"/>
            <w:vAlign w:val="center"/>
          </w:tcPr>
          <w:p w14:paraId="1968C72E">
            <w:pPr>
              <w:spacing w:before="0" w:beforeLines="0" w:line="240" w:lineRule="auto"/>
              <w:ind w:firstLine="0" w:firstLineChars="0"/>
              <w:jc w:val="center"/>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37</w:t>
            </w:r>
          </w:p>
        </w:tc>
      </w:tr>
      <w:tr w14:paraId="0C8D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jc w:val="center"/>
        </w:trPr>
        <w:tc>
          <w:tcPr>
            <w:tcW w:w="1070" w:type="pct"/>
            <w:vAlign w:val="center"/>
          </w:tcPr>
          <w:p w14:paraId="2E7BED3E">
            <w:pPr>
              <w:spacing w:before="0" w:beforeLines="0" w:line="240" w:lineRule="auto"/>
              <w:ind w:firstLine="0" w:firstLineChars="0"/>
              <w:jc w:val="center"/>
              <w:rPr>
                <w:sz w:val="24"/>
                <w:szCs w:val="24"/>
                <w:highlight w:val="none"/>
              </w:rPr>
            </w:pPr>
            <w:r>
              <w:rPr>
                <w:color w:val="000000"/>
                <w:sz w:val="24"/>
                <w:szCs w:val="24"/>
                <w:highlight w:val="none"/>
              </w:rPr>
              <w:t>效益</w:t>
            </w:r>
          </w:p>
        </w:tc>
        <w:tc>
          <w:tcPr>
            <w:tcW w:w="1177" w:type="pct"/>
            <w:vAlign w:val="center"/>
          </w:tcPr>
          <w:p w14:paraId="38EAF609">
            <w:pPr>
              <w:spacing w:before="0" w:beforeLines="0" w:line="240" w:lineRule="auto"/>
              <w:ind w:firstLine="0" w:firstLineChars="0"/>
              <w:jc w:val="center"/>
              <w:rPr>
                <w:color w:val="000000"/>
                <w:sz w:val="24"/>
                <w:szCs w:val="24"/>
                <w:highlight w:val="none"/>
              </w:rPr>
            </w:pPr>
            <w:r>
              <w:rPr>
                <w:rFonts w:hint="eastAsia"/>
                <w:color w:val="000000"/>
                <w:sz w:val="24"/>
                <w:szCs w:val="24"/>
                <w:highlight w:val="none"/>
                <w:lang w:val="en-US" w:eastAsia="zh-CN"/>
              </w:rPr>
              <w:t>20.00</w:t>
            </w:r>
          </w:p>
        </w:tc>
        <w:tc>
          <w:tcPr>
            <w:tcW w:w="2585" w:type="dxa"/>
            <w:vAlign w:val="center"/>
          </w:tcPr>
          <w:p w14:paraId="7949FCC6">
            <w:pPr>
              <w:spacing w:before="0" w:beforeLines="0" w:line="240" w:lineRule="auto"/>
              <w:ind w:firstLine="0" w:firstLineChars="0"/>
              <w:jc w:val="center"/>
              <w:rPr>
                <w:rFonts w:hint="default"/>
                <w:color w:val="000000"/>
                <w:sz w:val="24"/>
                <w:szCs w:val="24"/>
                <w:highlight w:val="none"/>
                <w:lang w:val="en-US" w:eastAsia="zh-CN"/>
              </w:rPr>
            </w:pPr>
            <w:r>
              <w:rPr>
                <w:rFonts w:hint="eastAsia"/>
                <w:color w:val="000000"/>
                <w:sz w:val="24"/>
                <w:szCs w:val="24"/>
                <w:highlight w:val="none"/>
                <w:lang w:val="en-US" w:eastAsia="zh-CN"/>
              </w:rPr>
              <w:t>100.00%</w:t>
            </w:r>
          </w:p>
        </w:tc>
        <w:tc>
          <w:tcPr>
            <w:tcW w:w="2258" w:type="dxa"/>
            <w:vAlign w:val="center"/>
          </w:tcPr>
          <w:p w14:paraId="7A2F10D0">
            <w:pPr>
              <w:spacing w:before="0" w:beforeLines="0" w:line="240" w:lineRule="auto"/>
              <w:ind w:firstLine="0" w:firstLineChars="0"/>
              <w:jc w:val="center"/>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20</w:t>
            </w:r>
          </w:p>
        </w:tc>
      </w:tr>
      <w:tr w14:paraId="44BD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jc w:val="center"/>
        </w:trPr>
        <w:tc>
          <w:tcPr>
            <w:tcW w:w="1070" w:type="pct"/>
            <w:vAlign w:val="center"/>
          </w:tcPr>
          <w:p w14:paraId="6956B763">
            <w:pPr>
              <w:spacing w:before="0" w:beforeLines="0" w:line="240" w:lineRule="auto"/>
              <w:ind w:firstLine="0" w:firstLineChars="0"/>
              <w:jc w:val="center"/>
              <w:rPr>
                <w:b/>
                <w:bCs/>
                <w:sz w:val="24"/>
                <w:szCs w:val="24"/>
                <w:highlight w:val="none"/>
              </w:rPr>
            </w:pPr>
            <w:r>
              <w:rPr>
                <w:b/>
                <w:bCs/>
                <w:color w:val="000000"/>
                <w:sz w:val="24"/>
                <w:szCs w:val="24"/>
                <w:highlight w:val="none"/>
              </w:rPr>
              <w:t>合计</w:t>
            </w:r>
          </w:p>
        </w:tc>
        <w:tc>
          <w:tcPr>
            <w:tcW w:w="1177" w:type="pct"/>
            <w:vAlign w:val="center"/>
          </w:tcPr>
          <w:p w14:paraId="73692465">
            <w:pPr>
              <w:spacing w:before="0" w:beforeLines="0" w:line="240" w:lineRule="auto"/>
              <w:ind w:firstLine="0" w:firstLineChars="0"/>
              <w:jc w:val="center"/>
              <w:rPr>
                <w:rFonts w:hint="default" w:eastAsia="宋体"/>
                <w:b/>
                <w:bCs/>
                <w:sz w:val="24"/>
                <w:szCs w:val="24"/>
                <w:highlight w:val="none"/>
                <w:lang w:val="en-US" w:eastAsia="zh-CN"/>
              </w:rPr>
            </w:pPr>
            <w:r>
              <w:rPr>
                <w:b/>
                <w:bCs/>
                <w:color w:val="000000"/>
                <w:sz w:val="24"/>
                <w:szCs w:val="24"/>
                <w:highlight w:val="none"/>
              </w:rPr>
              <w:t>100</w:t>
            </w:r>
            <w:r>
              <w:rPr>
                <w:rFonts w:hint="eastAsia"/>
                <w:b/>
                <w:bCs/>
                <w:color w:val="000000"/>
                <w:sz w:val="24"/>
                <w:szCs w:val="24"/>
                <w:highlight w:val="none"/>
                <w:lang w:val="en-US" w:eastAsia="zh-CN"/>
              </w:rPr>
              <w:t>.00</w:t>
            </w:r>
          </w:p>
        </w:tc>
        <w:tc>
          <w:tcPr>
            <w:tcW w:w="1468" w:type="pct"/>
            <w:vAlign w:val="center"/>
          </w:tcPr>
          <w:p w14:paraId="6C81917C">
            <w:pPr>
              <w:spacing w:before="0" w:beforeLines="0" w:line="240" w:lineRule="auto"/>
              <w:ind w:firstLine="0" w:firstLineChars="0"/>
              <w:jc w:val="center"/>
              <w:rPr>
                <w:b/>
                <w:bCs/>
                <w:sz w:val="24"/>
                <w:szCs w:val="24"/>
                <w:highlight w:val="none"/>
              </w:rPr>
            </w:pPr>
          </w:p>
        </w:tc>
        <w:tc>
          <w:tcPr>
            <w:tcW w:w="2258" w:type="dxa"/>
            <w:vAlign w:val="center"/>
          </w:tcPr>
          <w:p w14:paraId="70A5A1ED">
            <w:pPr>
              <w:spacing w:before="0" w:beforeLines="0" w:line="240" w:lineRule="auto"/>
              <w:ind w:firstLine="0" w:firstLineChars="0"/>
              <w:jc w:val="center"/>
              <w:rPr>
                <w:rFonts w:hint="default"/>
                <w:b/>
                <w:bCs/>
                <w:color w:val="000000"/>
                <w:sz w:val="24"/>
                <w:szCs w:val="24"/>
                <w:highlight w:val="none"/>
                <w:lang w:val="en-US" w:eastAsia="zh-CN"/>
              </w:rPr>
            </w:pPr>
            <w:r>
              <w:rPr>
                <w:rFonts w:hint="eastAsia"/>
                <w:b/>
                <w:bCs/>
                <w:color w:val="000000"/>
                <w:sz w:val="24"/>
                <w:szCs w:val="24"/>
                <w:highlight w:val="none"/>
                <w:lang w:val="en-US" w:eastAsia="zh-CN"/>
              </w:rPr>
              <w:t>90.46</w:t>
            </w:r>
          </w:p>
        </w:tc>
      </w:tr>
    </w:tbl>
    <w:p w14:paraId="3552611D">
      <w:pPr>
        <w:pStyle w:val="3"/>
        <w:bidi w:val="0"/>
        <w:rPr>
          <w:highlight w:val="none"/>
        </w:rPr>
      </w:pPr>
      <w:bookmarkStart w:id="49" w:name="_Toc15562"/>
      <w:r>
        <w:rPr>
          <w:highlight w:val="none"/>
        </w:rPr>
        <w:t>（二）综合评价结论</w:t>
      </w:r>
      <w:bookmarkEnd w:id="49"/>
    </w:p>
    <w:p w14:paraId="412959F5">
      <w:pPr>
        <w:bidi w:val="0"/>
        <w:rPr>
          <w:rFonts w:hint="eastAsia" w:eastAsia="宋体"/>
          <w:lang w:eastAsia="zh-CN"/>
        </w:rPr>
      </w:pPr>
      <w:r>
        <w:rPr>
          <w:rFonts w:hint="eastAsia"/>
          <w:lang w:val="en-US" w:eastAsia="zh-CN"/>
        </w:rPr>
        <w:t>三门峡市陕州区青龙涧河涧里村至杨家河村河道治理工程</w:t>
      </w:r>
      <w:r>
        <w:rPr>
          <w:rFonts w:hint="eastAsia"/>
          <w:highlight w:val="none"/>
          <w:lang w:eastAsia="zh-CN"/>
        </w:rPr>
        <w:t>项目</w:t>
      </w:r>
      <w:r>
        <w:t>立项依据充分、</w:t>
      </w:r>
      <w:r>
        <w:rPr>
          <w:rFonts w:hint="eastAsia"/>
          <w:lang w:val="en-US" w:eastAsia="zh-CN"/>
        </w:rPr>
        <w:t>招投标</w:t>
      </w:r>
      <w:r>
        <w:t>程序规范</w:t>
      </w:r>
      <w:r>
        <w:rPr>
          <w:rFonts w:hint="eastAsia"/>
          <w:lang w:eastAsia="zh-CN"/>
        </w:rPr>
        <w:t>，</w:t>
      </w:r>
      <w:r>
        <w:rPr>
          <w:rFonts w:hint="eastAsia"/>
          <w:lang w:val="en-US" w:eastAsia="zh-CN"/>
        </w:rPr>
        <w:t>总体</w:t>
      </w:r>
      <w:r>
        <w:t>目标</w:t>
      </w:r>
      <w:r>
        <w:rPr>
          <w:rFonts w:hint="eastAsia"/>
          <w:lang w:val="en-US" w:eastAsia="zh-CN"/>
        </w:rPr>
        <w:t>设置</w:t>
      </w:r>
      <w:r>
        <w:t>合理</w:t>
      </w:r>
      <w:r>
        <w:rPr>
          <w:rFonts w:hint="eastAsia"/>
          <w:lang w:val="en-US" w:eastAsia="zh-CN"/>
        </w:rPr>
        <w:t>但具体</w:t>
      </w:r>
      <w:r>
        <w:t>绩效指标</w:t>
      </w:r>
      <w:r>
        <w:rPr>
          <w:rFonts w:hint="eastAsia"/>
          <w:lang w:val="en-US" w:eastAsia="zh-CN"/>
        </w:rPr>
        <w:t>不</w:t>
      </w:r>
      <w:r>
        <w:t>明确</w:t>
      </w:r>
      <w:r>
        <w:rPr>
          <w:rFonts w:hint="eastAsia"/>
          <w:lang w:eastAsia="zh-CN"/>
        </w:rPr>
        <w:t>，</w:t>
      </w:r>
      <w:r>
        <w:rPr>
          <w:rFonts w:hint="eastAsia"/>
          <w:lang w:val="en-US" w:eastAsia="zh-CN"/>
        </w:rPr>
        <w:t>缺少可量化指标，与实施内容相关性较差。</w:t>
      </w:r>
    </w:p>
    <w:p w14:paraId="099505EE">
      <w:pPr>
        <w:bidi w:val="0"/>
        <w:rPr>
          <w:rFonts w:hint="eastAsia"/>
          <w:highlight w:val="red"/>
          <w:lang w:val="en-US" w:eastAsia="zh-CN"/>
        </w:rPr>
      </w:pPr>
      <w:r>
        <w:t>组织实施分工明确、实施方案完备；</w:t>
      </w:r>
      <w:r>
        <w:rPr>
          <w:rFonts w:hint="eastAsia"/>
          <w:highlight w:val="none"/>
          <w:lang w:val="en-US" w:eastAsia="zh-CN"/>
        </w:rPr>
        <w:t>资金方面</w:t>
      </w:r>
      <w:r>
        <w:rPr>
          <w:highlight w:val="none"/>
        </w:rPr>
        <w:t>存在</w:t>
      </w:r>
      <w:r>
        <w:rPr>
          <w:rFonts w:hint="eastAsia"/>
          <w:highlight w:val="none"/>
          <w:lang w:val="en-US" w:eastAsia="zh-CN"/>
        </w:rPr>
        <w:t>预算编制与</w:t>
      </w:r>
      <w:r>
        <w:rPr>
          <w:highlight w:val="none"/>
        </w:rPr>
        <w:t>执行</w:t>
      </w:r>
      <w:r>
        <w:rPr>
          <w:rFonts w:hint="eastAsia"/>
          <w:highlight w:val="none"/>
          <w:lang w:val="en-US" w:eastAsia="zh-CN"/>
        </w:rPr>
        <w:t>不到位情况，在资金到位率与预算执行率方面存在延迟支付的情况。</w:t>
      </w:r>
    </w:p>
    <w:p w14:paraId="4763CCA2">
      <w:pPr>
        <w:bidi w:val="0"/>
        <w:rPr>
          <w:color w:val="000000"/>
          <w:highlight w:val="none"/>
        </w:rPr>
      </w:pPr>
      <w:r>
        <w:t>截</w:t>
      </w:r>
      <w:r>
        <w:rPr>
          <w:rFonts w:hint="eastAsia"/>
          <w:lang w:val="en-US" w:eastAsia="zh-CN"/>
        </w:rPr>
        <w:t>至</w:t>
      </w:r>
      <w:r>
        <w:t>评价期结束，</w:t>
      </w:r>
      <w:r>
        <w:rPr>
          <w:rFonts w:hint="eastAsia"/>
          <w:lang w:val="en-US" w:eastAsia="zh-CN"/>
        </w:rPr>
        <w:t>三门峡市陕州区青龙涧河涧里村至杨家河村河道治理工程</w:t>
      </w:r>
      <w:r>
        <w:rPr>
          <w:rFonts w:hint="eastAsia"/>
          <w:highlight w:val="none"/>
          <w:lang w:eastAsia="zh-CN"/>
        </w:rPr>
        <w:t>项目</w:t>
      </w:r>
      <w:r>
        <w:t>的各项目标</w:t>
      </w:r>
      <w:r>
        <w:rPr>
          <w:color w:val="000000"/>
        </w:rPr>
        <w:t>均已完成并通过</w:t>
      </w:r>
      <w:r>
        <w:rPr>
          <w:rFonts w:hint="eastAsia"/>
          <w:color w:val="000000"/>
          <w:lang w:val="en-US" w:eastAsia="zh-CN"/>
        </w:rPr>
        <w:t>预</w:t>
      </w:r>
      <w:r>
        <w:rPr>
          <w:color w:val="000000"/>
        </w:rPr>
        <w:t>验收，项目整体情况良好，社会效益明显，可持续性强</w:t>
      </w:r>
      <w:r>
        <w:rPr>
          <w:color w:val="000000"/>
          <w:highlight w:val="none"/>
        </w:rPr>
        <w:t>，受益群众总体满意度达9</w:t>
      </w:r>
      <w:r>
        <w:rPr>
          <w:rFonts w:hint="eastAsia"/>
          <w:color w:val="000000"/>
          <w:highlight w:val="none"/>
          <w:lang w:val="en-US" w:eastAsia="zh-CN"/>
        </w:rPr>
        <w:t>0.00</w:t>
      </w:r>
      <w:r>
        <w:rPr>
          <w:color w:val="000000"/>
          <w:highlight w:val="none"/>
        </w:rPr>
        <w:t>％</w:t>
      </w:r>
      <w:r>
        <w:rPr>
          <w:rFonts w:hint="eastAsia"/>
          <w:color w:val="000000"/>
          <w:highlight w:val="none"/>
          <w:lang w:val="en-US" w:eastAsia="zh-CN"/>
        </w:rPr>
        <w:t>以上</w:t>
      </w:r>
      <w:r>
        <w:rPr>
          <w:color w:val="000000"/>
          <w:highlight w:val="none"/>
        </w:rPr>
        <w:t>。</w:t>
      </w:r>
    </w:p>
    <w:p w14:paraId="67750D06">
      <w:pPr>
        <w:pStyle w:val="2"/>
        <w:bidi w:val="0"/>
      </w:pPr>
      <w:bookmarkStart w:id="50" w:name="_Toc14630"/>
      <w:r>
        <w:rPr>
          <w:rFonts w:hint="eastAsia"/>
          <w:lang w:val="en-US" w:eastAsia="zh-CN"/>
        </w:rPr>
        <w:t>四</w:t>
      </w:r>
      <w:r>
        <w:t>、取得成效</w:t>
      </w:r>
      <w:bookmarkEnd w:id="50"/>
    </w:p>
    <w:p w14:paraId="7F4F844C">
      <w:pPr>
        <w:pStyle w:val="4"/>
        <w:bidi w:val="0"/>
        <w:rPr>
          <w:rFonts w:hint="default"/>
          <w:lang w:val="en-US" w:eastAsia="zh-CN"/>
        </w:rPr>
      </w:pPr>
      <w:bookmarkStart w:id="51" w:name="_Toc14154"/>
      <w:r>
        <w:rPr>
          <w:rFonts w:hint="eastAsia"/>
          <w:lang w:val="en-US" w:eastAsia="zh-CN"/>
        </w:rPr>
        <w:t>1.保护两岸公共设施，保证人民安居乐业</w:t>
      </w:r>
      <w:bookmarkEnd w:id="51"/>
    </w:p>
    <w:p w14:paraId="285A8EC0">
      <w:pPr>
        <w:bidi w:val="0"/>
        <w:rPr>
          <w:rFonts w:hint="eastAsia"/>
          <w:lang w:val="en-US" w:eastAsia="zh-CN"/>
        </w:rPr>
      </w:pPr>
      <w:r>
        <w:rPr>
          <w:rFonts w:hint="eastAsia"/>
          <w:lang w:val="en-US" w:eastAsia="zh-CN"/>
        </w:rPr>
        <w:t>青龙涧河为山丘区河道，其洪水暴涨暴落，引起河岸淘涮危害严重，对沿河两岸的农田、房屋、道路、供电线路及通信设施的安全影响较大。三门峡市陕州区青龙涧河涧里村至杨家河村河道治理工程</w:t>
      </w:r>
      <w:r>
        <w:rPr>
          <w:rFonts w:hint="eastAsia"/>
          <w:lang w:eastAsia="zh-CN"/>
        </w:rPr>
        <w:t>项目</w:t>
      </w:r>
      <w:r>
        <w:rPr>
          <w:rFonts w:hint="eastAsia"/>
          <w:lang w:val="en-US" w:eastAsia="zh-CN"/>
        </w:rPr>
        <w:t>的实施能够更好的保障当地人民群众生命财产安全，保护公共设施、减少洪涝灾害损失，促进当地经济发展，创建社会主义和谐社会。</w:t>
      </w:r>
    </w:p>
    <w:p w14:paraId="4BDC1C26">
      <w:pPr>
        <w:pStyle w:val="4"/>
        <w:bidi w:val="0"/>
        <w:rPr>
          <w:rFonts w:hint="default"/>
          <w:lang w:val="en-US" w:eastAsia="zh-CN"/>
        </w:rPr>
      </w:pPr>
      <w:bookmarkStart w:id="52" w:name="_Toc1129"/>
      <w:r>
        <w:rPr>
          <w:rFonts w:hint="eastAsia"/>
          <w:lang w:val="en-US" w:eastAsia="zh-CN"/>
        </w:rPr>
        <w:t>2.为乡村振兴建设提供保障</w:t>
      </w:r>
      <w:bookmarkEnd w:id="52"/>
    </w:p>
    <w:p w14:paraId="1076F620">
      <w:pPr>
        <w:bidi w:val="0"/>
        <w:rPr>
          <w:rFonts w:hint="eastAsia"/>
          <w:lang w:val="en-US" w:eastAsia="zh-CN"/>
        </w:rPr>
      </w:pPr>
      <w:r>
        <w:rPr>
          <w:rFonts w:hint="eastAsia"/>
          <w:lang w:val="en-US" w:eastAsia="zh-CN"/>
        </w:rPr>
        <w:t>面对河道治理存在的实际问题，采取新建护岸和对现状漫水桥（路）等建筑物工程维修、加固等方式进行巩固提升，并结合上级部门下发的河道治理文件精神解决实际问题，改善河道两岸形象。项目实施后，可改善群众的卫生条件和人居环境，保障当地人民群众生命财产安全，提高健康水平和生活质量，促进精神文明建设，为乡村振兴打下良好基础。</w:t>
      </w:r>
    </w:p>
    <w:p w14:paraId="6F8B14DD">
      <w:pPr>
        <w:pStyle w:val="4"/>
        <w:bidi w:val="0"/>
        <w:rPr>
          <w:rFonts w:hint="default"/>
          <w:lang w:val="en-US" w:eastAsia="zh-CN"/>
        </w:rPr>
      </w:pPr>
      <w:bookmarkStart w:id="53" w:name="_Toc8918"/>
      <w:r>
        <w:rPr>
          <w:rFonts w:hint="eastAsia"/>
          <w:lang w:val="en-US" w:eastAsia="zh-CN"/>
        </w:rPr>
        <w:t>3.保障耕地面积</w:t>
      </w:r>
      <w:bookmarkEnd w:id="53"/>
    </w:p>
    <w:p w14:paraId="35B1CD13">
      <w:pPr>
        <w:bidi w:val="0"/>
      </w:pPr>
      <w:r>
        <w:rPr>
          <w:rFonts w:hint="eastAsia"/>
          <w:lang w:val="en-US" w:eastAsia="zh-CN"/>
        </w:rPr>
        <w:t>项目区内耕地多沿河分布，本次治理段河道两岸基本无防护，两岸村庄高出河底0.5～3m，项目区大部分耕地分布于河道两岸，受洪水冲刷，耕地资源逐年减少，近年来洪水频发，每年防汛，当地政府都要投入大量的人力物力资源进行防洪抢险。为切实保障两岸人民群众生命财产安全，保证人民安居乐业，项目的实施使治理河段由不设防状态提高至村庄段满足10年一遇防洪标准，耕地段减少洪水冲刷，有效的起到防洪减灾的作用。</w:t>
      </w:r>
    </w:p>
    <w:p w14:paraId="555ECCB1">
      <w:pPr>
        <w:pStyle w:val="2"/>
        <w:bidi w:val="0"/>
      </w:pPr>
      <w:bookmarkStart w:id="54" w:name="_Toc24798"/>
      <w:r>
        <w:rPr>
          <w:rFonts w:hint="eastAsia"/>
          <w:lang w:val="en-US" w:eastAsia="zh-CN"/>
        </w:rPr>
        <w:t>五</w:t>
      </w:r>
      <w:r>
        <w:t>、存在问题及下一步改进建议</w:t>
      </w:r>
      <w:bookmarkEnd w:id="54"/>
    </w:p>
    <w:p w14:paraId="6E8EA87D">
      <w:pPr>
        <w:pStyle w:val="3"/>
        <w:bidi w:val="0"/>
      </w:pPr>
      <w:bookmarkStart w:id="55" w:name="_Toc6857"/>
      <w:r>
        <w:t>（一）存在问题</w:t>
      </w:r>
      <w:bookmarkEnd w:id="55"/>
    </w:p>
    <w:p w14:paraId="07C27D4B">
      <w:pPr>
        <w:pStyle w:val="4"/>
        <w:bidi w:val="0"/>
        <w:rPr>
          <w:rFonts w:hint="default"/>
          <w:lang w:val="en-US" w:eastAsia="zh-CN"/>
        </w:rPr>
      </w:pPr>
      <w:bookmarkStart w:id="56" w:name="_Toc4400"/>
      <w:r>
        <w:rPr>
          <w:rFonts w:hint="eastAsia"/>
          <w:lang w:val="en-US" w:eastAsia="zh-CN"/>
        </w:rPr>
        <w:t>1.绩效意识淡薄，相关资料不完善</w:t>
      </w:r>
      <w:bookmarkEnd w:id="56"/>
    </w:p>
    <w:p w14:paraId="098A92FE">
      <w:pPr>
        <w:bidi w:val="0"/>
        <w:rPr>
          <w:rFonts w:hint="default" w:eastAsia="宋体"/>
          <w:lang w:val="en-US" w:eastAsia="zh-CN"/>
        </w:rPr>
      </w:pPr>
      <w:r>
        <w:rPr>
          <w:rFonts w:hint="eastAsia"/>
          <w:lang w:val="en-US" w:eastAsia="zh-CN"/>
        </w:rPr>
        <w:t>根据陕州区水利局提供的相关资料显示，绩效目标申报表当中具体指标设置与项目内容相关性不高，缺少可量化指标。</w:t>
      </w:r>
    </w:p>
    <w:p w14:paraId="52BAEC3C">
      <w:pPr>
        <w:pStyle w:val="4"/>
        <w:bidi w:val="0"/>
        <w:rPr>
          <w:rFonts w:hint="default"/>
          <w:lang w:val="en-US" w:eastAsia="zh-CN"/>
        </w:rPr>
      </w:pPr>
      <w:bookmarkStart w:id="57" w:name="_Toc240"/>
      <w:r>
        <w:rPr>
          <w:rFonts w:hint="eastAsia"/>
          <w:lang w:val="en-US" w:eastAsia="zh-CN"/>
        </w:rPr>
        <w:t>2.工程决算不及时</w:t>
      </w:r>
      <w:bookmarkEnd w:id="57"/>
    </w:p>
    <w:p w14:paraId="0B91534F">
      <w:pPr>
        <w:bidi w:val="0"/>
        <w:rPr>
          <w:rFonts w:hint="eastAsia"/>
          <w:lang w:val="en-US" w:eastAsia="zh-CN"/>
        </w:rPr>
      </w:pPr>
      <w:r>
        <w:rPr>
          <w:rFonts w:hint="eastAsia"/>
          <w:lang w:val="en-US" w:eastAsia="zh-CN"/>
        </w:rPr>
        <w:t>根据《基本建设项目竣工财务决算管理暂行办法》（财建〔2016〕503号）第二条：基本建设项目完工可投入使用或者试运行合格后，应当在3个月内编报竣工财务决算，特殊情况确需延长的，中小型项目不得超过2个月，大型项目不得超过6个月。该项目于2023年5月通过竣工验收，但因工作组织协调和安排原因，于2024年11月3日，出具竣工财务决算审计报告。</w:t>
      </w:r>
    </w:p>
    <w:p w14:paraId="117FED59">
      <w:pPr>
        <w:pStyle w:val="4"/>
        <w:bidi w:val="0"/>
        <w:rPr>
          <w:rFonts w:hint="eastAsia"/>
          <w:lang w:val="en-US" w:eastAsia="zh-CN"/>
        </w:rPr>
      </w:pPr>
      <w:bookmarkStart w:id="58" w:name="_Toc14979"/>
      <w:r>
        <w:rPr>
          <w:rFonts w:hint="eastAsia"/>
          <w:lang w:val="en-US" w:eastAsia="zh-CN"/>
        </w:rPr>
        <w:t>3.资金到位率有待提高</w:t>
      </w:r>
      <w:bookmarkEnd w:id="58"/>
    </w:p>
    <w:p w14:paraId="456E580A">
      <w:pPr>
        <w:bidi w:val="0"/>
        <w:rPr>
          <w:rFonts w:hint="default"/>
          <w:lang w:val="en-US" w:eastAsia="zh-CN"/>
        </w:rPr>
      </w:pPr>
      <w:r>
        <w:rPr>
          <w:rFonts w:hint="eastAsia"/>
          <w:lang w:val="en-US" w:eastAsia="zh-CN"/>
        </w:rPr>
        <w:t>根据</w:t>
      </w:r>
      <w:r>
        <w:t>三门峡市</w:t>
      </w:r>
      <w:r>
        <w:rPr>
          <w:rFonts w:hint="eastAsia"/>
          <w:lang w:val="en-US" w:eastAsia="zh-CN"/>
        </w:rPr>
        <w:t>陕州区水利局</w:t>
      </w:r>
      <w:r>
        <w:rPr>
          <w:rFonts w:hint="eastAsia"/>
          <w:highlight w:val="none"/>
          <w:lang w:val="en-US" w:eastAsia="zh-CN"/>
        </w:rPr>
        <w:t>提供的相关资料</w:t>
      </w:r>
      <w:r>
        <w:rPr>
          <w:rFonts w:hint="eastAsia"/>
          <w:lang w:val="en-US" w:eastAsia="zh-CN"/>
        </w:rPr>
        <w:t>，2022年该项目安排预算资金2,624.21万元，实际到位资金1,614.99万元（剩余地方配套资金1,009.22万元于2023年11月2日到位），截至绩效评价日，实际支付金额241.30万元（其中2024年支付166.10万元，2025年1月支付75.2万元），资金到位率存在欠缺。</w:t>
      </w:r>
    </w:p>
    <w:p w14:paraId="0B2733D9">
      <w:pPr>
        <w:pStyle w:val="3"/>
        <w:bidi w:val="0"/>
        <w:rPr>
          <w:highlight w:val="none"/>
        </w:rPr>
      </w:pPr>
      <w:bookmarkStart w:id="59" w:name="_Toc11844"/>
      <w:r>
        <w:t>（二）下一步改进建议</w:t>
      </w:r>
      <w:bookmarkEnd w:id="59"/>
    </w:p>
    <w:p w14:paraId="377788D3">
      <w:pPr>
        <w:pStyle w:val="4"/>
        <w:bidi w:val="0"/>
        <w:rPr>
          <w:rFonts w:hint="default"/>
          <w:lang w:val="en-US" w:eastAsia="zh-CN"/>
        </w:rPr>
      </w:pPr>
      <w:bookmarkStart w:id="60" w:name="_Toc194"/>
      <w:r>
        <w:rPr>
          <w:rFonts w:hint="eastAsia"/>
          <w:lang w:val="en-US" w:eastAsia="zh-CN"/>
        </w:rPr>
        <w:t>1.加强绩效管理意识</w:t>
      </w:r>
      <w:bookmarkEnd w:id="60"/>
    </w:p>
    <w:p w14:paraId="18DC7AC1">
      <w:pPr>
        <w:bidi w:val="0"/>
        <w:rPr>
          <w:rFonts w:hint="eastAsia"/>
          <w:lang w:val="en-US" w:eastAsia="zh-CN"/>
        </w:rPr>
      </w:pPr>
      <w:r>
        <w:rPr>
          <w:rFonts w:hint="eastAsia"/>
          <w:lang w:val="en-US" w:eastAsia="zh-CN"/>
        </w:rPr>
        <w:t>通过牢固树立预算绩效管理意识，严格审核把关，全过程实施绩效管理，形成组织有力、运转高效的分级管理工作机制，为推动项目绩效管理提供坚强支撑。围绕绩效管理工作目标，结合实际工作中的不足和问题，通过多次多轮征求意见，对绩效考评指标体系进行修订完善，突出优秀表彰和反向扣分机制，激励干部担当作为，提高工作效率。财务部门统筹协调，加强财务人员培养，参与预算执行动态监控等业务及培训，实现财务工作与部门预算监管的交叉融合。各科室分工配合，将绩效理念和方法融入日常工作中，把绩效目标做到具体化、可量化，充分调动全局开展预算绩效管理的积极性和主动性。‌‌‌</w:t>
      </w:r>
    </w:p>
    <w:p w14:paraId="708B3A36">
      <w:pPr>
        <w:pStyle w:val="4"/>
        <w:bidi w:val="0"/>
        <w:rPr>
          <w:rFonts w:hint="eastAsia"/>
          <w:lang w:val="en-US" w:eastAsia="zh-CN"/>
        </w:rPr>
      </w:pPr>
      <w:bookmarkStart w:id="61" w:name="_Toc4724"/>
      <w:r>
        <w:rPr>
          <w:rFonts w:hint="eastAsia"/>
          <w:lang w:val="en-US" w:eastAsia="zh-CN"/>
        </w:rPr>
        <w:t>2.项目</w:t>
      </w:r>
      <w:r>
        <w:rPr>
          <w:rFonts w:hint="eastAsia"/>
        </w:rPr>
        <w:t>工程及时进行竣工决算</w:t>
      </w:r>
      <w:r>
        <w:rPr>
          <w:rFonts w:hint="eastAsia"/>
          <w:lang w:val="en-US" w:eastAsia="zh-CN"/>
        </w:rPr>
        <w:t>及验收工作</w:t>
      </w:r>
      <w:bookmarkEnd w:id="61"/>
    </w:p>
    <w:p w14:paraId="7AC7282A">
      <w:pPr>
        <w:rPr>
          <w:rFonts w:hint="eastAsia"/>
          <w:highlight w:val="none"/>
          <w:lang w:val="en-US" w:eastAsia="zh-CN"/>
        </w:rPr>
      </w:pPr>
      <w:r>
        <w:rPr>
          <w:rFonts w:hint="eastAsia"/>
          <w:highlight w:val="none"/>
          <w:lang w:val="en-US" w:eastAsia="zh-CN"/>
        </w:rPr>
        <w:t>建议项目竣工验收后，及时进行工程竣工决算，严格落实《基本建设项目竣工财务决算管理暂行办法》（财建〔2016〕503号）第二条规定：“基本建设项目完工可投入使用或者试运行合格后，应当在3个月内编报竣工财务决算，特殊情况确需延长的，中小型项目不得超过2个月，大型项目不得超过6个月”。严格控制项目成本，要严把工程决算审核关，以提高项目工程管理质量</w:t>
      </w:r>
      <w:r>
        <w:rPr>
          <w:highlight w:val="none"/>
        </w:rPr>
        <w:t>。</w:t>
      </w:r>
    </w:p>
    <w:p w14:paraId="18389FF8">
      <w:pPr>
        <w:pStyle w:val="4"/>
        <w:bidi w:val="0"/>
        <w:rPr>
          <w:rFonts w:hint="eastAsia"/>
          <w:lang w:val="en-US" w:eastAsia="zh-CN"/>
        </w:rPr>
      </w:pPr>
      <w:bookmarkStart w:id="62" w:name="_Toc19087"/>
      <w:r>
        <w:rPr>
          <w:rFonts w:hint="eastAsia"/>
          <w:lang w:val="en-US" w:eastAsia="zh-CN"/>
        </w:rPr>
        <w:t>3.加强项目预算执行效率</w:t>
      </w:r>
      <w:bookmarkEnd w:id="62"/>
    </w:p>
    <w:p w14:paraId="62B808DB">
      <w:pPr>
        <w:bidi w:val="0"/>
      </w:pPr>
      <w:r>
        <w:rPr>
          <w:rFonts w:hint="eastAsia"/>
          <w:lang w:val="en-US" w:eastAsia="zh-CN"/>
        </w:rPr>
        <w:t>项目领导小组定期总结并上报项目进度及实施情况，积极同上级财政部门沟通协调，尽快拨付财政资金，保障项目实施有充足的资金支持。加强项目质量和进度管理，按合同约定的付款进度，及时支付项目各项费用，提高价款支付及时性。</w:t>
      </w:r>
    </w:p>
    <w:p w14:paraId="286ECF15">
      <w:pPr>
        <w:pStyle w:val="2"/>
        <w:bidi w:val="0"/>
        <w:rPr>
          <w:rFonts w:hint="eastAsia"/>
          <w:lang w:val="en-US" w:eastAsia="zh-CN"/>
        </w:rPr>
      </w:pPr>
      <w:bookmarkStart w:id="63" w:name="_Toc19197"/>
      <w:bookmarkStart w:id="64" w:name="_Toc15009"/>
      <w:bookmarkStart w:id="65" w:name="_Toc154"/>
      <w:bookmarkStart w:id="66" w:name="_Toc16854"/>
      <w:r>
        <w:rPr>
          <w:rFonts w:hint="eastAsia"/>
          <w:lang w:val="en-US" w:eastAsia="zh-CN"/>
        </w:rPr>
        <w:t>六、其他需要说明的问题</w:t>
      </w:r>
      <w:bookmarkEnd w:id="63"/>
      <w:bookmarkEnd w:id="64"/>
      <w:bookmarkEnd w:id="65"/>
      <w:bookmarkEnd w:id="66"/>
      <w:r>
        <w:rPr>
          <w:rFonts w:hint="eastAsia"/>
          <w:lang w:val="en-US" w:eastAsia="zh-CN"/>
        </w:rPr>
        <w:t xml:space="preserve"> </w:t>
      </w:r>
    </w:p>
    <w:p w14:paraId="791DA723">
      <w:pPr>
        <w:bidi w:val="0"/>
      </w:pPr>
      <w:r>
        <w:t>项目绩效评价的可靠性基于被评价单位（项目实施单位）提供资料真实性、完整性，评价工作组尽可能地核实相关数据的准确性，但由于受客观因素的限制，其资料真实性和完整性最终由被评价单位（项目实施单位）负责。</w:t>
      </w:r>
    </w:p>
    <w:p w14:paraId="3A7B208A">
      <w:pPr>
        <w:bidi w:val="0"/>
      </w:pPr>
    </w:p>
    <w:p w14:paraId="4F86CAA3">
      <w:pPr>
        <w:bidi w:val="0"/>
      </w:pPr>
    </w:p>
    <w:p w14:paraId="7A344AF8">
      <w:pPr>
        <w:bidi w:val="0"/>
      </w:pPr>
      <w:r>
        <w:t>附件：</w:t>
      </w:r>
    </w:p>
    <w:p w14:paraId="6DF59884">
      <w:pPr>
        <w:bidi w:val="0"/>
      </w:pPr>
      <w:r>
        <w:t>1．指标体系综合评分表</w:t>
      </w:r>
    </w:p>
    <w:p w14:paraId="7A9F0EA7">
      <w:pPr>
        <w:bidi w:val="0"/>
      </w:pPr>
      <w:r>
        <w:t>2．满意度分析报告</w:t>
      </w:r>
    </w:p>
    <w:p w14:paraId="2C70EF6F">
      <w:pPr>
        <w:bidi w:val="0"/>
      </w:pPr>
      <w:r>
        <w:t>3．访谈报告</w:t>
      </w:r>
    </w:p>
    <w:p w14:paraId="7BB41543">
      <w:pPr>
        <w:bidi w:val="0"/>
      </w:pPr>
      <w:r>
        <w:rPr>
          <w:rFonts w:hint="eastAsia"/>
          <w:highlight w:val="none"/>
          <w:lang w:val="en-US" w:eastAsia="zh-CN"/>
        </w:rPr>
        <w:t>4. 评价小组成员资质证书</w:t>
      </w:r>
    </w:p>
    <w:p w14:paraId="0CA9D1D5">
      <w:pPr>
        <w:spacing w:line="580" w:lineRule="exact"/>
        <w:ind w:firstLine="720" w:firstLineChars="300"/>
        <w:rPr>
          <w:rFonts w:ascii="宋体" w:hAnsi="宋体"/>
          <w:snapToGrid w:val="0"/>
          <w:kern w:val="0"/>
          <w:sz w:val="24"/>
        </w:rPr>
      </w:pPr>
    </w:p>
    <w:p w14:paraId="504612C5">
      <w:pPr>
        <w:spacing w:line="580" w:lineRule="exact"/>
        <w:ind w:firstLine="720" w:firstLineChars="300"/>
        <w:rPr>
          <w:rFonts w:ascii="宋体" w:hAnsi="宋体"/>
          <w:snapToGrid w:val="0"/>
          <w:kern w:val="0"/>
          <w:sz w:val="24"/>
        </w:rPr>
      </w:pPr>
    </w:p>
    <w:p w14:paraId="0357C556">
      <w:pPr>
        <w:bidi w:val="0"/>
        <w:rPr>
          <w:rFonts w:hint="eastAsia"/>
        </w:rPr>
      </w:pPr>
      <w:r>
        <w:t>三门峡</w:t>
      </w:r>
      <w:r>
        <w:rPr>
          <w:rFonts w:hint="eastAsia"/>
        </w:rPr>
        <w:t>中和</w:t>
      </w:r>
      <w:r>
        <w:t xml:space="preserve">会计师事务所 </w:t>
      </w:r>
      <w:r>
        <w:rPr>
          <w:rFonts w:hint="eastAsia"/>
        </w:rPr>
        <w:t xml:space="preserve">    </w:t>
      </w:r>
      <w:r>
        <w:t xml:space="preserve"> </w:t>
      </w:r>
      <w:r>
        <w:rPr>
          <w:rFonts w:hint="eastAsia"/>
          <w:lang w:val="en-US" w:eastAsia="zh-CN"/>
        </w:rPr>
        <w:t xml:space="preserve">            </w:t>
      </w:r>
      <w:r>
        <w:t xml:space="preserve"> </w:t>
      </w:r>
      <w:r>
        <w:rPr>
          <w:rFonts w:hint="eastAsia"/>
          <w:lang w:val="en-US" w:eastAsia="zh-CN"/>
        </w:rPr>
        <w:t>绩效评价</w:t>
      </w:r>
      <w:r>
        <w:t>师</w:t>
      </w:r>
      <w:r>
        <w:rPr>
          <w:rFonts w:hint="eastAsia"/>
        </w:rPr>
        <w:t>：</w:t>
      </w:r>
    </w:p>
    <w:p w14:paraId="45CED584">
      <w:pPr>
        <w:bidi w:val="0"/>
        <w:rPr>
          <w:rFonts w:hint="eastAsia"/>
        </w:rPr>
      </w:pPr>
      <w:r>
        <w:rPr>
          <w:rFonts w:hint="eastAsia"/>
        </w:rPr>
        <w:t>　　</w:t>
      </w:r>
      <w:r>
        <w:rPr>
          <w:rFonts w:hint="eastAsia"/>
          <w:lang w:val="en-US" w:eastAsia="zh-CN"/>
        </w:rPr>
        <w:t xml:space="preserve"> </w:t>
      </w:r>
      <w:r>
        <w:rPr>
          <w:rFonts w:hint="eastAsia"/>
        </w:rPr>
        <w:t>（普通合伙）</w:t>
      </w:r>
    </w:p>
    <w:p w14:paraId="6759D5FB">
      <w:pPr>
        <w:bidi w:val="0"/>
        <w:rPr>
          <w:rFonts w:hint="eastAsia"/>
        </w:rPr>
      </w:pPr>
    </w:p>
    <w:p w14:paraId="38A7C0A1">
      <w:pPr>
        <w:bidi w:val="0"/>
        <w:ind w:firstLine="840" w:firstLineChars="300"/>
        <w:rPr>
          <w:rFonts w:hint="eastAsia"/>
        </w:rPr>
      </w:pPr>
      <w:r>
        <w:rPr>
          <w:rFonts w:hint="eastAsia"/>
        </w:rPr>
        <w:t>中国·河南·三门峡</w:t>
      </w:r>
      <w: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绩效评价</w:t>
      </w:r>
      <w:r>
        <w:t>师</w:t>
      </w:r>
      <w:r>
        <w:rPr>
          <w:rFonts w:hint="eastAsia"/>
        </w:rPr>
        <w:t>：</w:t>
      </w:r>
    </w:p>
    <w:p w14:paraId="7AE2AD9B">
      <w:pPr>
        <w:bidi w:val="0"/>
        <w:rPr>
          <w:rFonts w:hint="eastAsia"/>
          <w:lang w:val="en-US" w:eastAsia="zh-CN"/>
        </w:rPr>
        <w:sectPr>
          <w:headerReference r:id="rId7" w:type="default"/>
          <w:pgSz w:w="12130" w:h="17000"/>
          <w:pgMar w:top="1445" w:right="1695" w:bottom="1562" w:left="1650" w:header="0" w:footer="1304" w:gutter="0"/>
          <w:pgNumType w:fmt="numberInDash" w:start="1"/>
          <w:cols w:space="720" w:num="1"/>
        </w:sectPr>
      </w:pPr>
    </w:p>
    <w:bookmarkEnd w:id="0"/>
    <w:p w14:paraId="4A787DF1">
      <w:pPr>
        <w:pStyle w:val="2"/>
        <w:bidi w:val="0"/>
        <w:jc w:val="left"/>
      </w:pPr>
      <w:bookmarkStart w:id="67" w:name="_Toc4495"/>
      <w:bookmarkStart w:id="68" w:name="_Toc27132"/>
      <w:r>
        <w:rPr>
          <w:color w:val="000000"/>
          <w:sz w:val="32"/>
        </w:rPr>
        <w:t>附件一</w:t>
      </w:r>
      <w:r>
        <w:rPr>
          <w:rFonts w:hint="eastAsia"/>
          <w:color w:val="000000"/>
          <w:sz w:val="32"/>
          <w:lang w:val="en-US" w:eastAsia="zh-CN"/>
        </w:rPr>
        <w:t xml:space="preserve"> </w:t>
      </w:r>
      <w:r>
        <w:rPr>
          <w:color w:val="000000"/>
          <w:sz w:val="32"/>
        </w:rPr>
        <w:t>指标体系综合评分表</w:t>
      </w:r>
      <w:bookmarkEnd w:id="67"/>
      <w:bookmarkEnd w:id="68"/>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75"/>
        <w:gridCol w:w="786"/>
        <w:gridCol w:w="1054"/>
        <w:gridCol w:w="800"/>
        <w:gridCol w:w="2026"/>
        <w:gridCol w:w="1121"/>
        <w:gridCol w:w="4839"/>
        <w:gridCol w:w="3454"/>
        <w:gridCol w:w="761"/>
      </w:tblGrid>
      <w:tr w14:paraId="2D79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3" w:hRule="atLeast"/>
          <w:tblHeader/>
        </w:trPr>
        <w:tc>
          <w:tcPr>
            <w:tcW w:w="775" w:type="dxa"/>
            <w:shd w:val="clear" w:color="auto" w:fill="auto"/>
            <w:vAlign w:val="center"/>
          </w:tcPr>
          <w:p w14:paraId="5B8EA7E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一级</w:t>
            </w:r>
          </w:p>
          <w:p w14:paraId="34303F3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w:t>
            </w:r>
          </w:p>
        </w:tc>
        <w:tc>
          <w:tcPr>
            <w:tcW w:w="786" w:type="dxa"/>
            <w:shd w:val="clear" w:color="auto" w:fill="auto"/>
            <w:noWrap/>
            <w:vAlign w:val="center"/>
          </w:tcPr>
          <w:p w14:paraId="3E13656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指标</w:t>
            </w:r>
          </w:p>
        </w:tc>
        <w:tc>
          <w:tcPr>
            <w:tcW w:w="1054" w:type="dxa"/>
            <w:shd w:val="clear" w:color="auto" w:fill="auto"/>
            <w:vAlign w:val="center"/>
          </w:tcPr>
          <w:p w14:paraId="7AA63B6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三级</w:t>
            </w:r>
          </w:p>
          <w:p w14:paraId="7E6DF8D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w:t>
            </w:r>
          </w:p>
        </w:tc>
        <w:tc>
          <w:tcPr>
            <w:tcW w:w="800" w:type="dxa"/>
            <w:shd w:val="clear" w:color="auto" w:fill="auto"/>
            <w:noWrap/>
            <w:vAlign w:val="center"/>
          </w:tcPr>
          <w:p w14:paraId="4F35857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权重</w:t>
            </w:r>
          </w:p>
        </w:tc>
        <w:tc>
          <w:tcPr>
            <w:tcW w:w="2026" w:type="dxa"/>
            <w:shd w:val="clear" w:color="auto" w:fill="auto"/>
            <w:noWrap/>
            <w:vAlign w:val="center"/>
          </w:tcPr>
          <w:p w14:paraId="79EC743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指标解释</w:t>
            </w:r>
          </w:p>
        </w:tc>
        <w:tc>
          <w:tcPr>
            <w:tcW w:w="1121" w:type="dxa"/>
            <w:shd w:val="clear" w:color="auto" w:fill="auto"/>
            <w:noWrap/>
            <w:vAlign w:val="center"/>
          </w:tcPr>
          <w:p w14:paraId="220ADCE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标杆值</w:t>
            </w:r>
          </w:p>
        </w:tc>
        <w:tc>
          <w:tcPr>
            <w:tcW w:w="4839" w:type="dxa"/>
            <w:shd w:val="clear" w:color="auto" w:fill="auto"/>
            <w:noWrap/>
            <w:vAlign w:val="center"/>
          </w:tcPr>
          <w:p w14:paraId="54ABA66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评分标准</w:t>
            </w:r>
          </w:p>
        </w:tc>
        <w:tc>
          <w:tcPr>
            <w:tcW w:w="3454" w:type="dxa"/>
            <w:shd w:val="clear" w:color="auto" w:fill="auto"/>
            <w:noWrap/>
            <w:vAlign w:val="center"/>
          </w:tcPr>
          <w:p w14:paraId="598867F2">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评分过程</w:t>
            </w:r>
          </w:p>
        </w:tc>
        <w:tc>
          <w:tcPr>
            <w:tcW w:w="761" w:type="dxa"/>
            <w:shd w:val="clear" w:color="auto" w:fill="auto"/>
            <w:noWrap/>
            <w:vAlign w:val="center"/>
          </w:tcPr>
          <w:p w14:paraId="0C67457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得分</w:t>
            </w:r>
          </w:p>
        </w:tc>
      </w:tr>
      <w:tr w14:paraId="09E4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24" w:hRule="atLeast"/>
        </w:trPr>
        <w:tc>
          <w:tcPr>
            <w:tcW w:w="775" w:type="dxa"/>
            <w:vMerge w:val="restart"/>
            <w:shd w:val="clear" w:color="auto" w:fill="auto"/>
            <w:vAlign w:val="center"/>
          </w:tcPr>
          <w:p w14:paraId="3445900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决策</w:t>
            </w:r>
          </w:p>
          <w:p w14:paraId="602CA1E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w:t>
            </w:r>
          </w:p>
        </w:tc>
        <w:tc>
          <w:tcPr>
            <w:tcW w:w="786" w:type="dxa"/>
            <w:vMerge w:val="restart"/>
            <w:shd w:val="clear" w:color="auto" w:fill="auto"/>
            <w:noWrap/>
            <w:vAlign w:val="center"/>
          </w:tcPr>
          <w:p w14:paraId="1C841F75">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项目</w:t>
            </w:r>
          </w:p>
          <w:p w14:paraId="795C7E0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立项</w:t>
            </w:r>
          </w:p>
        </w:tc>
        <w:tc>
          <w:tcPr>
            <w:tcW w:w="1054" w:type="dxa"/>
            <w:shd w:val="clear" w:color="auto" w:fill="auto"/>
            <w:vAlign w:val="center"/>
          </w:tcPr>
          <w:p w14:paraId="4889B44C">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立项依据</w:t>
            </w:r>
          </w:p>
          <w:p w14:paraId="29D6E6E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充分性</w:t>
            </w:r>
          </w:p>
        </w:tc>
        <w:tc>
          <w:tcPr>
            <w:tcW w:w="800" w:type="dxa"/>
            <w:shd w:val="clear" w:color="auto" w:fill="auto"/>
            <w:noWrap/>
            <w:vAlign w:val="center"/>
          </w:tcPr>
          <w:p w14:paraId="6C68FCF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026" w:type="dxa"/>
            <w:shd w:val="clear" w:color="auto" w:fill="auto"/>
            <w:noWrap/>
            <w:vAlign w:val="center"/>
          </w:tcPr>
          <w:p w14:paraId="63ACE84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项目立项是否符合法律法规、相关政策、发展规划以及部门职责，用以反映和考核项目立项依据情况。</w:t>
            </w:r>
          </w:p>
        </w:tc>
        <w:tc>
          <w:tcPr>
            <w:tcW w:w="1121" w:type="dxa"/>
            <w:shd w:val="clear" w:color="auto" w:fill="auto"/>
            <w:noWrap/>
            <w:vAlign w:val="center"/>
          </w:tcPr>
          <w:p w14:paraId="260AC0E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充分</w:t>
            </w:r>
          </w:p>
        </w:tc>
        <w:tc>
          <w:tcPr>
            <w:tcW w:w="4839" w:type="dxa"/>
            <w:shd w:val="clear" w:color="auto" w:fill="auto"/>
            <w:vAlign w:val="center"/>
          </w:tcPr>
          <w:p w14:paraId="059A212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①与国家、省、市发展规划等重要部署相符（0.5分）；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②与部门职责范围相符，属于部门履约所需（0.5分）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③属于公共财政支持范围（0.5分）；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④不与相关部门同类项目或部门内部相关项目重复（0.5分）。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完全符合得相应要点分数，基本符合得相应要点分数50%，不符合不得分。</w:t>
            </w:r>
          </w:p>
        </w:tc>
        <w:tc>
          <w:tcPr>
            <w:tcW w:w="3454" w:type="dxa"/>
            <w:shd w:val="clear" w:color="auto" w:fill="auto"/>
            <w:vAlign w:val="center"/>
          </w:tcPr>
          <w:p w14:paraId="1742701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项目与中央、省、市政策一致，符合国民经济和社会发展规划，同时与三门峡市陕州区水利局职责息息相关；本项目投入具有公共性，属财政支持范围，且不与相关部门同类项目以及本部门内部相关项目重复。根据计分规则，该指标得满分。</w:t>
            </w:r>
          </w:p>
        </w:tc>
        <w:tc>
          <w:tcPr>
            <w:tcW w:w="761" w:type="dxa"/>
            <w:shd w:val="clear" w:color="auto" w:fill="auto"/>
            <w:noWrap/>
            <w:vAlign w:val="center"/>
          </w:tcPr>
          <w:p w14:paraId="77F0AB6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4725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8" w:hRule="atLeast"/>
        </w:trPr>
        <w:tc>
          <w:tcPr>
            <w:tcW w:w="775" w:type="dxa"/>
            <w:vMerge w:val="continue"/>
            <w:shd w:val="clear" w:color="auto" w:fill="auto"/>
            <w:vAlign w:val="center"/>
          </w:tcPr>
          <w:p w14:paraId="7FD3F453">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vMerge w:val="continue"/>
            <w:shd w:val="clear" w:color="auto" w:fill="auto"/>
            <w:noWrap/>
            <w:vAlign w:val="center"/>
          </w:tcPr>
          <w:p w14:paraId="445640DE">
            <w:pPr>
              <w:spacing w:line="240" w:lineRule="auto"/>
              <w:ind w:firstLine="0" w:firstLineChars="0"/>
              <w:jc w:val="center"/>
              <w:rPr>
                <w:rFonts w:hint="eastAsia" w:ascii="宋体" w:hAnsi="宋体" w:eastAsia="宋体" w:cs="宋体"/>
                <w:i w:val="0"/>
                <w:iCs w:val="0"/>
                <w:color w:val="000000"/>
                <w:sz w:val="18"/>
                <w:szCs w:val="18"/>
                <w:u w:val="none"/>
              </w:rPr>
            </w:pPr>
          </w:p>
        </w:tc>
        <w:tc>
          <w:tcPr>
            <w:tcW w:w="1054" w:type="dxa"/>
            <w:shd w:val="clear" w:color="auto" w:fill="auto"/>
            <w:vAlign w:val="center"/>
          </w:tcPr>
          <w:p w14:paraId="56F931EC">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立项程序</w:t>
            </w:r>
          </w:p>
          <w:p w14:paraId="27947D9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规范性</w:t>
            </w:r>
          </w:p>
        </w:tc>
        <w:tc>
          <w:tcPr>
            <w:tcW w:w="800" w:type="dxa"/>
            <w:shd w:val="clear" w:color="auto" w:fill="auto"/>
            <w:noWrap/>
            <w:vAlign w:val="center"/>
          </w:tcPr>
          <w:p w14:paraId="00FBDB2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026" w:type="dxa"/>
            <w:shd w:val="clear" w:color="auto" w:fill="auto"/>
            <w:noWrap/>
            <w:vAlign w:val="center"/>
          </w:tcPr>
          <w:p w14:paraId="7470505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各专项项目申请、设立过程是否符合相关要求，用以反映和考核各专项项目立项的规范情况。</w:t>
            </w:r>
          </w:p>
        </w:tc>
        <w:tc>
          <w:tcPr>
            <w:tcW w:w="1121" w:type="dxa"/>
            <w:shd w:val="clear" w:color="auto" w:fill="auto"/>
            <w:noWrap/>
            <w:vAlign w:val="center"/>
          </w:tcPr>
          <w:p w14:paraId="1E2B030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规范</w:t>
            </w:r>
          </w:p>
        </w:tc>
        <w:tc>
          <w:tcPr>
            <w:tcW w:w="4839" w:type="dxa"/>
            <w:shd w:val="clear" w:color="auto" w:fill="auto"/>
            <w:vAlign w:val="center"/>
          </w:tcPr>
          <w:p w14:paraId="0B3A709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①项目按规定程序申请设立；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②审批文件、材料符合要求；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③事前已经过必要的可行性研究、专家论证、风险评估、集体决策等。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具备要素①或②之一的，得到指标分值的30%；具备要素③，得到指标分值的40%。</w:t>
            </w:r>
          </w:p>
        </w:tc>
        <w:tc>
          <w:tcPr>
            <w:tcW w:w="3454" w:type="dxa"/>
            <w:shd w:val="clear" w:color="auto" w:fill="auto"/>
            <w:vAlign w:val="center"/>
          </w:tcPr>
          <w:p w14:paraId="317DC19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项目设立经过郑州大学综合设计研究院有限公司出具实施方案，后经陕州区水利局组织专家进行初步设计论证，提交了申报材料并通过批复：②项目过三门峡市水利局（三水发〔2022〕17号）、陕州区财政局（三财评审〔2022〕16号）予以批复立项；依据评分标准，该指标得满分。</w:t>
            </w:r>
          </w:p>
        </w:tc>
        <w:tc>
          <w:tcPr>
            <w:tcW w:w="761" w:type="dxa"/>
            <w:shd w:val="clear" w:color="auto" w:fill="auto"/>
            <w:noWrap/>
            <w:vAlign w:val="center"/>
          </w:tcPr>
          <w:p w14:paraId="7628430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3858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02" w:hRule="atLeast"/>
        </w:trPr>
        <w:tc>
          <w:tcPr>
            <w:tcW w:w="775" w:type="dxa"/>
            <w:vMerge w:val="restart"/>
            <w:shd w:val="clear" w:color="auto" w:fill="auto"/>
            <w:vAlign w:val="center"/>
          </w:tcPr>
          <w:p w14:paraId="0C99F26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决策</w:t>
            </w:r>
          </w:p>
          <w:p w14:paraId="516025A3">
            <w:pPr>
              <w:spacing w:line="240" w:lineRule="auto"/>
              <w:ind w:firstLine="0" w:firstLineChars="0"/>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w:t>
            </w:r>
          </w:p>
        </w:tc>
        <w:tc>
          <w:tcPr>
            <w:tcW w:w="786" w:type="dxa"/>
            <w:vMerge w:val="restart"/>
            <w:shd w:val="clear" w:color="auto" w:fill="auto"/>
            <w:noWrap/>
            <w:vAlign w:val="center"/>
          </w:tcPr>
          <w:p w14:paraId="6B4D5BA7">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绩效</w:t>
            </w:r>
          </w:p>
          <w:p w14:paraId="66E6924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目标</w:t>
            </w:r>
          </w:p>
        </w:tc>
        <w:tc>
          <w:tcPr>
            <w:tcW w:w="1054" w:type="dxa"/>
            <w:shd w:val="clear" w:color="auto" w:fill="auto"/>
            <w:vAlign w:val="center"/>
          </w:tcPr>
          <w:p w14:paraId="26211A97">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绩效目标</w:t>
            </w:r>
          </w:p>
          <w:p w14:paraId="2122FFA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合理性</w:t>
            </w:r>
          </w:p>
        </w:tc>
        <w:tc>
          <w:tcPr>
            <w:tcW w:w="800" w:type="dxa"/>
            <w:shd w:val="clear" w:color="auto" w:fill="auto"/>
            <w:noWrap/>
            <w:vAlign w:val="center"/>
          </w:tcPr>
          <w:p w14:paraId="11CE850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026" w:type="dxa"/>
            <w:shd w:val="clear" w:color="auto" w:fill="auto"/>
            <w:noWrap/>
            <w:vAlign w:val="center"/>
          </w:tcPr>
          <w:p w14:paraId="2029A47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项目所设定的绩效目标是否依据充分，是否符合客观实际，用以反映和考核项目绩效目标与项目实施的相符情况。</w:t>
            </w:r>
          </w:p>
        </w:tc>
        <w:tc>
          <w:tcPr>
            <w:tcW w:w="1121" w:type="dxa"/>
            <w:shd w:val="clear" w:color="auto" w:fill="auto"/>
            <w:noWrap/>
            <w:vAlign w:val="center"/>
          </w:tcPr>
          <w:p w14:paraId="1BEEB66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合理</w:t>
            </w:r>
          </w:p>
        </w:tc>
        <w:tc>
          <w:tcPr>
            <w:tcW w:w="4839" w:type="dxa"/>
            <w:shd w:val="clear" w:color="auto" w:fill="auto"/>
            <w:vAlign w:val="center"/>
          </w:tcPr>
          <w:p w14:paraId="397F4E2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①项目有绩效目标；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②绩效目标与实际工作内容相关。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①②得分要素的权重均为50％，要素符合得分，不符合不得分；如不满足①，该指标不得分。</w:t>
            </w:r>
          </w:p>
        </w:tc>
        <w:tc>
          <w:tcPr>
            <w:tcW w:w="3454" w:type="dxa"/>
            <w:shd w:val="clear" w:color="auto" w:fill="auto"/>
            <w:vAlign w:val="center"/>
          </w:tcPr>
          <w:p w14:paraId="572B34E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根据三门峡市陕州区水利局提供资料显示，陕州区水利局针对本项目制定有绩效目标，绩效目标与实际工作内容相关，依据评分标准，该指标得满分。</w:t>
            </w:r>
          </w:p>
        </w:tc>
        <w:tc>
          <w:tcPr>
            <w:tcW w:w="761" w:type="dxa"/>
            <w:shd w:val="clear" w:color="auto" w:fill="auto"/>
            <w:noWrap/>
            <w:vAlign w:val="center"/>
          </w:tcPr>
          <w:p w14:paraId="491ABAF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51BB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2" w:hRule="atLeast"/>
        </w:trPr>
        <w:tc>
          <w:tcPr>
            <w:tcW w:w="775" w:type="dxa"/>
            <w:vMerge w:val="continue"/>
            <w:shd w:val="clear" w:color="auto" w:fill="auto"/>
            <w:vAlign w:val="center"/>
          </w:tcPr>
          <w:p w14:paraId="6BFDAAF1">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vMerge w:val="continue"/>
            <w:shd w:val="clear" w:color="auto" w:fill="auto"/>
            <w:noWrap/>
            <w:vAlign w:val="center"/>
          </w:tcPr>
          <w:p w14:paraId="785377DA">
            <w:pPr>
              <w:spacing w:line="240" w:lineRule="auto"/>
              <w:ind w:firstLine="0" w:firstLineChars="0"/>
              <w:jc w:val="center"/>
              <w:rPr>
                <w:rFonts w:hint="eastAsia" w:ascii="宋体" w:hAnsi="宋体" w:eastAsia="宋体" w:cs="宋体"/>
                <w:i w:val="0"/>
                <w:iCs w:val="0"/>
                <w:color w:val="000000"/>
                <w:sz w:val="18"/>
                <w:szCs w:val="18"/>
                <w:u w:val="none"/>
              </w:rPr>
            </w:pPr>
          </w:p>
        </w:tc>
        <w:tc>
          <w:tcPr>
            <w:tcW w:w="1054" w:type="dxa"/>
            <w:shd w:val="clear" w:color="auto" w:fill="auto"/>
            <w:vAlign w:val="center"/>
          </w:tcPr>
          <w:p w14:paraId="22674D6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绩效指标</w:t>
            </w:r>
          </w:p>
          <w:p w14:paraId="3C957FE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明确性</w:t>
            </w:r>
          </w:p>
        </w:tc>
        <w:tc>
          <w:tcPr>
            <w:tcW w:w="800" w:type="dxa"/>
            <w:shd w:val="clear" w:color="auto" w:fill="auto"/>
            <w:noWrap/>
            <w:vAlign w:val="center"/>
          </w:tcPr>
          <w:p w14:paraId="0967E0D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026" w:type="dxa"/>
            <w:shd w:val="clear" w:color="auto" w:fill="auto"/>
            <w:noWrap/>
            <w:vAlign w:val="center"/>
          </w:tcPr>
          <w:p w14:paraId="51C14BA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依据绩效目标设定的绩效指标是否清晰、细化、可衡量等，用以反映和考核项目绩效目标的明细化情况。</w:t>
            </w:r>
          </w:p>
        </w:tc>
        <w:tc>
          <w:tcPr>
            <w:tcW w:w="1121" w:type="dxa"/>
            <w:shd w:val="clear" w:color="auto" w:fill="auto"/>
            <w:noWrap/>
            <w:vAlign w:val="center"/>
          </w:tcPr>
          <w:p w14:paraId="0973232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明确</w:t>
            </w:r>
          </w:p>
        </w:tc>
        <w:tc>
          <w:tcPr>
            <w:tcW w:w="4839" w:type="dxa"/>
            <w:shd w:val="clear" w:color="auto" w:fill="auto"/>
            <w:vAlign w:val="center"/>
          </w:tcPr>
          <w:p w14:paraId="788B649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①绩效目标分解细化且设置完整；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②指标值清晰可衡量；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③项目绩效指标与工作实施计划相匹配。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每发现一处未细化或存在偏差扣0.5分，扣完为止。</w:t>
            </w:r>
          </w:p>
        </w:tc>
        <w:tc>
          <w:tcPr>
            <w:tcW w:w="3454" w:type="dxa"/>
            <w:shd w:val="clear" w:color="auto" w:fill="auto"/>
            <w:vAlign w:val="center"/>
          </w:tcPr>
          <w:p w14:paraId="6BB9C59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单位对该项目2022年绩效目标分别从成本、产出、效益、满意度四个方面设置了绩效指标。但评价过程中发现，指标存在细化、量化程度不足或指标值设置存在偏差，如成本设置与年度预算偏差较大，产出指标设置过于简单，指标设置无法全面评价项目实施情况，依据评分标准，该指标得1分。</w:t>
            </w:r>
          </w:p>
        </w:tc>
        <w:tc>
          <w:tcPr>
            <w:tcW w:w="761" w:type="dxa"/>
            <w:shd w:val="clear" w:color="auto" w:fill="auto"/>
            <w:noWrap/>
            <w:vAlign w:val="center"/>
          </w:tcPr>
          <w:p w14:paraId="5EA1EF5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F7C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3" w:hRule="atLeast"/>
        </w:trPr>
        <w:tc>
          <w:tcPr>
            <w:tcW w:w="775" w:type="dxa"/>
            <w:vMerge w:val="restart"/>
            <w:shd w:val="clear" w:color="auto" w:fill="auto"/>
            <w:vAlign w:val="center"/>
          </w:tcPr>
          <w:p w14:paraId="497A7BC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决策</w:t>
            </w:r>
          </w:p>
          <w:p w14:paraId="6DB506C0">
            <w:pPr>
              <w:spacing w:line="240" w:lineRule="auto"/>
              <w:ind w:firstLine="0" w:firstLineChars="0"/>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w:t>
            </w:r>
          </w:p>
        </w:tc>
        <w:tc>
          <w:tcPr>
            <w:tcW w:w="786" w:type="dxa"/>
            <w:vMerge w:val="restart"/>
            <w:shd w:val="clear" w:color="auto" w:fill="auto"/>
            <w:noWrap/>
            <w:vAlign w:val="center"/>
          </w:tcPr>
          <w:p w14:paraId="2CD1DE76">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资金</w:t>
            </w:r>
          </w:p>
          <w:p w14:paraId="421117D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投入</w:t>
            </w:r>
          </w:p>
        </w:tc>
        <w:tc>
          <w:tcPr>
            <w:tcW w:w="1054" w:type="dxa"/>
            <w:shd w:val="clear" w:color="auto" w:fill="auto"/>
            <w:vAlign w:val="center"/>
          </w:tcPr>
          <w:p w14:paraId="0C5B18BF">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预算编制</w:t>
            </w:r>
          </w:p>
          <w:p w14:paraId="1B4ECEC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科学性</w:t>
            </w:r>
          </w:p>
        </w:tc>
        <w:tc>
          <w:tcPr>
            <w:tcW w:w="800" w:type="dxa"/>
            <w:shd w:val="clear" w:color="auto" w:fill="auto"/>
            <w:noWrap/>
            <w:vAlign w:val="center"/>
          </w:tcPr>
          <w:p w14:paraId="645711D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26" w:type="dxa"/>
            <w:shd w:val="clear" w:color="auto" w:fill="auto"/>
            <w:vAlign w:val="center"/>
          </w:tcPr>
          <w:p w14:paraId="11763A6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项目预算编制是否经过科学论证、有明确标准，资金额度与年度目标是否相适应，用以反映和考核项目预算编制的科学性、合理性情况。</w:t>
            </w:r>
          </w:p>
        </w:tc>
        <w:tc>
          <w:tcPr>
            <w:tcW w:w="1121" w:type="dxa"/>
            <w:shd w:val="clear" w:color="auto" w:fill="auto"/>
            <w:noWrap/>
            <w:vAlign w:val="center"/>
          </w:tcPr>
          <w:p w14:paraId="11775D2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科学</w:t>
            </w:r>
          </w:p>
        </w:tc>
        <w:tc>
          <w:tcPr>
            <w:tcW w:w="4839" w:type="dxa"/>
            <w:shd w:val="clear" w:color="auto" w:fill="auto"/>
            <w:vAlign w:val="center"/>
          </w:tcPr>
          <w:p w14:paraId="022A389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①预算编制是否经过科学论证（1分），预算编制经过科学论证且有明确的标准,得满满分，若规范性欠缺，按权重进行相应扣分；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②预算额度测算依据是否充分，是否按照标准编制（1分），预算额度测算按标准编制且依据充分，考虑因素全面，得满分，若合理性存在欠缺，按权重进行相应扣分；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③预算内容与项目内容是否匹配（1分），预算内容与项目工作内容完全相符，得满分，若有不符按相应权重进行扣分；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④预算确定的项目投资额或资金量是否与工作任务相匹配（1分），预算额度与工作任务相匹配，得满分，若有不符按相应权重进行扣分</w:t>
            </w:r>
          </w:p>
        </w:tc>
        <w:tc>
          <w:tcPr>
            <w:tcW w:w="3454" w:type="dxa"/>
            <w:shd w:val="clear" w:color="auto" w:fill="auto"/>
            <w:vAlign w:val="center"/>
          </w:tcPr>
          <w:p w14:paraId="31E2718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陕州区青龙涧河涧里村至杨家河村河道治理工程项目预算申报主要依据实施方案概算金额，概算金额经过专家论证及财政评审，预算编制经过科学论证，测算依据充分，但因资金问题，预算内容与后续项目内容存在偏差，预算确定的项目投资额与工作任务不匹配。经评价组商定，该指标得3分。</w:t>
            </w:r>
          </w:p>
        </w:tc>
        <w:tc>
          <w:tcPr>
            <w:tcW w:w="761" w:type="dxa"/>
            <w:shd w:val="clear" w:color="auto" w:fill="auto"/>
            <w:noWrap/>
            <w:vAlign w:val="center"/>
          </w:tcPr>
          <w:p w14:paraId="3773B89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cs="宋体"/>
                <w:i w:val="0"/>
                <w:iCs w:val="0"/>
                <w:color w:val="000000"/>
                <w:kern w:val="0"/>
                <w:sz w:val="18"/>
                <w:szCs w:val="18"/>
                <w:u w:val="none"/>
                <w:lang w:val="en-US" w:eastAsia="zh-CN" w:bidi="ar"/>
              </w:rPr>
              <w:t>3</w:t>
            </w:r>
          </w:p>
        </w:tc>
      </w:tr>
      <w:tr w14:paraId="5989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94" w:hRule="atLeast"/>
        </w:trPr>
        <w:tc>
          <w:tcPr>
            <w:tcW w:w="775" w:type="dxa"/>
            <w:vMerge w:val="continue"/>
            <w:shd w:val="clear" w:color="auto" w:fill="auto"/>
            <w:vAlign w:val="center"/>
          </w:tcPr>
          <w:p w14:paraId="3088D7AC">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vMerge w:val="continue"/>
            <w:shd w:val="clear" w:color="auto" w:fill="auto"/>
            <w:noWrap/>
            <w:vAlign w:val="center"/>
          </w:tcPr>
          <w:p w14:paraId="7035B3C1">
            <w:pPr>
              <w:spacing w:line="240" w:lineRule="auto"/>
              <w:ind w:firstLine="0" w:firstLineChars="0"/>
              <w:jc w:val="center"/>
              <w:rPr>
                <w:rFonts w:hint="eastAsia" w:ascii="宋体" w:hAnsi="宋体" w:eastAsia="宋体" w:cs="宋体"/>
                <w:i w:val="0"/>
                <w:iCs w:val="0"/>
                <w:color w:val="000000"/>
                <w:sz w:val="18"/>
                <w:szCs w:val="18"/>
                <w:u w:val="none"/>
              </w:rPr>
            </w:pPr>
          </w:p>
        </w:tc>
        <w:tc>
          <w:tcPr>
            <w:tcW w:w="1054" w:type="dxa"/>
            <w:shd w:val="clear" w:color="auto" w:fill="auto"/>
            <w:vAlign w:val="center"/>
          </w:tcPr>
          <w:p w14:paraId="761D0827">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资金分配</w:t>
            </w:r>
          </w:p>
          <w:p w14:paraId="0F882CA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合理性</w:t>
            </w:r>
          </w:p>
        </w:tc>
        <w:tc>
          <w:tcPr>
            <w:tcW w:w="800" w:type="dxa"/>
            <w:shd w:val="clear" w:color="auto" w:fill="auto"/>
            <w:noWrap/>
            <w:vAlign w:val="center"/>
          </w:tcPr>
          <w:p w14:paraId="144D361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026" w:type="dxa"/>
            <w:shd w:val="clear" w:color="auto" w:fill="auto"/>
            <w:vAlign w:val="center"/>
          </w:tcPr>
          <w:p w14:paraId="62494EA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各专项预算资金分配是否有测算依据，与实际是否相适应，用以反映和考核项目预算资金分配的科学性、合理性情况。</w:t>
            </w:r>
          </w:p>
        </w:tc>
        <w:tc>
          <w:tcPr>
            <w:tcW w:w="1121" w:type="dxa"/>
            <w:shd w:val="clear" w:color="auto" w:fill="auto"/>
            <w:noWrap/>
            <w:vAlign w:val="center"/>
          </w:tcPr>
          <w:p w14:paraId="4260973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合理</w:t>
            </w:r>
          </w:p>
        </w:tc>
        <w:tc>
          <w:tcPr>
            <w:tcW w:w="4839" w:type="dxa"/>
            <w:shd w:val="clear" w:color="auto" w:fill="auto"/>
            <w:vAlign w:val="center"/>
          </w:tcPr>
          <w:p w14:paraId="3C4B3C9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①资金分配依据是否充分；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②资金分配额度是否合理，与项目的实际情况是否相适应。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①②得分要素的权重均为50％，完全符合得相应要素100%分值；基本符合得相应要素80%分值；一般符合得相应要素30%分值；完全不符合不得分。</w:t>
            </w:r>
          </w:p>
        </w:tc>
        <w:tc>
          <w:tcPr>
            <w:tcW w:w="3454" w:type="dxa"/>
            <w:shd w:val="clear" w:color="auto" w:fill="auto"/>
            <w:vAlign w:val="center"/>
          </w:tcPr>
          <w:p w14:paraId="4A6649F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项目资金分配额度主要依据《建设施工合同》及《工程监理合同》约定金额及付款进度进行，但实际2022年度预算资金额度及支付进度与项目合同约定情况存在明显偏差。依据计分规则，该指标得2分。</w:t>
            </w:r>
          </w:p>
        </w:tc>
        <w:tc>
          <w:tcPr>
            <w:tcW w:w="761" w:type="dxa"/>
            <w:shd w:val="clear" w:color="auto" w:fill="auto"/>
            <w:noWrap/>
            <w:vAlign w:val="center"/>
          </w:tcPr>
          <w:p w14:paraId="258ACF3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cs="宋体"/>
                <w:i w:val="0"/>
                <w:iCs w:val="0"/>
                <w:color w:val="000000"/>
                <w:kern w:val="0"/>
                <w:sz w:val="18"/>
                <w:szCs w:val="18"/>
                <w:u w:val="none"/>
                <w:lang w:val="en-US" w:eastAsia="zh-CN" w:bidi="ar"/>
              </w:rPr>
              <w:t>2</w:t>
            </w:r>
          </w:p>
        </w:tc>
      </w:tr>
      <w:tr w14:paraId="1FE5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40" w:hRule="atLeast"/>
        </w:trPr>
        <w:tc>
          <w:tcPr>
            <w:tcW w:w="775" w:type="dxa"/>
            <w:vMerge w:val="restart"/>
            <w:shd w:val="clear" w:color="auto" w:fill="auto"/>
            <w:vAlign w:val="center"/>
          </w:tcPr>
          <w:p w14:paraId="256D62E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过程</w:t>
            </w:r>
          </w:p>
          <w:p w14:paraId="5EB5258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w:t>
            </w:r>
          </w:p>
        </w:tc>
        <w:tc>
          <w:tcPr>
            <w:tcW w:w="786" w:type="dxa"/>
            <w:vMerge w:val="restart"/>
            <w:shd w:val="clear" w:color="auto" w:fill="auto"/>
            <w:noWrap/>
            <w:vAlign w:val="center"/>
          </w:tcPr>
          <w:p w14:paraId="25EA8A7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资金</w:t>
            </w:r>
          </w:p>
          <w:p w14:paraId="341B14E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w:t>
            </w:r>
          </w:p>
        </w:tc>
        <w:tc>
          <w:tcPr>
            <w:tcW w:w="1054" w:type="dxa"/>
            <w:shd w:val="clear" w:color="auto" w:fill="auto"/>
            <w:vAlign w:val="center"/>
          </w:tcPr>
          <w:p w14:paraId="20B10D4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资金到位率</w:t>
            </w:r>
          </w:p>
        </w:tc>
        <w:tc>
          <w:tcPr>
            <w:tcW w:w="800" w:type="dxa"/>
            <w:shd w:val="clear" w:color="auto" w:fill="auto"/>
            <w:noWrap/>
            <w:vAlign w:val="center"/>
          </w:tcPr>
          <w:p w14:paraId="33A094F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26" w:type="dxa"/>
            <w:shd w:val="clear" w:color="auto" w:fill="auto"/>
            <w:vAlign w:val="center"/>
          </w:tcPr>
          <w:p w14:paraId="1AF5675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实际到位资金与预算资金的比率，用以反映和考核上级财政资金落实保障程度。</w:t>
            </w:r>
          </w:p>
        </w:tc>
        <w:tc>
          <w:tcPr>
            <w:tcW w:w="1121" w:type="dxa"/>
            <w:shd w:val="clear" w:color="auto" w:fill="auto"/>
            <w:noWrap/>
            <w:vAlign w:val="center"/>
          </w:tcPr>
          <w:p w14:paraId="1109A63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39" w:type="dxa"/>
            <w:shd w:val="clear" w:color="auto" w:fill="auto"/>
            <w:vAlign w:val="center"/>
          </w:tcPr>
          <w:p w14:paraId="063E7DB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资金到位率=（实际到位资金/计划投入资金）×100%，其中：实际到位资金：项目期内实际落实到具体项目的资金。 计划投入资金：项目期内计划投入到具体项目的资金。 资金到位率≤100%，且未对项目开展造成不良影响，得分等于指标分值*资金到位率；资金到位率﹤100%并对项目开展造成不良影响，得分等于0。</w:t>
            </w:r>
          </w:p>
        </w:tc>
        <w:tc>
          <w:tcPr>
            <w:tcW w:w="3454" w:type="dxa"/>
            <w:shd w:val="clear" w:color="auto" w:fill="auto"/>
            <w:vAlign w:val="center"/>
          </w:tcPr>
          <w:p w14:paraId="6838A6A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2022年度项目预算资金2624.21万元，实际到位资金1614.99万元，到位率61.54%。截至绩效评价日，剩余地方配套资金1009.22万元于2023年11月2日到位，未对项目开展造成不良影响。依据评分规则得2.46分。</w:t>
            </w:r>
          </w:p>
        </w:tc>
        <w:tc>
          <w:tcPr>
            <w:tcW w:w="761" w:type="dxa"/>
            <w:shd w:val="clear" w:color="auto" w:fill="auto"/>
            <w:noWrap/>
            <w:vAlign w:val="center"/>
          </w:tcPr>
          <w:p w14:paraId="3C35D6A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w:t>
            </w:r>
          </w:p>
        </w:tc>
      </w:tr>
      <w:tr w14:paraId="4F9B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0" w:hRule="atLeast"/>
        </w:trPr>
        <w:tc>
          <w:tcPr>
            <w:tcW w:w="775" w:type="dxa"/>
            <w:vMerge w:val="continue"/>
            <w:shd w:val="clear" w:color="auto" w:fill="auto"/>
            <w:vAlign w:val="center"/>
          </w:tcPr>
          <w:p w14:paraId="7ADC1FA0">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vMerge w:val="continue"/>
            <w:shd w:val="clear" w:color="auto" w:fill="auto"/>
            <w:noWrap/>
            <w:vAlign w:val="center"/>
          </w:tcPr>
          <w:p w14:paraId="7E484B9B">
            <w:pPr>
              <w:spacing w:line="240" w:lineRule="auto"/>
              <w:ind w:firstLine="0" w:firstLineChars="0"/>
              <w:jc w:val="center"/>
              <w:rPr>
                <w:rFonts w:hint="eastAsia" w:ascii="宋体" w:hAnsi="宋体" w:eastAsia="宋体" w:cs="宋体"/>
                <w:i w:val="0"/>
                <w:iCs w:val="0"/>
                <w:color w:val="000000"/>
                <w:sz w:val="18"/>
                <w:szCs w:val="18"/>
                <w:u w:val="none"/>
              </w:rPr>
            </w:pPr>
          </w:p>
        </w:tc>
        <w:tc>
          <w:tcPr>
            <w:tcW w:w="1054" w:type="dxa"/>
            <w:shd w:val="clear" w:color="auto" w:fill="auto"/>
            <w:vAlign w:val="center"/>
          </w:tcPr>
          <w:p w14:paraId="10A4BCF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预算执行率</w:t>
            </w:r>
          </w:p>
        </w:tc>
        <w:tc>
          <w:tcPr>
            <w:tcW w:w="800" w:type="dxa"/>
            <w:shd w:val="clear" w:color="auto" w:fill="auto"/>
            <w:noWrap/>
            <w:vAlign w:val="center"/>
          </w:tcPr>
          <w:p w14:paraId="125C803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026" w:type="dxa"/>
            <w:shd w:val="clear" w:color="auto" w:fill="auto"/>
            <w:vAlign w:val="center"/>
          </w:tcPr>
          <w:p w14:paraId="00A4DBE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项目预算资金是否按照计划执行，用以反映或考核项目预算执行情况。</w:t>
            </w:r>
          </w:p>
        </w:tc>
        <w:tc>
          <w:tcPr>
            <w:tcW w:w="1121" w:type="dxa"/>
            <w:shd w:val="clear" w:color="auto" w:fill="auto"/>
            <w:vAlign w:val="center"/>
          </w:tcPr>
          <w:p w14:paraId="246478A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39" w:type="dxa"/>
            <w:shd w:val="clear" w:color="auto" w:fill="auto"/>
            <w:vAlign w:val="center"/>
          </w:tcPr>
          <w:p w14:paraId="5D34D24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预算执行率=(实际支出资金/实际到位资金)×100% ，其中：实际支出资金：一定时期（本年度或项目期）内项目实际拨付的资金； 实际到位资金：一定时期（本年度或项目期）内实际落实到具体项目的资金。 得分等于指标分值*预算执行率。</w:t>
            </w:r>
          </w:p>
        </w:tc>
        <w:tc>
          <w:tcPr>
            <w:tcW w:w="3454" w:type="dxa"/>
            <w:shd w:val="clear" w:color="auto" w:fill="auto"/>
            <w:vAlign w:val="center"/>
          </w:tcPr>
          <w:p w14:paraId="19977D5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截至绩效评价日，该项目预算资金实际到位2624.21万元，实际支出241.30万元，到位资金支出率9.19%。评价小组考虑到实际执行程序等问题，综合考虑</w:t>
            </w:r>
            <w:bookmarkStart w:id="76" w:name="_GoBack"/>
            <w:bookmarkEnd w:id="76"/>
            <w:r>
              <w:rPr>
                <w:rFonts w:hint="eastAsia" w:ascii="宋体" w:hAnsi="宋体" w:eastAsia="宋体" w:cs="宋体"/>
                <w:i w:val="0"/>
                <w:iCs w:val="0"/>
                <w:color w:val="000000"/>
                <w:kern w:val="0"/>
                <w:sz w:val="18"/>
                <w:szCs w:val="18"/>
                <w:u w:val="none"/>
                <w:lang w:val="en-US" w:eastAsia="zh-CN" w:bidi="ar"/>
              </w:rPr>
              <w:t>评分标准，该指标得2分</w:t>
            </w:r>
            <w:r>
              <w:rPr>
                <w:rFonts w:hint="eastAsia" w:cs="宋体"/>
                <w:i w:val="0"/>
                <w:iCs w:val="0"/>
                <w:color w:val="000000"/>
                <w:kern w:val="0"/>
                <w:sz w:val="18"/>
                <w:szCs w:val="18"/>
                <w:u w:val="none"/>
                <w:lang w:val="en-US" w:eastAsia="zh-CN" w:bidi="ar"/>
              </w:rPr>
              <w:t>。</w:t>
            </w:r>
          </w:p>
        </w:tc>
        <w:tc>
          <w:tcPr>
            <w:tcW w:w="761" w:type="dxa"/>
            <w:shd w:val="clear" w:color="auto" w:fill="auto"/>
            <w:noWrap/>
            <w:vAlign w:val="center"/>
          </w:tcPr>
          <w:p w14:paraId="56F127C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cs="宋体"/>
                <w:i w:val="0"/>
                <w:iCs w:val="0"/>
                <w:color w:val="000000"/>
                <w:kern w:val="0"/>
                <w:sz w:val="18"/>
                <w:szCs w:val="18"/>
                <w:u w:val="none"/>
                <w:lang w:val="en-US" w:eastAsia="zh-CN" w:bidi="ar"/>
              </w:rPr>
              <w:t>2</w:t>
            </w:r>
          </w:p>
        </w:tc>
      </w:tr>
      <w:tr w14:paraId="2DAA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6" w:hRule="atLeast"/>
        </w:trPr>
        <w:tc>
          <w:tcPr>
            <w:tcW w:w="775" w:type="dxa"/>
            <w:vMerge w:val="continue"/>
            <w:shd w:val="clear" w:color="auto" w:fill="auto"/>
            <w:vAlign w:val="center"/>
          </w:tcPr>
          <w:p w14:paraId="2DA17D46">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vMerge w:val="continue"/>
            <w:shd w:val="clear" w:color="auto" w:fill="auto"/>
            <w:noWrap/>
            <w:vAlign w:val="center"/>
          </w:tcPr>
          <w:p w14:paraId="67AB76EC">
            <w:pPr>
              <w:spacing w:line="240" w:lineRule="auto"/>
              <w:ind w:firstLine="0" w:firstLineChars="0"/>
              <w:jc w:val="center"/>
              <w:rPr>
                <w:rFonts w:hint="eastAsia" w:ascii="宋体" w:hAnsi="宋体" w:eastAsia="宋体" w:cs="宋体"/>
                <w:i w:val="0"/>
                <w:iCs w:val="0"/>
                <w:color w:val="000000"/>
                <w:sz w:val="18"/>
                <w:szCs w:val="18"/>
                <w:u w:val="none"/>
              </w:rPr>
            </w:pPr>
          </w:p>
        </w:tc>
        <w:tc>
          <w:tcPr>
            <w:tcW w:w="1054" w:type="dxa"/>
            <w:shd w:val="clear" w:color="auto" w:fill="auto"/>
            <w:vAlign w:val="center"/>
          </w:tcPr>
          <w:p w14:paraId="49C80D4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资金使用</w:t>
            </w:r>
          </w:p>
          <w:p w14:paraId="53E32FF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合规性</w:t>
            </w:r>
          </w:p>
        </w:tc>
        <w:tc>
          <w:tcPr>
            <w:tcW w:w="800" w:type="dxa"/>
            <w:shd w:val="clear" w:color="auto" w:fill="auto"/>
            <w:noWrap/>
            <w:vAlign w:val="center"/>
          </w:tcPr>
          <w:p w14:paraId="0ECF3FA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26" w:type="dxa"/>
            <w:shd w:val="clear" w:color="auto" w:fill="auto"/>
            <w:noWrap/>
            <w:vAlign w:val="center"/>
          </w:tcPr>
          <w:p w14:paraId="20D21DC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项目资金使用是否符合相关的财务管理制度及合同规定，用以反映和考核项目资金的规范运行情况。</w:t>
            </w:r>
          </w:p>
        </w:tc>
        <w:tc>
          <w:tcPr>
            <w:tcW w:w="1121" w:type="dxa"/>
            <w:shd w:val="clear" w:color="auto" w:fill="auto"/>
            <w:noWrap/>
            <w:vAlign w:val="center"/>
          </w:tcPr>
          <w:p w14:paraId="5359DBC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合规</w:t>
            </w:r>
          </w:p>
        </w:tc>
        <w:tc>
          <w:tcPr>
            <w:tcW w:w="4839" w:type="dxa"/>
            <w:shd w:val="clear" w:color="auto" w:fill="auto"/>
            <w:vAlign w:val="center"/>
          </w:tcPr>
          <w:p w14:paraId="772EABD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①资金的拨付、使用符合资金管理办法、财务管理制度、预算批复及合同规定，审批手续完整（2分）；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②不存在截留、挤占、挪用、虚列支出等情况（2分）。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每项出现一处不合规的问题扣1分，扣完为止。</w:t>
            </w:r>
          </w:p>
        </w:tc>
        <w:tc>
          <w:tcPr>
            <w:tcW w:w="3454" w:type="dxa"/>
            <w:shd w:val="clear" w:color="auto" w:fill="auto"/>
            <w:vAlign w:val="center"/>
          </w:tcPr>
          <w:p w14:paraId="713EFAC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经查阅支付凭证、原始单据等财务资料，资金申请及支付资料齐全，资金使用审批手续完备，未发现存在截留、挤占、挪用、虚列支出的情况，资金支出财务处理规范，根据评分标准，得4分。</w:t>
            </w:r>
          </w:p>
        </w:tc>
        <w:tc>
          <w:tcPr>
            <w:tcW w:w="761" w:type="dxa"/>
            <w:shd w:val="clear" w:color="auto" w:fill="auto"/>
            <w:noWrap/>
            <w:vAlign w:val="center"/>
          </w:tcPr>
          <w:p w14:paraId="7EF745A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14:paraId="05BC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94" w:hRule="atLeast"/>
        </w:trPr>
        <w:tc>
          <w:tcPr>
            <w:tcW w:w="775" w:type="dxa"/>
            <w:vMerge w:val="restart"/>
            <w:shd w:val="clear" w:color="auto" w:fill="auto"/>
            <w:vAlign w:val="center"/>
          </w:tcPr>
          <w:p w14:paraId="0A09464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过程</w:t>
            </w:r>
          </w:p>
          <w:p w14:paraId="61C5F886">
            <w:pPr>
              <w:spacing w:line="240" w:lineRule="auto"/>
              <w:ind w:firstLine="0" w:firstLineChars="0"/>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w:t>
            </w:r>
          </w:p>
        </w:tc>
        <w:tc>
          <w:tcPr>
            <w:tcW w:w="786" w:type="dxa"/>
            <w:vMerge w:val="restart"/>
            <w:shd w:val="clear" w:color="auto" w:fill="auto"/>
            <w:noWrap/>
            <w:vAlign w:val="center"/>
          </w:tcPr>
          <w:p w14:paraId="47E92C20">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组织</w:t>
            </w:r>
          </w:p>
          <w:p w14:paraId="3AB3C58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实施</w:t>
            </w:r>
          </w:p>
        </w:tc>
        <w:tc>
          <w:tcPr>
            <w:tcW w:w="1054" w:type="dxa"/>
            <w:shd w:val="clear" w:color="auto" w:fill="auto"/>
            <w:vAlign w:val="center"/>
          </w:tcPr>
          <w:p w14:paraId="4902A934">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管理制度</w:t>
            </w:r>
          </w:p>
          <w:p w14:paraId="12DF6CF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健全性</w:t>
            </w:r>
          </w:p>
        </w:tc>
        <w:tc>
          <w:tcPr>
            <w:tcW w:w="800" w:type="dxa"/>
            <w:shd w:val="clear" w:color="auto" w:fill="auto"/>
            <w:noWrap/>
            <w:vAlign w:val="center"/>
          </w:tcPr>
          <w:p w14:paraId="4543909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026" w:type="dxa"/>
            <w:shd w:val="clear" w:color="auto" w:fill="auto"/>
            <w:vAlign w:val="center"/>
          </w:tcPr>
          <w:p w14:paraId="6DCCDB8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考察项目单位是否为保障项目实施制定了详细的管理制度。</w:t>
            </w:r>
          </w:p>
        </w:tc>
        <w:tc>
          <w:tcPr>
            <w:tcW w:w="1121" w:type="dxa"/>
            <w:shd w:val="clear" w:color="auto" w:fill="auto"/>
            <w:noWrap/>
            <w:vAlign w:val="center"/>
          </w:tcPr>
          <w:p w14:paraId="5458796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健全</w:t>
            </w:r>
          </w:p>
        </w:tc>
        <w:tc>
          <w:tcPr>
            <w:tcW w:w="4839" w:type="dxa"/>
            <w:shd w:val="clear" w:color="auto" w:fill="auto"/>
            <w:vAlign w:val="center"/>
          </w:tcPr>
          <w:p w14:paraId="227CBC5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①财务管理制度、资金管理制度都健全可行，合法合规（1分）；有一项不符合，扣0.25分，扣完为止。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①业务管理制度、安全管理制度、档案管理制度等相关业务管理制度都健全可行，合法合规，得2分；有一项不符合，扣0.5分，扣完为止。</w:t>
            </w:r>
          </w:p>
        </w:tc>
        <w:tc>
          <w:tcPr>
            <w:tcW w:w="3454" w:type="dxa"/>
            <w:shd w:val="clear" w:color="auto" w:fill="auto"/>
            <w:vAlign w:val="center"/>
          </w:tcPr>
          <w:p w14:paraId="5C821DB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根据收集到的材料和资料，陕州区水利局编制有项目主管单位监管制度、项目档案管理制度及《财务管理制度》。依据评分标准得3分。</w:t>
            </w:r>
          </w:p>
        </w:tc>
        <w:tc>
          <w:tcPr>
            <w:tcW w:w="761" w:type="dxa"/>
            <w:shd w:val="clear" w:color="auto" w:fill="auto"/>
            <w:noWrap/>
            <w:vAlign w:val="center"/>
          </w:tcPr>
          <w:p w14:paraId="2617EFD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587C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0" w:hRule="atLeast"/>
        </w:trPr>
        <w:tc>
          <w:tcPr>
            <w:tcW w:w="775" w:type="dxa"/>
            <w:vMerge w:val="continue"/>
            <w:shd w:val="clear" w:color="auto" w:fill="auto"/>
            <w:vAlign w:val="center"/>
          </w:tcPr>
          <w:p w14:paraId="2A1601B9">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vMerge w:val="continue"/>
            <w:shd w:val="clear" w:color="auto" w:fill="auto"/>
            <w:noWrap/>
            <w:vAlign w:val="center"/>
          </w:tcPr>
          <w:p w14:paraId="5A51AC31">
            <w:pPr>
              <w:spacing w:line="240" w:lineRule="auto"/>
              <w:ind w:firstLine="0" w:firstLineChars="0"/>
              <w:jc w:val="center"/>
              <w:rPr>
                <w:rFonts w:hint="eastAsia" w:ascii="宋体" w:hAnsi="宋体" w:eastAsia="宋体" w:cs="宋体"/>
                <w:i w:val="0"/>
                <w:iCs w:val="0"/>
                <w:color w:val="000000"/>
                <w:sz w:val="18"/>
                <w:szCs w:val="18"/>
                <w:u w:val="none"/>
              </w:rPr>
            </w:pPr>
          </w:p>
        </w:tc>
        <w:tc>
          <w:tcPr>
            <w:tcW w:w="1054" w:type="dxa"/>
            <w:shd w:val="clear" w:color="auto" w:fill="auto"/>
            <w:vAlign w:val="center"/>
          </w:tcPr>
          <w:p w14:paraId="453D8ECA">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制度执行</w:t>
            </w:r>
          </w:p>
          <w:p w14:paraId="7B7B832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有效性</w:t>
            </w:r>
          </w:p>
        </w:tc>
        <w:tc>
          <w:tcPr>
            <w:tcW w:w="800" w:type="dxa"/>
            <w:shd w:val="clear" w:color="auto" w:fill="auto"/>
            <w:noWrap/>
            <w:vAlign w:val="center"/>
          </w:tcPr>
          <w:p w14:paraId="70E6735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26" w:type="dxa"/>
            <w:shd w:val="clear" w:color="auto" w:fill="auto"/>
            <w:noWrap/>
            <w:vAlign w:val="center"/>
          </w:tcPr>
          <w:p w14:paraId="11ECC57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项目实施是否符合相关管理规定，用以反映和考核相关管理制度的有效执行情况。</w:t>
            </w:r>
          </w:p>
        </w:tc>
        <w:tc>
          <w:tcPr>
            <w:tcW w:w="1121" w:type="dxa"/>
            <w:shd w:val="clear" w:color="auto" w:fill="auto"/>
            <w:noWrap/>
            <w:vAlign w:val="center"/>
          </w:tcPr>
          <w:p w14:paraId="2A61565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w:t>
            </w:r>
          </w:p>
        </w:tc>
        <w:tc>
          <w:tcPr>
            <w:tcW w:w="4839" w:type="dxa"/>
            <w:shd w:val="clear" w:color="auto" w:fill="auto"/>
            <w:vAlign w:val="center"/>
          </w:tcPr>
          <w:p w14:paraId="39D7233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①档案资料应包括项目申报文件、批复文件，绩效目标表，资金申请报告，建筑工程施工许可证、工程验收、资金支付等档案资料齐全得2分；发现应有未有的资料，每缺一项扣0.25分，扣完为止。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②项目实施的人员配备齐全、机构健全、组织机制健全，职责分工明确，得2分；有一项不符合，扣0.25分，扣完为止。</w:t>
            </w:r>
          </w:p>
        </w:tc>
        <w:tc>
          <w:tcPr>
            <w:tcW w:w="3454" w:type="dxa"/>
            <w:shd w:val="clear" w:color="auto" w:fill="auto"/>
            <w:vAlign w:val="center"/>
          </w:tcPr>
          <w:p w14:paraId="5757394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据评价小组获取资料情况，陕州区水利局对项目工程进行了日常监督，积极协调项目相关各方推进项目实施；职责分工明确，确定部门及专人对项目进行跟进。根据计分规则，该指标得4分。</w:t>
            </w:r>
          </w:p>
        </w:tc>
        <w:tc>
          <w:tcPr>
            <w:tcW w:w="761" w:type="dxa"/>
            <w:shd w:val="clear" w:color="auto" w:fill="auto"/>
            <w:noWrap/>
            <w:vAlign w:val="center"/>
          </w:tcPr>
          <w:p w14:paraId="7021CDF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14:paraId="1877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62" w:hRule="atLeast"/>
        </w:trPr>
        <w:tc>
          <w:tcPr>
            <w:tcW w:w="775" w:type="dxa"/>
            <w:vMerge w:val="restart"/>
            <w:shd w:val="clear" w:color="auto" w:fill="auto"/>
            <w:vAlign w:val="center"/>
          </w:tcPr>
          <w:p w14:paraId="20EB225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过程</w:t>
            </w:r>
          </w:p>
          <w:p w14:paraId="46FFA619">
            <w:pPr>
              <w:spacing w:line="240" w:lineRule="auto"/>
              <w:ind w:firstLine="0" w:firstLineChars="0"/>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w:t>
            </w:r>
          </w:p>
        </w:tc>
        <w:tc>
          <w:tcPr>
            <w:tcW w:w="786" w:type="dxa"/>
            <w:vMerge w:val="restart"/>
            <w:shd w:val="clear" w:color="auto" w:fill="auto"/>
            <w:noWrap/>
            <w:vAlign w:val="center"/>
          </w:tcPr>
          <w:p w14:paraId="66D572E3">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组织</w:t>
            </w:r>
          </w:p>
          <w:p w14:paraId="0327A8CA">
            <w:pPr>
              <w:spacing w:line="240" w:lineRule="auto"/>
              <w:ind w:firstLine="0" w:firstLineChars="0"/>
              <w:jc w:val="center"/>
              <w:rPr>
                <w:rFonts w:hint="eastAsia" w:ascii="宋体" w:hAnsi="宋体" w:eastAsia="宋体" w:cs="宋体"/>
                <w:i w:val="0"/>
                <w:iCs w:val="0"/>
                <w:color w:val="000000"/>
                <w:sz w:val="18"/>
                <w:szCs w:val="18"/>
                <w:u w:val="none"/>
              </w:rPr>
            </w:pPr>
            <w:r>
              <w:rPr>
                <w:rStyle w:val="27"/>
                <w:sz w:val="18"/>
                <w:szCs w:val="18"/>
                <w:lang w:val="en-US" w:eastAsia="zh-CN" w:bidi="ar"/>
              </w:rPr>
              <w:t>实施</w:t>
            </w:r>
          </w:p>
        </w:tc>
        <w:tc>
          <w:tcPr>
            <w:tcW w:w="1054" w:type="dxa"/>
            <w:shd w:val="clear" w:color="auto" w:fill="auto"/>
            <w:vAlign w:val="center"/>
          </w:tcPr>
          <w:p w14:paraId="12CD894F">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政府采购</w:t>
            </w:r>
          </w:p>
          <w:p w14:paraId="4A06155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规范性</w:t>
            </w:r>
          </w:p>
        </w:tc>
        <w:tc>
          <w:tcPr>
            <w:tcW w:w="800" w:type="dxa"/>
            <w:shd w:val="clear" w:color="auto" w:fill="auto"/>
            <w:noWrap/>
            <w:vAlign w:val="center"/>
          </w:tcPr>
          <w:p w14:paraId="6594B16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026" w:type="dxa"/>
            <w:shd w:val="clear" w:color="auto" w:fill="auto"/>
            <w:noWrap/>
            <w:vAlign w:val="center"/>
          </w:tcPr>
          <w:p w14:paraId="05DBC09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考察涉及政府采购的有关项目是否按照相应程序开展政府采购工作。</w:t>
            </w:r>
          </w:p>
        </w:tc>
        <w:tc>
          <w:tcPr>
            <w:tcW w:w="1121" w:type="dxa"/>
            <w:shd w:val="clear" w:color="auto" w:fill="auto"/>
            <w:noWrap/>
            <w:vAlign w:val="center"/>
          </w:tcPr>
          <w:p w14:paraId="3630F07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规范</w:t>
            </w:r>
          </w:p>
        </w:tc>
        <w:tc>
          <w:tcPr>
            <w:tcW w:w="4839" w:type="dxa"/>
            <w:shd w:val="clear" w:color="auto" w:fill="auto"/>
            <w:vAlign w:val="center"/>
          </w:tcPr>
          <w:p w14:paraId="1859774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①根据政府采购限额及相关法律法规要求开展招标采购工作；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②招投标流程规范。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①②得分要素权重各为50％，符合得分，完全不符合不得分，部分符合酌情给分。</w:t>
            </w:r>
          </w:p>
        </w:tc>
        <w:tc>
          <w:tcPr>
            <w:tcW w:w="3454" w:type="dxa"/>
            <w:shd w:val="clear" w:color="auto" w:fill="auto"/>
            <w:vAlign w:val="center"/>
          </w:tcPr>
          <w:p w14:paraId="423E0C4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据评价组调研了解，项目主管单位针对设计、监理及工程质量检测单位以竞争性磋商的方式确定中标单位，针对施工单位（一标段、二标段）以公开招标的方式确定中标单位。根据资料显示，项目招投标程序规范。根据计分规则，该指标得3分</w:t>
            </w:r>
          </w:p>
        </w:tc>
        <w:tc>
          <w:tcPr>
            <w:tcW w:w="761" w:type="dxa"/>
            <w:shd w:val="clear" w:color="auto" w:fill="auto"/>
            <w:noWrap/>
            <w:vAlign w:val="center"/>
          </w:tcPr>
          <w:p w14:paraId="379D95D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36DA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trPr>
        <w:tc>
          <w:tcPr>
            <w:tcW w:w="775" w:type="dxa"/>
            <w:vMerge w:val="continue"/>
            <w:shd w:val="clear" w:color="auto" w:fill="auto"/>
            <w:vAlign w:val="center"/>
          </w:tcPr>
          <w:p w14:paraId="6CA6E7DC">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vMerge w:val="continue"/>
            <w:shd w:val="clear" w:color="auto" w:fill="auto"/>
            <w:noWrap/>
            <w:vAlign w:val="center"/>
          </w:tcPr>
          <w:p w14:paraId="45711E27">
            <w:pPr>
              <w:spacing w:line="240" w:lineRule="auto"/>
              <w:ind w:firstLine="0" w:firstLineChars="0"/>
              <w:jc w:val="center"/>
              <w:rPr>
                <w:rFonts w:hint="eastAsia" w:ascii="宋体" w:hAnsi="宋体" w:eastAsia="宋体" w:cs="宋体"/>
                <w:i w:val="0"/>
                <w:iCs w:val="0"/>
                <w:color w:val="000000"/>
                <w:sz w:val="18"/>
                <w:szCs w:val="18"/>
                <w:u w:val="none"/>
              </w:rPr>
            </w:pPr>
          </w:p>
        </w:tc>
        <w:tc>
          <w:tcPr>
            <w:tcW w:w="1054" w:type="dxa"/>
            <w:shd w:val="clear" w:color="auto" w:fill="auto"/>
            <w:vAlign w:val="center"/>
          </w:tcPr>
          <w:p w14:paraId="2D5186B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项目质量</w:t>
            </w:r>
          </w:p>
          <w:p w14:paraId="4C0BC8F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可控性</w:t>
            </w:r>
          </w:p>
        </w:tc>
        <w:tc>
          <w:tcPr>
            <w:tcW w:w="800" w:type="dxa"/>
            <w:shd w:val="clear" w:color="auto" w:fill="auto"/>
            <w:noWrap/>
            <w:vAlign w:val="center"/>
          </w:tcPr>
          <w:p w14:paraId="137C4EA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026" w:type="dxa"/>
            <w:shd w:val="clear" w:color="auto" w:fill="auto"/>
            <w:noWrap/>
            <w:vAlign w:val="center"/>
          </w:tcPr>
          <w:p w14:paraId="1BCA883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考察是否为达到项目质量要求而采取了必需的措施,用以反映和考核项目主管单位对项目质量的控制情况。</w:t>
            </w:r>
          </w:p>
        </w:tc>
        <w:tc>
          <w:tcPr>
            <w:tcW w:w="1121" w:type="dxa"/>
            <w:shd w:val="clear" w:color="auto" w:fill="auto"/>
            <w:noWrap/>
            <w:vAlign w:val="center"/>
          </w:tcPr>
          <w:p w14:paraId="7D1FB0D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可控</w:t>
            </w:r>
          </w:p>
        </w:tc>
        <w:tc>
          <w:tcPr>
            <w:tcW w:w="4839" w:type="dxa"/>
            <w:shd w:val="clear" w:color="auto" w:fill="auto"/>
            <w:vAlign w:val="center"/>
          </w:tcPr>
          <w:p w14:paraId="76F5B5D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①项目质量或标准的健全性（1分）。项目具有完备的质量与标准要求，得1分，否则酌情扣分；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②项目实施、质量检查、验收等的控制情况(2分）。项目实施主体采取了相应的项目实施、质量检查、验收等措施，对项目实施、质量检查、验收等的管理控制情况好，得2分，否则酌情扣分。</w:t>
            </w:r>
          </w:p>
        </w:tc>
        <w:tc>
          <w:tcPr>
            <w:tcW w:w="3454" w:type="dxa"/>
            <w:shd w:val="clear" w:color="auto" w:fill="auto"/>
            <w:vAlign w:val="center"/>
          </w:tcPr>
          <w:p w14:paraId="392EBBE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据陕州区水利局提供的相关资料显示，项目主管单位成立工程质量监督项目组，建立工程质量检查制度、工程质量例会制度、工程质量验收制度、工程质量奖惩制度、工程质量监督计划等全方位的监督体系。该项目于2023年5月由工程质量评定单位验收，于2023年11月由三门峡市水利局、陕州区水利局、财政局等单位组成的竣工验收委员会验收，结论合格。根据评分规则，该指标得3分。</w:t>
            </w:r>
          </w:p>
        </w:tc>
        <w:tc>
          <w:tcPr>
            <w:tcW w:w="761" w:type="dxa"/>
            <w:shd w:val="clear" w:color="auto" w:fill="auto"/>
            <w:noWrap/>
            <w:vAlign w:val="center"/>
          </w:tcPr>
          <w:p w14:paraId="563D332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4C99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70" w:hRule="atLeast"/>
        </w:trPr>
        <w:tc>
          <w:tcPr>
            <w:tcW w:w="775" w:type="dxa"/>
            <w:vMerge w:val="restart"/>
            <w:shd w:val="clear" w:color="auto" w:fill="auto"/>
            <w:noWrap/>
            <w:vAlign w:val="center"/>
          </w:tcPr>
          <w:p w14:paraId="627282C1">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产出</w:t>
            </w:r>
          </w:p>
          <w:p w14:paraId="1AF7CEC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指标</w:t>
            </w:r>
          </w:p>
        </w:tc>
        <w:tc>
          <w:tcPr>
            <w:tcW w:w="786" w:type="dxa"/>
            <w:vMerge w:val="restart"/>
            <w:shd w:val="clear" w:color="auto" w:fill="auto"/>
            <w:noWrap/>
            <w:vAlign w:val="center"/>
          </w:tcPr>
          <w:p w14:paraId="3062EAF3">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产出</w:t>
            </w:r>
          </w:p>
          <w:p w14:paraId="1FEDF05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数量</w:t>
            </w:r>
          </w:p>
        </w:tc>
        <w:tc>
          <w:tcPr>
            <w:tcW w:w="1054" w:type="dxa"/>
            <w:shd w:val="clear" w:color="auto" w:fill="auto"/>
            <w:vAlign w:val="center"/>
          </w:tcPr>
          <w:p w14:paraId="3CBD438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护岸总长</w:t>
            </w:r>
          </w:p>
        </w:tc>
        <w:tc>
          <w:tcPr>
            <w:tcW w:w="800" w:type="dxa"/>
            <w:shd w:val="clear" w:color="auto" w:fill="auto"/>
            <w:noWrap/>
            <w:vAlign w:val="center"/>
          </w:tcPr>
          <w:p w14:paraId="5A426A3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026" w:type="dxa"/>
            <w:shd w:val="clear" w:color="auto" w:fill="auto"/>
            <w:noWrap/>
            <w:vAlign w:val="center"/>
          </w:tcPr>
          <w:p w14:paraId="157EEEB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项目实际完成数量与目标数的对比，用以反映和考核项目目标的实现程度。</w:t>
            </w:r>
          </w:p>
        </w:tc>
        <w:tc>
          <w:tcPr>
            <w:tcW w:w="1121" w:type="dxa"/>
            <w:shd w:val="clear" w:color="auto" w:fill="auto"/>
            <w:noWrap/>
            <w:vAlign w:val="center"/>
          </w:tcPr>
          <w:p w14:paraId="66A5703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5.25km</w:t>
            </w:r>
          </w:p>
        </w:tc>
        <w:tc>
          <w:tcPr>
            <w:tcW w:w="4839" w:type="dxa"/>
            <w:shd w:val="clear" w:color="auto" w:fill="auto"/>
            <w:vAlign w:val="center"/>
          </w:tcPr>
          <w:p w14:paraId="458D317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护岸总长到达5.25km，指标得满分，否则每减少1km按比例权重扣分。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得分=（实际护岸总长/总护岸总长）*6分</w:t>
            </w:r>
          </w:p>
        </w:tc>
        <w:tc>
          <w:tcPr>
            <w:tcW w:w="3454" w:type="dxa"/>
            <w:shd w:val="clear" w:color="auto" w:fill="auto"/>
            <w:vAlign w:val="center"/>
          </w:tcPr>
          <w:p w14:paraId="3283F0A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根据陕州区水利局提供资料，验收委员会于2023年11月出具的验收报告显示，截至评价期结束，施工方已完成5.25km护岸总长建设。依据评分标准，该指标得6分。</w:t>
            </w:r>
          </w:p>
        </w:tc>
        <w:tc>
          <w:tcPr>
            <w:tcW w:w="761" w:type="dxa"/>
            <w:shd w:val="clear" w:color="auto" w:fill="auto"/>
            <w:noWrap/>
            <w:vAlign w:val="center"/>
          </w:tcPr>
          <w:p w14:paraId="5BD7C16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14:paraId="176F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49" w:hRule="atLeast"/>
        </w:trPr>
        <w:tc>
          <w:tcPr>
            <w:tcW w:w="775" w:type="dxa"/>
            <w:vMerge w:val="continue"/>
            <w:shd w:val="clear" w:color="auto" w:fill="auto"/>
            <w:noWrap/>
            <w:vAlign w:val="center"/>
          </w:tcPr>
          <w:p w14:paraId="19AC3E41">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vMerge w:val="continue"/>
            <w:shd w:val="clear" w:color="auto" w:fill="auto"/>
            <w:noWrap/>
            <w:vAlign w:val="center"/>
          </w:tcPr>
          <w:p w14:paraId="0BB57314">
            <w:pPr>
              <w:spacing w:line="240" w:lineRule="auto"/>
              <w:ind w:firstLine="0" w:firstLineChars="0"/>
              <w:jc w:val="center"/>
              <w:rPr>
                <w:rFonts w:hint="eastAsia" w:ascii="宋体" w:hAnsi="宋体" w:eastAsia="宋体" w:cs="宋体"/>
                <w:i w:val="0"/>
                <w:iCs w:val="0"/>
                <w:color w:val="000000"/>
                <w:sz w:val="18"/>
                <w:szCs w:val="18"/>
                <w:u w:val="none"/>
              </w:rPr>
            </w:pPr>
          </w:p>
        </w:tc>
        <w:tc>
          <w:tcPr>
            <w:tcW w:w="1054" w:type="dxa"/>
            <w:shd w:val="clear" w:color="auto" w:fill="auto"/>
            <w:vAlign w:val="center"/>
          </w:tcPr>
          <w:p w14:paraId="7D82D42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河道疏浚</w:t>
            </w:r>
          </w:p>
        </w:tc>
        <w:tc>
          <w:tcPr>
            <w:tcW w:w="800" w:type="dxa"/>
            <w:shd w:val="clear" w:color="auto" w:fill="auto"/>
            <w:noWrap/>
            <w:vAlign w:val="center"/>
          </w:tcPr>
          <w:p w14:paraId="025D10B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26" w:type="dxa"/>
            <w:shd w:val="clear" w:color="auto" w:fill="auto"/>
            <w:noWrap/>
            <w:vAlign w:val="center"/>
          </w:tcPr>
          <w:p w14:paraId="75D87F8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2021年湿地建设节能改造实际完成数量与目标数的对比，用以反映和考核项目目标的实现程度。</w:t>
            </w:r>
          </w:p>
        </w:tc>
        <w:tc>
          <w:tcPr>
            <w:tcW w:w="1121" w:type="dxa"/>
            <w:shd w:val="clear" w:color="auto" w:fill="auto"/>
            <w:noWrap/>
            <w:vAlign w:val="center"/>
          </w:tcPr>
          <w:p w14:paraId="4488EFA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6.605km</w:t>
            </w:r>
          </w:p>
        </w:tc>
        <w:tc>
          <w:tcPr>
            <w:tcW w:w="4839" w:type="dxa"/>
            <w:shd w:val="clear" w:color="auto" w:fill="auto"/>
            <w:vAlign w:val="center"/>
          </w:tcPr>
          <w:p w14:paraId="69F1897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河道疏浚达到6.605km，指标得满分，否则每减少1km按比例权重扣分。得分=（实际河道疏浚长度/总河道疏浚长度）*5分。</w:t>
            </w:r>
          </w:p>
        </w:tc>
        <w:tc>
          <w:tcPr>
            <w:tcW w:w="3454" w:type="dxa"/>
            <w:shd w:val="clear" w:color="auto" w:fill="auto"/>
            <w:vAlign w:val="center"/>
          </w:tcPr>
          <w:p w14:paraId="45BD53D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根据陕州区水利局提供资料显示，截至评价期结束，施工方已完成河道疏浚达到6.605km并验收合格。依据评分标准，该指标得4分。</w:t>
            </w:r>
          </w:p>
        </w:tc>
        <w:tc>
          <w:tcPr>
            <w:tcW w:w="761" w:type="dxa"/>
            <w:shd w:val="clear" w:color="auto" w:fill="auto"/>
            <w:noWrap/>
            <w:vAlign w:val="center"/>
          </w:tcPr>
          <w:p w14:paraId="4DD3509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14:paraId="74D2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9" w:hRule="atLeast"/>
        </w:trPr>
        <w:tc>
          <w:tcPr>
            <w:tcW w:w="775" w:type="dxa"/>
            <w:vMerge w:val="continue"/>
            <w:shd w:val="clear" w:color="auto" w:fill="auto"/>
            <w:noWrap/>
            <w:vAlign w:val="center"/>
          </w:tcPr>
          <w:p w14:paraId="116D3C2D">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shd w:val="clear" w:color="auto" w:fill="auto"/>
            <w:noWrap/>
            <w:vAlign w:val="center"/>
          </w:tcPr>
          <w:p w14:paraId="36ECF1DE">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产出</w:t>
            </w:r>
          </w:p>
          <w:p w14:paraId="5B80812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质量</w:t>
            </w:r>
          </w:p>
        </w:tc>
        <w:tc>
          <w:tcPr>
            <w:tcW w:w="1054" w:type="dxa"/>
            <w:shd w:val="clear" w:color="auto" w:fill="auto"/>
            <w:vAlign w:val="center"/>
          </w:tcPr>
          <w:p w14:paraId="49EE3F3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验收合格率</w:t>
            </w:r>
          </w:p>
        </w:tc>
        <w:tc>
          <w:tcPr>
            <w:tcW w:w="800" w:type="dxa"/>
            <w:shd w:val="clear" w:color="auto" w:fill="auto"/>
            <w:noWrap/>
            <w:vAlign w:val="center"/>
          </w:tcPr>
          <w:p w14:paraId="791D84E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026" w:type="dxa"/>
            <w:shd w:val="clear" w:color="auto" w:fill="auto"/>
            <w:vAlign w:val="center"/>
          </w:tcPr>
          <w:p w14:paraId="4347B1A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按照国家颁发的现行相关专业质量验收规范验收合格的工程量与实际应验收的工程量的比率，用以反映和考核项目整体情况</w:t>
            </w:r>
            <w:r>
              <w:rPr>
                <w:rFonts w:hint="eastAsia" w:cs="宋体"/>
                <w:i w:val="0"/>
                <w:iCs w:val="0"/>
                <w:color w:val="000000"/>
                <w:kern w:val="0"/>
                <w:sz w:val="18"/>
                <w:szCs w:val="18"/>
                <w:u w:val="none"/>
                <w:lang w:val="en-US" w:eastAsia="zh-CN" w:bidi="ar"/>
              </w:rPr>
              <w:t>。</w:t>
            </w:r>
          </w:p>
        </w:tc>
        <w:tc>
          <w:tcPr>
            <w:tcW w:w="1121" w:type="dxa"/>
            <w:shd w:val="clear" w:color="auto" w:fill="auto"/>
            <w:noWrap/>
            <w:vAlign w:val="center"/>
          </w:tcPr>
          <w:p w14:paraId="76B8395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39" w:type="dxa"/>
            <w:shd w:val="clear" w:color="auto" w:fill="auto"/>
            <w:vAlign w:val="center"/>
          </w:tcPr>
          <w:p w14:paraId="77BE473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验收合格率＝(实际验收合格的工程量／实际应验收的工程量)×100%。 根据验收合格率*分值得分，有其他情况，酌情扣分。</w:t>
            </w:r>
          </w:p>
        </w:tc>
        <w:tc>
          <w:tcPr>
            <w:tcW w:w="3454" w:type="dxa"/>
            <w:shd w:val="clear" w:color="auto" w:fill="auto"/>
            <w:vAlign w:val="center"/>
          </w:tcPr>
          <w:p w14:paraId="51C42EC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据陕州区水利局提供资料显示，2023年5月，出具工程建设监理工作报告及施工质量评定表，2023年11月3日，陕州区水利局组织由三门峡市水利局、陕州区水利局、财政局等单位组成的竣工验收委员会对项目进行了验收，验收合格率100%。依据评分标准，该指标得6分。</w:t>
            </w:r>
          </w:p>
        </w:tc>
        <w:tc>
          <w:tcPr>
            <w:tcW w:w="761" w:type="dxa"/>
            <w:shd w:val="clear" w:color="auto" w:fill="auto"/>
            <w:noWrap/>
            <w:vAlign w:val="center"/>
          </w:tcPr>
          <w:p w14:paraId="0EFD672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14:paraId="7AC5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91" w:hRule="atLeast"/>
        </w:trPr>
        <w:tc>
          <w:tcPr>
            <w:tcW w:w="775" w:type="dxa"/>
            <w:vMerge w:val="restart"/>
            <w:shd w:val="clear" w:color="auto" w:fill="auto"/>
            <w:noWrap/>
            <w:vAlign w:val="center"/>
          </w:tcPr>
          <w:p w14:paraId="3D644958">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产出</w:t>
            </w:r>
          </w:p>
          <w:p w14:paraId="7CE23AD1">
            <w:pPr>
              <w:spacing w:line="240" w:lineRule="auto"/>
              <w:ind w:firstLine="0" w:firstLineChars="0"/>
              <w:jc w:val="center"/>
              <w:rPr>
                <w:rFonts w:hint="eastAsia" w:ascii="宋体" w:hAnsi="宋体" w:eastAsia="宋体" w:cs="宋体"/>
                <w:i w:val="0"/>
                <w:iCs w:val="0"/>
                <w:color w:val="000000"/>
                <w:sz w:val="18"/>
                <w:szCs w:val="18"/>
                <w:u w:val="none"/>
              </w:rPr>
            </w:pPr>
            <w:r>
              <w:rPr>
                <w:rStyle w:val="27"/>
                <w:sz w:val="18"/>
                <w:szCs w:val="18"/>
                <w:lang w:val="en-US" w:eastAsia="zh-CN" w:bidi="ar"/>
              </w:rPr>
              <w:t>指标</w:t>
            </w:r>
          </w:p>
        </w:tc>
        <w:tc>
          <w:tcPr>
            <w:tcW w:w="786" w:type="dxa"/>
            <w:shd w:val="clear" w:color="auto" w:fill="auto"/>
            <w:noWrap/>
            <w:vAlign w:val="center"/>
          </w:tcPr>
          <w:p w14:paraId="3BA1CF49">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产出</w:t>
            </w:r>
          </w:p>
          <w:p w14:paraId="3BA0B4DF">
            <w:pPr>
              <w:spacing w:line="240" w:lineRule="auto"/>
              <w:ind w:firstLine="0" w:firstLineChars="0"/>
              <w:jc w:val="center"/>
              <w:rPr>
                <w:rFonts w:hint="eastAsia" w:ascii="宋体" w:hAnsi="宋体" w:eastAsia="宋体" w:cs="宋体"/>
                <w:i w:val="0"/>
                <w:iCs w:val="0"/>
                <w:color w:val="000000"/>
                <w:sz w:val="18"/>
                <w:szCs w:val="18"/>
                <w:u w:val="none"/>
              </w:rPr>
            </w:pPr>
            <w:r>
              <w:rPr>
                <w:rStyle w:val="27"/>
                <w:sz w:val="18"/>
                <w:szCs w:val="18"/>
                <w:lang w:val="en-US" w:eastAsia="zh-CN" w:bidi="ar"/>
              </w:rPr>
              <w:t>质量</w:t>
            </w:r>
          </w:p>
        </w:tc>
        <w:tc>
          <w:tcPr>
            <w:tcW w:w="1054" w:type="dxa"/>
            <w:shd w:val="clear" w:color="auto" w:fill="auto"/>
            <w:vAlign w:val="center"/>
          </w:tcPr>
          <w:p w14:paraId="3A079AF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项目投入</w:t>
            </w:r>
          </w:p>
          <w:p w14:paraId="3DC3E1D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使用情况</w:t>
            </w:r>
          </w:p>
        </w:tc>
        <w:tc>
          <w:tcPr>
            <w:tcW w:w="800" w:type="dxa"/>
            <w:shd w:val="clear" w:color="auto" w:fill="auto"/>
            <w:noWrap/>
            <w:vAlign w:val="center"/>
          </w:tcPr>
          <w:p w14:paraId="74B3377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26" w:type="dxa"/>
            <w:shd w:val="clear" w:color="auto" w:fill="auto"/>
            <w:vAlign w:val="center"/>
          </w:tcPr>
          <w:p w14:paraId="20E8477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反映项目完工后及时投入使用情况</w:t>
            </w:r>
            <w:r>
              <w:rPr>
                <w:rFonts w:hint="eastAsia" w:cs="宋体"/>
                <w:i w:val="0"/>
                <w:iCs w:val="0"/>
                <w:color w:val="000000"/>
                <w:kern w:val="0"/>
                <w:sz w:val="18"/>
                <w:szCs w:val="18"/>
                <w:u w:val="none"/>
                <w:lang w:val="en-US" w:eastAsia="zh-CN" w:bidi="ar"/>
              </w:rPr>
              <w:t>。</w:t>
            </w:r>
          </w:p>
        </w:tc>
        <w:tc>
          <w:tcPr>
            <w:tcW w:w="1121" w:type="dxa"/>
            <w:shd w:val="clear" w:color="auto" w:fill="auto"/>
            <w:noWrap/>
            <w:vAlign w:val="center"/>
          </w:tcPr>
          <w:p w14:paraId="7E4DEA5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使用</w:t>
            </w:r>
          </w:p>
        </w:tc>
        <w:tc>
          <w:tcPr>
            <w:tcW w:w="4839" w:type="dxa"/>
            <w:shd w:val="clear" w:color="auto" w:fill="auto"/>
            <w:vAlign w:val="center"/>
          </w:tcPr>
          <w:p w14:paraId="26DC2A6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项目完工后投入使用，指标得满分；未投入使用，不得分。</w:t>
            </w:r>
          </w:p>
        </w:tc>
        <w:tc>
          <w:tcPr>
            <w:tcW w:w="3454" w:type="dxa"/>
            <w:shd w:val="clear" w:color="auto" w:fill="auto"/>
            <w:vAlign w:val="center"/>
          </w:tcPr>
          <w:p w14:paraId="4400102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根据陕州区水利局提供资料显示，该项目完工后已移交陕州区店子乡、西张村镇人民政府管理。依据评分标准，该指标得4分。</w:t>
            </w:r>
          </w:p>
        </w:tc>
        <w:tc>
          <w:tcPr>
            <w:tcW w:w="761" w:type="dxa"/>
            <w:shd w:val="clear" w:color="auto" w:fill="auto"/>
            <w:noWrap/>
            <w:vAlign w:val="center"/>
          </w:tcPr>
          <w:p w14:paraId="6F0BB84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14:paraId="7B4F2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87" w:hRule="atLeast"/>
        </w:trPr>
        <w:tc>
          <w:tcPr>
            <w:tcW w:w="775" w:type="dxa"/>
            <w:vMerge w:val="continue"/>
            <w:shd w:val="clear" w:color="auto" w:fill="auto"/>
            <w:noWrap/>
            <w:vAlign w:val="center"/>
          </w:tcPr>
          <w:p w14:paraId="63C914ED">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shd w:val="clear" w:color="auto" w:fill="auto"/>
            <w:noWrap/>
            <w:vAlign w:val="center"/>
          </w:tcPr>
          <w:p w14:paraId="57E8DF2E">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产出</w:t>
            </w:r>
          </w:p>
          <w:p w14:paraId="09C94CD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时效</w:t>
            </w:r>
          </w:p>
        </w:tc>
        <w:tc>
          <w:tcPr>
            <w:tcW w:w="1054" w:type="dxa"/>
            <w:shd w:val="clear" w:color="auto" w:fill="auto"/>
            <w:vAlign w:val="center"/>
          </w:tcPr>
          <w:p w14:paraId="52F23D0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竣工决算</w:t>
            </w:r>
          </w:p>
          <w:p w14:paraId="0C5698E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及时性</w:t>
            </w:r>
          </w:p>
        </w:tc>
        <w:tc>
          <w:tcPr>
            <w:tcW w:w="800" w:type="dxa"/>
            <w:shd w:val="clear" w:color="auto" w:fill="auto"/>
            <w:noWrap/>
            <w:vAlign w:val="center"/>
          </w:tcPr>
          <w:p w14:paraId="7584F46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26" w:type="dxa"/>
            <w:shd w:val="clear" w:color="auto" w:fill="auto"/>
            <w:noWrap/>
            <w:vAlign w:val="center"/>
          </w:tcPr>
          <w:p w14:paraId="7B8F907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对项目竣工决算情况进行评价</w:t>
            </w:r>
            <w:r>
              <w:rPr>
                <w:rFonts w:hint="eastAsia" w:cs="宋体"/>
                <w:i w:val="0"/>
                <w:iCs w:val="0"/>
                <w:color w:val="000000"/>
                <w:kern w:val="0"/>
                <w:sz w:val="18"/>
                <w:szCs w:val="18"/>
                <w:u w:val="none"/>
                <w:lang w:val="en-US" w:eastAsia="zh-CN" w:bidi="ar"/>
              </w:rPr>
              <w:t>。</w:t>
            </w:r>
          </w:p>
        </w:tc>
        <w:tc>
          <w:tcPr>
            <w:tcW w:w="1121" w:type="dxa"/>
            <w:shd w:val="clear" w:color="auto" w:fill="auto"/>
            <w:noWrap/>
            <w:vAlign w:val="center"/>
          </w:tcPr>
          <w:p w14:paraId="1AA2080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竣工决算及时</w:t>
            </w:r>
          </w:p>
        </w:tc>
        <w:tc>
          <w:tcPr>
            <w:tcW w:w="4839" w:type="dxa"/>
            <w:shd w:val="clear" w:color="auto" w:fill="auto"/>
            <w:vAlign w:val="center"/>
          </w:tcPr>
          <w:p w14:paraId="5451B41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竣工决算及时，得满分；未进行竣工决算的不得分，特殊情况导致未进行工程竣工决算酌情扣分。</w:t>
            </w:r>
          </w:p>
        </w:tc>
        <w:tc>
          <w:tcPr>
            <w:tcW w:w="3454" w:type="dxa"/>
            <w:shd w:val="clear" w:color="auto" w:fill="auto"/>
            <w:vAlign w:val="center"/>
          </w:tcPr>
          <w:p w14:paraId="38635EC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财政部关于印发《基本建设项目竣工财务决算管理暂行办法》的通知（财建[2016]503号）第二条，基本建设项目（以下简称项目）完工可投入使用或者试运行合格后，应当在3个月内编报竣工财务决算，特殊情况确需延长的，中小型项目不得超过2个月，大型项目不得超过6个月。项目单位提供竣工财务决算审计报告显示于2024年11月出具，由于考虑疫情等因素。依据评分标准，该指标得3分。</w:t>
            </w:r>
          </w:p>
        </w:tc>
        <w:tc>
          <w:tcPr>
            <w:tcW w:w="761" w:type="dxa"/>
            <w:shd w:val="clear" w:color="auto" w:fill="auto"/>
            <w:noWrap/>
            <w:vAlign w:val="center"/>
          </w:tcPr>
          <w:p w14:paraId="3F83471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3B24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40" w:hRule="atLeast"/>
        </w:trPr>
        <w:tc>
          <w:tcPr>
            <w:tcW w:w="775" w:type="dxa"/>
            <w:vMerge w:val="restart"/>
            <w:shd w:val="clear" w:color="auto" w:fill="auto"/>
            <w:noWrap/>
            <w:vAlign w:val="center"/>
          </w:tcPr>
          <w:p w14:paraId="4A27EC79">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产出</w:t>
            </w:r>
          </w:p>
          <w:p w14:paraId="55B4FE33">
            <w:pPr>
              <w:spacing w:line="240" w:lineRule="auto"/>
              <w:ind w:firstLine="0" w:firstLineChars="0"/>
              <w:jc w:val="center"/>
              <w:rPr>
                <w:rFonts w:hint="eastAsia" w:ascii="宋体" w:hAnsi="宋体" w:eastAsia="宋体" w:cs="宋体"/>
                <w:i w:val="0"/>
                <w:iCs w:val="0"/>
                <w:color w:val="000000"/>
                <w:sz w:val="18"/>
                <w:szCs w:val="18"/>
                <w:u w:val="none"/>
              </w:rPr>
            </w:pPr>
            <w:r>
              <w:rPr>
                <w:rStyle w:val="27"/>
                <w:sz w:val="18"/>
                <w:szCs w:val="18"/>
                <w:lang w:val="en-US" w:eastAsia="zh-CN" w:bidi="ar"/>
              </w:rPr>
              <w:t>指标</w:t>
            </w:r>
          </w:p>
        </w:tc>
        <w:tc>
          <w:tcPr>
            <w:tcW w:w="786" w:type="dxa"/>
            <w:vMerge w:val="restart"/>
            <w:shd w:val="clear" w:color="auto" w:fill="auto"/>
            <w:noWrap/>
            <w:vAlign w:val="center"/>
          </w:tcPr>
          <w:p w14:paraId="4F3D25F9">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产出</w:t>
            </w:r>
          </w:p>
          <w:p w14:paraId="1D287C61">
            <w:pPr>
              <w:spacing w:line="240" w:lineRule="auto"/>
              <w:ind w:firstLine="0" w:firstLineChars="0"/>
              <w:jc w:val="center"/>
              <w:rPr>
                <w:rFonts w:hint="eastAsia" w:ascii="宋体" w:hAnsi="宋体" w:eastAsia="宋体" w:cs="宋体"/>
                <w:i w:val="0"/>
                <w:iCs w:val="0"/>
                <w:color w:val="000000"/>
                <w:sz w:val="18"/>
                <w:szCs w:val="18"/>
                <w:u w:val="none"/>
              </w:rPr>
            </w:pPr>
            <w:r>
              <w:rPr>
                <w:rStyle w:val="27"/>
                <w:sz w:val="18"/>
                <w:szCs w:val="18"/>
                <w:lang w:val="en-US" w:eastAsia="zh-CN" w:bidi="ar"/>
              </w:rPr>
              <w:t>时效</w:t>
            </w:r>
          </w:p>
        </w:tc>
        <w:tc>
          <w:tcPr>
            <w:tcW w:w="1054" w:type="dxa"/>
            <w:shd w:val="clear" w:color="auto" w:fill="auto"/>
            <w:vAlign w:val="center"/>
          </w:tcPr>
          <w:p w14:paraId="46D265F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工程进度</w:t>
            </w:r>
          </w:p>
          <w:p w14:paraId="0430535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达标率</w:t>
            </w:r>
          </w:p>
        </w:tc>
        <w:tc>
          <w:tcPr>
            <w:tcW w:w="800" w:type="dxa"/>
            <w:shd w:val="clear" w:color="auto" w:fill="auto"/>
            <w:noWrap/>
            <w:vAlign w:val="center"/>
          </w:tcPr>
          <w:p w14:paraId="6B056F6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026" w:type="dxa"/>
            <w:shd w:val="clear" w:color="auto" w:fill="auto"/>
            <w:noWrap/>
            <w:vAlign w:val="center"/>
          </w:tcPr>
          <w:p w14:paraId="15765EC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反映工程建设进度情况</w:t>
            </w:r>
          </w:p>
        </w:tc>
        <w:tc>
          <w:tcPr>
            <w:tcW w:w="1121" w:type="dxa"/>
            <w:shd w:val="clear" w:color="auto" w:fill="auto"/>
            <w:noWrap/>
            <w:vAlign w:val="center"/>
          </w:tcPr>
          <w:p w14:paraId="2672D42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设备养护及时</w:t>
            </w:r>
          </w:p>
        </w:tc>
        <w:tc>
          <w:tcPr>
            <w:tcW w:w="4839" w:type="dxa"/>
            <w:shd w:val="clear" w:color="auto" w:fill="auto"/>
            <w:vAlign w:val="center"/>
          </w:tcPr>
          <w:p w14:paraId="4697313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按计划时间完成，得满分；未按计划时间完成，按比例扣分，晚于计划时间1个月之内，扣50%，超过一个月，不得分。</w:t>
            </w:r>
          </w:p>
        </w:tc>
        <w:tc>
          <w:tcPr>
            <w:tcW w:w="3454" w:type="dxa"/>
            <w:shd w:val="clear" w:color="auto" w:fill="auto"/>
            <w:vAlign w:val="center"/>
          </w:tcPr>
          <w:p w14:paraId="2BAE023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根据陕州区水利局与河南润杰建设工程有限公司、中水华通工程有限公司签订的《建设工程合同》中约定2022年7月20日开工，工期为240天。 因疫情因素，发生多次停工，实际工期为240天。                             根据项目验收资料显示，项目于2023年5月24日完成施工，2023年11月3日项目竣工验收。根据计分规则，该指标得6分。</w:t>
            </w:r>
          </w:p>
        </w:tc>
        <w:tc>
          <w:tcPr>
            <w:tcW w:w="761" w:type="dxa"/>
            <w:shd w:val="clear" w:color="auto" w:fill="auto"/>
            <w:noWrap/>
            <w:vAlign w:val="center"/>
          </w:tcPr>
          <w:p w14:paraId="26B9DCC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14:paraId="197D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53" w:hRule="atLeast"/>
        </w:trPr>
        <w:tc>
          <w:tcPr>
            <w:tcW w:w="775" w:type="dxa"/>
            <w:vMerge w:val="continue"/>
            <w:shd w:val="clear" w:color="auto" w:fill="auto"/>
            <w:noWrap/>
            <w:vAlign w:val="center"/>
          </w:tcPr>
          <w:p w14:paraId="1DEF6822">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vMerge w:val="continue"/>
            <w:shd w:val="clear" w:color="auto" w:fill="auto"/>
            <w:noWrap/>
            <w:vAlign w:val="center"/>
          </w:tcPr>
          <w:p w14:paraId="20C96241">
            <w:pPr>
              <w:spacing w:line="240" w:lineRule="auto"/>
              <w:ind w:firstLine="0" w:firstLineChars="0"/>
              <w:jc w:val="center"/>
              <w:rPr>
                <w:rFonts w:hint="eastAsia" w:ascii="宋体" w:hAnsi="宋体" w:eastAsia="宋体" w:cs="宋体"/>
                <w:i w:val="0"/>
                <w:iCs w:val="0"/>
                <w:color w:val="000000"/>
                <w:sz w:val="18"/>
                <w:szCs w:val="18"/>
                <w:u w:val="none"/>
              </w:rPr>
            </w:pPr>
          </w:p>
        </w:tc>
        <w:tc>
          <w:tcPr>
            <w:tcW w:w="1054" w:type="dxa"/>
            <w:shd w:val="clear" w:color="auto" w:fill="auto"/>
            <w:vAlign w:val="center"/>
          </w:tcPr>
          <w:p w14:paraId="6B4F758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价款支付</w:t>
            </w:r>
          </w:p>
          <w:p w14:paraId="33A5E3A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及时性</w:t>
            </w:r>
          </w:p>
        </w:tc>
        <w:tc>
          <w:tcPr>
            <w:tcW w:w="800" w:type="dxa"/>
            <w:shd w:val="clear" w:color="auto" w:fill="auto"/>
            <w:noWrap/>
            <w:vAlign w:val="center"/>
          </w:tcPr>
          <w:p w14:paraId="65FB97B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026" w:type="dxa"/>
            <w:shd w:val="clear" w:color="auto" w:fill="auto"/>
            <w:noWrap/>
            <w:vAlign w:val="center"/>
          </w:tcPr>
          <w:p w14:paraId="542BBF1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该指标主要考察项目是否及时进行价款支付。</w:t>
            </w:r>
          </w:p>
        </w:tc>
        <w:tc>
          <w:tcPr>
            <w:tcW w:w="1121" w:type="dxa"/>
            <w:shd w:val="clear" w:color="auto" w:fill="auto"/>
            <w:noWrap/>
            <w:vAlign w:val="center"/>
          </w:tcPr>
          <w:p w14:paraId="5D19353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价款支付及时</w:t>
            </w:r>
          </w:p>
        </w:tc>
        <w:tc>
          <w:tcPr>
            <w:tcW w:w="4839" w:type="dxa"/>
            <w:shd w:val="clear" w:color="auto" w:fill="auto"/>
            <w:vAlign w:val="center"/>
          </w:tcPr>
          <w:p w14:paraId="7AD8BA0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根据合同约定或完工程度按时进行价款支付，得满分；未按时进行价款支付的，根据实际情况酌情扣分。</w:t>
            </w:r>
          </w:p>
        </w:tc>
        <w:tc>
          <w:tcPr>
            <w:tcW w:w="3454" w:type="dxa"/>
            <w:shd w:val="clear" w:color="auto" w:fill="auto"/>
            <w:vAlign w:val="center"/>
          </w:tcPr>
          <w:p w14:paraId="7BC0B42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提供材料显示，陕州区青龙涧河涧里村至杨家河村河道治理工程项目经费1455.86万元，截止绩效评价日，共计支付241.30万元，虽付款时间与合同约定付款节点存在偏差，但考虑到支付及时性受资金到位及时性的影响，经评价组商定，该指标酌情得3分。</w:t>
            </w:r>
          </w:p>
        </w:tc>
        <w:tc>
          <w:tcPr>
            <w:tcW w:w="761" w:type="dxa"/>
            <w:shd w:val="clear" w:color="auto" w:fill="auto"/>
            <w:noWrap/>
            <w:vAlign w:val="center"/>
          </w:tcPr>
          <w:p w14:paraId="1D50A92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1FC2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00" w:hRule="atLeast"/>
        </w:trPr>
        <w:tc>
          <w:tcPr>
            <w:tcW w:w="775" w:type="dxa"/>
            <w:shd w:val="clear" w:color="auto" w:fill="auto"/>
            <w:noWrap/>
            <w:vAlign w:val="center"/>
          </w:tcPr>
          <w:p w14:paraId="0DCE3DA7">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产出</w:t>
            </w:r>
          </w:p>
          <w:p w14:paraId="06948054">
            <w:pPr>
              <w:spacing w:line="240" w:lineRule="auto"/>
              <w:ind w:firstLine="0" w:firstLineChars="0"/>
              <w:jc w:val="center"/>
              <w:rPr>
                <w:rFonts w:hint="eastAsia" w:ascii="宋体" w:hAnsi="宋体" w:eastAsia="宋体" w:cs="宋体"/>
                <w:i w:val="0"/>
                <w:iCs w:val="0"/>
                <w:color w:val="000000"/>
                <w:sz w:val="18"/>
                <w:szCs w:val="18"/>
                <w:u w:val="none"/>
              </w:rPr>
            </w:pPr>
            <w:r>
              <w:rPr>
                <w:rStyle w:val="27"/>
                <w:sz w:val="18"/>
                <w:szCs w:val="18"/>
                <w:lang w:val="en-US" w:eastAsia="zh-CN" w:bidi="ar"/>
              </w:rPr>
              <w:t>指标</w:t>
            </w:r>
          </w:p>
        </w:tc>
        <w:tc>
          <w:tcPr>
            <w:tcW w:w="786" w:type="dxa"/>
            <w:shd w:val="clear" w:color="auto" w:fill="auto"/>
            <w:noWrap/>
            <w:vAlign w:val="center"/>
          </w:tcPr>
          <w:p w14:paraId="1423D494">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产出</w:t>
            </w:r>
          </w:p>
          <w:p w14:paraId="274AEAF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成本</w:t>
            </w:r>
          </w:p>
        </w:tc>
        <w:tc>
          <w:tcPr>
            <w:tcW w:w="1054" w:type="dxa"/>
            <w:shd w:val="clear" w:color="auto" w:fill="auto"/>
            <w:vAlign w:val="center"/>
          </w:tcPr>
          <w:p w14:paraId="638A2CF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成本控制率</w:t>
            </w:r>
          </w:p>
        </w:tc>
        <w:tc>
          <w:tcPr>
            <w:tcW w:w="800" w:type="dxa"/>
            <w:shd w:val="clear" w:color="auto" w:fill="auto"/>
            <w:noWrap/>
            <w:vAlign w:val="center"/>
          </w:tcPr>
          <w:p w14:paraId="44970A1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026" w:type="dxa"/>
            <w:shd w:val="clear" w:color="auto" w:fill="auto"/>
            <w:noWrap/>
            <w:vAlign w:val="center"/>
          </w:tcPr>
          <w:p w14:paraId="12B4857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完成项目计划工作目标的实际节约成本与计划成本的比率，用以反映和考核项目的成本控制程度</w:t>
            </w:r>
          </w:p>
        </w:tc>
        <w:tc>
          <w:tcPr>
            <w:tcW w:w="1121" w:type="dxa"/>
            <w:shd w:val="clear" w:color="auto" w:fill="auto"/>
            <w:noWrap/>
            <w:vAlign w:val="center"/>
          </w:tcPr>
          <w:p w14:paraId="3E928A8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839" w:type="dxa"/>
            <w:shd w:val="clear" w:color="auto" w:fill="auto"/>
            <w:vAlign w:val="center"/>
          </w:tcPr>
          <w:p w14:paraId="4CD5E00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成本控制率=［(计划成本-实际成本)/计划成本］*100%；其中：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实际成本：项目单位如期、保质、保量完成既定工作目标实际所耗费的支出。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计划成本：项目单位为完成工作目标计划安排的支出，一般以项目预算为参考。控制率≥0得满分；控制率＜0则不得分。 </w:t>
            </w:r>
          </w:p>
        </w:tc>
        <w:tc>
          <w:tcPr>
            <w:tcW w:w="3454" w:type="dxa"/>
            <w:shd w:val="clear" w:color="auto" w:fill="auto"/>
            <w:vAlign w:val="center"/>
          </w:tcPr>
          <w:p w14:paraId="0CC2A51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项目计划成本2624.21万元，根据项目验收情况，实际成本1455.86万元，成本控制率＞0，依据评分规则得满分。</w:t>
            </w:r>
          </w:p>
        </w:tc>
        <w:tc>
          <w:tcPr>
            <w:tcW w:w="761" w:type="dxa"/>
            <w:shd w:val="clear" w:color="auto" w:fill="auto"/>
            <w:noWrap/>
            <w:vAlign w:val="center"/>
          </w:tcPr>
          <w:p w14:paraId="0C645A8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6543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8" w:hRule="atLeast"/>
        </w:trPr>
        <w:tc>
          <w:tcPr>
            <w:tcW w:w="775" w:type="dxa"/>
            <w:vMerge w:val="restart"/>
            <w:shd w:val="clear" w:color="auto" w:fill="auto"/>
            <w:noWrap/>
            <w:vAlign w:val="center"/>
          </w:tcPr>
          <w:p w14:paraId="47A723E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效益</w:t>
            </w:r>
          </w:p>
          <w:p w14:paraId="70A7DEF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w:t>
            </w:r>
          </w:p>
        </w:tc>
        <w:tc>
          <w:tcPr>
            <w:tcW w:w="786" w:type="dxa"/>
            <w:vMerge w:val="restart"/>
            <w:shd w:val="clear" w:color="auto" w:fill="auto"/>
            <w:noWrap/>
            <w:vAlign w:val="center"/>
          </w:tcPr>
          <w:p w14:paraId="53863148">
            <w:pPr>
              <w:keepNext w:val="0"/>
              <w:keepLines w:val="0"/>
              <w:widowControl/>
              <w:suppressLineNumbers w:val="0"/>
              <w:spacing w:line="240" w:lineRule="auto"/>
              <w:ind w:left="0" w:leftChars="0" w:firstLine="0" w:firstLineChars="0"/>
              <w:jc w:val="center"/>
              <w:textAlignment w:val="center"/>
              <w:rPr>
                <w:rStyle w:val="27"/>
                <w:sz w:val="18"/>
                <w:szCs w:val="18"/>
                <w:lang w:val="en-US" w:eastAsia="zh-CN" w:bidi="ar"/>
              </w:rPr>
            </w:pPr>
            <w:r>
              <w:rPr>
                <w:rStyle w:val="27"/>
                <w:sz w:val="18"/>
                <w:szCs w:val="18"/>
                <w:lang w:val="en-US" w:eastAsia="zh-CN" w:bidi="ar"/>
              </w:rPr>
              <w:t>社会</w:t>
            </w:r>
          </w:p>
          <w:p w14:paraId="01A0DC0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效益</w:t>
            </w:r>
          </w:p>
        </w:tc>
        <w:tc>
          <w:tcPr>
            <w:tcW w:w="1054" w:type="dxa"/>
            <w:shd w:val="clear" w:color="auto" w:fill="auto"/>
            <w:vAlign w:val="center"/>
          </w:tcPr>
          <w:p w14:paraId="6475BF7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增加劳动</w:t>
            </w:r>
          </w:p>
          <w:p w14:paraId="432926F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就业机会</w:t>
            </w:r>
          </w:p>
        </w:tc>
        <w:tc>
          <w:tcPr>
            <w:tcW w:w="800" w:type="dxa"/>
            <w:shd w:val="clear" w:color="auto" w:fill="auto"/>
            <w:noWrap/>
            <w:vAlign w:val="center"/>
          </w:tcPr>
          <w:p w14:paraId="6D65A93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26" w:type="dxa"/>
            <w:shd w:val="clear" w:color="auto" w:fill="auto"/>
            <w:noWrap/>
            <w:vAlign w:val="center"/>
          </w:tcPr>
          <w:p w14:paraId="28E59E6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考察项目的实施对于增加就业机会的情况。</w:t>
            </w:r>
          </w:p>
        </w:tc>
        <w:tc>
          <w:tcPr>
            <w:tcW w:w="1121" w:type="dxa"/>
            <w:shd w:val="clear" w:color="auto" w:fill="auto"/>
            <w:vAlign w:val="center"/>
          </w:tcPr>
          <w:p w14:paraId="0A4D58F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增加</w:t>
            </w:r>
          </w:p>
        </w:tc>
        <w:tc>
          <w:tcPr>
            <w:tcW w:w="4839" w:type="dxa"/>
            <w:shd w:val="clear" w:color="auto" w:fill="auto"/>
            <w:vAlign w:val="center"/>
          </w:tcPr>
          <w:p w14:paraId="241163C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①建设工程拉动内需，增加劳动就业机会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②项目建设后是否配备有相关管理人员以及日常维护人员。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①②各占60%权重及40%权重，如有则得分；没有则不得分。</w:t>
            </w:r>
          </w:p>
        </w:tc>
        <w:tc>
          <w:tcPr>
            <w:tcW w:w="3454" w:type="dxa"/>
            <w:shd w:val="clear" w:color="auto" w:fill="auto"/>
            <w:vAlign w:val="center"/>
          </w:tcPr>
          <w:p w14:paraId="2C68228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根据实施方案及陕州区水利局提供的验收资料显示，项目建设增加劳动就业岗位；工程运行管理单位已落实。依据评分标准，该指标得4分。</w:t>
            </w:r>
          </w:p>
        </w:tc>
        <w:tc>
          <w:tcPr>
            <w:tcW w:w="761" w:type="dxa"/>
            <w:shd w:val="clear" w:color="auto" w:fill="auto"/>
            <w:noWrap/>
            <w:vAlign w:val="center"/>
          </w:tcPr>
          <w:p w14:paraId="400FDF9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14:paraId="565C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15" w:hRule="atLeast"/>
        </w:trPr>
        <w:tc>
          <w:tcPr>
            <w:tcW w:w="775" w:type="dxa"/>
            <w:vMerge w:val="continue"/>
            <w:shd w:val="clear" w:color="auto" w:fill="auto"/>
            <w:noWrap/>
            <w:vAlign w:val="center"/>
          </w:tcPr>
          <w:p w14:paraId="710E3C07">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vMerge w:val="continue"/>
            <w:shd w:val="clear" w:color="auto" w:fill="auto"/>
            <w:noWrap/>
            <w:vAlign w:val="center"/>
          </w:tcPr>
          <w:p w14:paraId="1BC74420">
            <w:pPr>
              <w:spacing w:line="240" w:lineRule="auto"/>
              <w:ind w:firstLine="0" w:firstLineChars="0"/>
              <w:jc w:val="center"/>
              <w:rPr>
                <w:rFonts w:hint="eastAsia" w:ascii="宋体" w:hAnsi="宋体" w:eastAsia="宋体" w:cs="宋体"/>
                <w:i w:val="0"/>
                <w:iCs w:val="0"/>
                <w:color w:val="000000"/>
                <w:sz w:val="18"/>
                <w:szCs w:val="18"/>
                <w:u w:val="none"/>
              </w:rPr>
            </w:pPr>
          </w:p>
        </w:tc>
        <w:tc>
          <w:tcPr>
            <w:tcW w:w="1054" w:type="dxa"/>
            <w:shd w:val="clear" w:color="auto" w:fill="auto"/>
            <w:vAlign w:val="center"/>
          </w:tcPr>
          <w:p w14:paraId="6CE45ED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减免洪涝</w:t>
            </w:r>
          </w:p>
          <w:p w14:paraId="0519EF7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灾害</w:t>
            </w:r>
          </w:p>
        </w:tc>
        <w:tc>
          <w:tcPr>
            <w:tcW w:w="800" w:type="dxa"/>
            <w:shd w:val="clear" w:color="auto" w:fill="auto"/>
            <w:noWrap/>
            <w:vAlign w:val="center"/>
          </w:tcPr>
          <w:p w14:paraId="2916E54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26" w:type="dxa"/>
            <w:shd w:val="clear" w:color="auto" w:fill="auto"/>
            <w:vAlign w:val="center"/>
          </w:tcPr>
          <w:p w14:paraId="17A34A8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考察项目的实施对减免洪涝灾害改善或提高程度</w:t>
            </w:r>
          </w:p>
        </w:tc>
        <w:tc>
          <w:tcPr>
            <w:tcW w:w="1121" w:type="dxa"/>
            <w:shd w:val="clear" w:color="auto" w:fill="auto"/>
            <w:vAlign w:val="center"/>
          </w:tcPr>
          <w:p w14:paraId="263003F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明显</w:t>
            </w:r>
          </w:p>
        </w:tc>
        <w:tc>
          <w:tcPr>
            <w:tcW w:w="4839" w:type="dxa"/>
            <w:shd w:val="clear" w:color="auto" w:fill="auto"/>
            <w:vAlign w:val="center"/>
          </w:tcPr>
          <w:p w14:paraId="43BDA87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根据群众对项目实施后的情况的调查判断打分：调查问卷满意度 90%（含）以上，本指标得满分；调查问卷满意度 85%（含）-90%分，扣除权重分的5%；调查问卷满意度 80%（含）-85%分，扣除权重分的10%；依此类推，扣完为止。</w:t>
            </w:r>
          </w:p>
        </w:tc>
        <w:tc>
          <w:tcPr>
            <w:tcW w:w="3454" w:type="dxa"/>
            <w:shd w:val="clear" w:color="auto" w:fill="auto"/>
            <w:vAlign w:val="center"/>
          </w:tcPr>
          <w:p w14:paraId="7AD94E2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通过发放调查问卷，共计形成有效调查问卷26份，设备运转情况满意度＞90%，根据评价标准，该指标得满分</w:t>
            </w:r>
          </w:p>
        </w:tc>
        <w:tc>
          <w:tcPr>
            <w:tcW w:w="761" w:type="dxa"/>
            <w:shd w:val="clear" w:color="auto" w:fill="auto"/>
            <w:noWrap/>
            <w:vAlign w:val="center"/>
          </w:tcPr>
          <w:p w14:paraId="4BA812D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14:paraId="2CF9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0" w:hRule="atLeast"/>
        </w:trPr>
        <w:tc>
          <w:tcPr>
            <w:tcW w:w="775" w:type="dxa"/>
            <w:vMerge w:val="restart"/>
            <w:shd w:val="clear" w:color="auto" w:fill="auto"/>
            <w:noWrap/>
            <w:vAlign w:val="center"/>
          </w:tcPr>
          <w:p w14:paraId="23751FB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效益</w:t>
            </w:r>
          </w:p>
          <w:p w14:paraId="467550E7">
            <w:pPr>
              <w:spacing w:line="240" w:lineRule="auto"/>
              <w:ind w:firstLine="0" w:firstLineChars="0"/>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w:t>
            </w:r>
          </w:p>
        </w:tc>
        <w:tc>
          <w:tcPr>
            <w:tcW w:w="786" w:type="dxa"/>
            <w:shd w:val="clear" w:color="auto" w:fill="auto"/>
            <w:noWrap/>
            <w:vAlign w:val="center"/>
          </w:tcPr>
          <w:p w14:paraId="50A40CA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生态</w:t>
            </w:r>
          </w:p>
          <w:p w14:paraId="71DB76D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w:t>
            </w:r>
          </w:p>
        </w:tc>
        <w:tc>
          <w:tcPr>
            <w:tcW w:w="1054" w:type="dxa"/>
            <w:shd w:val="clear" w:color="auto" w:fill="auto"/>
            <w:vAlign w:val="center"/>
          </w:tcPr>
          <w:p w14:paraId="3AD9036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对中小河流的提升或影响程度</w:t>
            </w:r>
          </w:p>
        </w:tc>
        <w:tc>
          <w:tcPr>
            <w:tcW w:w="800" w:type="dxa"/>
            <w:shd w:val="clear" w:color="auto" w:fill="auto"/>
            <w:noWrap/>
            <w:vAlign w:val="center"/>
          </w:tcPr>
          <w:p w14:paraId="3A48451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26" w:type="dxa"/>
            <w:shd w:val="clear" w:color="auto" w:fill="auto"/>
            <w:vAlign w:val="center"/>
          </w:tcPr>
          <w:p w14:paraId="10AAAD1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反映项目的实施对中小河流的提升或影响程度</w:t>
            </w:r>
          </w:p>
        </w:tc>
        <w:tc>
          <w:tcPr>
            <w:tcW w:w="1121" w:type="dxa"/>
            <w:shd w:val="clear" w:color="auto" w:fill="auto"/>
            <w:vAlign w:val="center"/>
          </w:tcPr>
          <w:p w14:paraId="3F3F54D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明显</w:t>
            </w:r>
          </w:p>
        </w:tc>
        <w:tc>
          <w:tcPr>
            <w:tcW w:w="4839" w:type="dxa"/>
            <w:shd w:val="clear" w:color="auto" w:fill="auto"/>
            <w:vAlign w:val="center"/>
          </w:tcPr>
          <w:p w14:paraId="18314B2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作用显著，得4分；较显著，得3分；一般，得1分；不显著，得0分</w:t>
            </w:r>
          </w:p>
        </w:tc>
        <w:tc>
          <w:tcPr>
            <w:tcW w:w="3454" w:type="dxa"/>
            <w:shd w:val="clear" w:color="auto" w:fill="auto"/>
            <w:vAlign w:val="center"/>
          </w:tcPr>
          <w:p w14:paraId="57AA9BC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根据陕州区水利局提供的资料显示，河道疏浚6.605km，对于中小河流具有明显作用，根据验收报告显示，工程验收合格。得满分。</w:t>
            </w:r>
          </w:p>
        </w:tc>
        <w:tc>
          <w:tcPr>
            <w:tcW w:w="761" w:type="dxa"/>
            <w:shd w:val="clear" w:color="auto" w:fill="auto"/>
            <w:noWrap/>
            <w:vAlign w:val="center"/>
          </w:tcPr>
          <w:p w14:paraId="382716A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14:paraId="6474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0" w:hRule="atLeast"/>
        </w:trPr>
        <w:tc>
          <w:tcPr>
            <w:tcW w:w="775" w:type="dxa"/>
            <w:vMerge w:val="continue"/>
            <w:shd w:val="clear" w:color="auto" w:fill="auto"/>
            <w:noWrap/>
            <w:vAlign w:val="center"/>
          </w:tcPr>
          <w:p w14:paraId="74F89560">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shd w:val="clear" w:color="auto" w:fill="auto"/>
            <w:vAlign w:val="center"/>
          </w:tcPr>
          <w:p w14:paraId="64F9B1B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可持续发展</w:t>
            </w:r>
          </w:p>
        </w:tc>
        <w:tc>
          <w:tcPr>
            <w:tcW w:w="1054" w:type="dxa"/>
            <w:shd w:val="clear" w:color="auto" w:fill="auto"/>
            <w:vAlign w:val="center"/>
          </w:tcPr>
          <w:p w14:paraId="7482E69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设施设备管护制度健全性</w:t>
            </w:r>
          </w:p>
        </w:tc>
        <w:tc>
          <w:tcPr>
            <w:tcW w:w="800" w:type="dxa"/>
            <w:shd w:val="clear" w:color="auto" w:fill="auto"/>
            <w:noWrap/>
            <w:vAlign w:val="center"/>
          </w:tcPr>
          <w:p w14:paraId="276FCD0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26" w:type="dxa"/>
            <w:shd w:val="clear" w:color="auto" w:fill="auto"/>
            <w:vAlign w:val="center"/>
          </w:tcPr>
          <w:p w14:paraId="49B7DEA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考察项目建成后管护制度建设情况</w:t>
            </w:r>
          </w:p>
        </w:tc>
        <w:tc>
          <w:tcPr>
            <w:tcW w:w="1121" w:type="dxa"/>
            <w:shd w:val="clear" w:color="auto" w:fill="auto"/>
            <w:vAlign w:val="center"/>
          </w:tcPr>
          <w:p w14:paraId="17C4858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适时修订管护制度并予以落实</w:t>
            </w:r>
          </w:p>
        </w:tc>
        <w:tc>
          <w:tcPr>
            <w:tcW w:w="4839" w:type="dxa"/>
            <w:shd w:val="clear" w:color="auto" w:fill="auto"/>
            <w:vAlign w:val="center"/>
          </w:tcPr>
          <w:p w14:paraId="4E84DDE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建设单位为项目运行制定了完善的后续管理机制及相关的管理办法，项目得满分，否则，不得分。</w:t>
            </w:r>
          </w:p>
        </w:tc>
        <w:tc>
          <w:tcPr>
            <w:tcW w:w="3454" w:type="dxa"/>
            <w:shd w:val="clear" w:color="auto" w:fill="auto"/>
            <w:vAlign w:val="center"/>
          </w:tcPr>
          <w:p w14:paraId="1D393B8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根据陕州区水利局提供资料显示，后期管理工作管委会已移交陕州区店子乡、西张村镇人民政府管理。经评价组商定，该指标得满分。</w:t>
            </w:r>
          </w:p>
        </w:tc>
        <w:tc>
          <w:tcPr>
            <w:tcW w:w="761" w:type="dxa"/>
            <w:shd w:val="clear" w:color="auto" w:fill="auto"/>
            <w:noWrap/>
            <w:vAlign w:val="center"/>
          </w:tcPr>
          <w:p w14:paraId="0108F91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14:paraId="06B0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8" w:hRule="atLeast"/>
        </w:trPr>
        <w:tc>
          <w:tcPr>
            <w:tcW w:w="775" w:type="dxa"/>
            <w:vMerge w:val="continue"/>
            <w:shd w:val="clear" w:color="auto" w:fill="auto"/>
            <w:noWrap/>
            <w:vAlign w:val="center"/>
          </w:tcPr>
          <w:p w14:paraId="0E4B24E9">
            <w:pPr>
              <w:spacing w:line="240" w:lineRule="auto"/>
              <w:ind w:firstLine="0" w:firstLineChars="0"/>
              <w:jc w:val="center"/>
              <w:rPr>
                <w:rFonts w:hint="eastAsia" w:ascii="宋体" w:hAnsi="宋体" w:eastAsia="宋体" w:cs="宋体"/>
                <w:i w:val="0"/>
                <w:iCs w:val="0"/>
                <w:color w:val="000000"/>
                <w:sz w:val="18"/>
                <w:szCs w:val="18"/>
                <w:u w:val="none"/>
              </w:rPr>
            </w:pPr>
          </w:p>
        </w:tc>
        <w:tc>
          <w:tcPr>
            <w:tcW w:w="786" w:type="dxa"/>
            <w:shd w:val="clear" w:color="auto" w:fill="auto"/>
            <w:noWrap/>
            <w:vAlign w:val="center"/>
          </w:tcPr>
          <w:p w14:paraId="326ECF0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Style w:val="27"/>
                <w:sz w:val="18"/>
                <w:szCs w:val="18"/>
                <w:lang w:val="en-US" w:eastAsia="zh-CN" w:bidi="ar"/>
              </w:rPr>
              <w:t>满意度</w:t>
            </w:r>
          </w:p>
        </w:tc>
        <w:tc>
          <w:tcPr>
            <w:tcW w:w="1054" w:type="dxa"/>
            <w:shd w:val="clear" w:color="auto" w:fill="auto"/>
            <w:vAlign w:val="center"/>
          </w:tcPr>
          <w:p w14:paraId="4F54354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800" w:type="dxa"/>
            <w:shd w:val="clear" w:color="auto" w:fill="auto"/>
            <w:noWrap/>
            <w:vAlign w:val="center"/>
          </w:tcPr>
          <w:p w14:paraId="4E7F5BC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26" w:type="dxa"/>
            <w:shd w:val="clear" w:color="auto" w:fill="auto"/>
            <w:vAlign w:val="center"/>
          </w:tcPr>
          <w:p w14:paraId="2E236B3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对群众进行问卷调查，获取满意度</w:t>
            </w:r>
          </w:p>
        </w:tc>
        <w:tc>
          <w:tcPr>
            <w:tcW w:w="1121" w:type="dxa"/>
            <w:shd w:val="clear" w:color="auto" w:fill="auto"/>
            <w:noWrap/>
            <w:vAlign w:val="center"/>
          </w:tcPr>
          <w:p w14:paraId="7EAD428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4839" w:type="dxa"/>
            <w:shd w:val="clear" w:color="auto" w:fill="auto"/>
            <w:vAlign w:val="center"/>
          </w:tcPr>
          <w:p w14:paraId="724A8FD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评分要点：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综合满意度≥90％得满分。否则，每降低1％，扣除10％权重分，扣完为止。</w:t>
            </w:r>
          </w:p>
        </w:tc>
        <w:tc>
          <w:tcPr>
            <w:tcW w:w="3454" w:type="dxa"/>
            <w:shd w:val="clear" w:color="auto" w:fill="auto"/>
            <w:vAlign w:val="center"/>
          </w:tcPr>
          <w:p w14:paraId="05D47BB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通过发放调查问卷，共计形成有效调查问卷26份，综合满意度＞90%，根据评价标准，该指标得满分</w:t>
            </w:r>
          </w:p>
        </w:tc>
        <w:tc>
          <w:tcPr>
            <w:tcW w:w="761" w:type="dxa"/>
            <w:shd w:val="clear" w:color="auto" w:fill="auto"/>
            <w:noWrap/>
            <w:vAlign w:val="center"/>
          </w:tcPr>
          <w:p w14:paraId="59229B0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14:paraId="2AEF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0" w:hRule="atLeast"/>
        </w:trPr>
        <w:tc>
          <w:tcPr>
            <w:tcW w:w="775" w:type="dxa"/>
            <w:shd w:val="clear" w:color="auto" w:fill="auto"/>
            <w:noWrap/>
            <w:vAlign w:val="center"/>
          </w:tcPr>
          <w:p w14:paraId="5AB3067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786" w:type="dxa"/>
            <w:shd w:val="clear" w:color="auto" w:fill="auto"/>
            <w:noWrap/>
            <w:vAlign w:val="center"/>
          </w:tcPr>
          <w:p w14:paraId="1483B7E5">
            <w:pPr>
              <w:spacing w:line="240" w:lineRule="auto"/>
              <w:ind w:firstLine="0" w:firstLineChars="0"/>
              <w:jc w:val="center"/>
              <w:rPr>
                <w:rFonts w:hint="eastAsia" w:ascii="宋体" w:hAnsi="宋体" w:eastAsia="宋体" w:cs="宋体"/>
                <w:b/>
                <w:bCs/>
                <w:i w:val="0"/>
                <w:iCs w:val="0"/>
                <w:color w:val="000000"/>
                <w:sz w:val="18"/>
                <w:szCs w:val="18"/>
                <w:u w:val="none"/>
              </w:rPr>
            </w:pPr>
          </w:p>
        </w:tc>
        <w:tc>
          <w:tcPr>
            <w:tcW w:w="1054" w:type="dxa"/>
            <w:shd w:val="clear" w:color="auto" w:fill="auto"/>
            <w:vAlign w:val="center"/>
          </w:tcPr>
          <w:p w14:paraId="44DA64D8">
            <w:pPr>
              <w:spacing w:line="240" w:lineRule="auto"/>
              <w:ind w:firstLine="0" w:firstLineChars="0"/>
              <w:jc w:val="center"/>
              <w:rPr>
                <w:rFonts w:hint="eastAsia" w:ascii="宋体" w:hAnsi="宋体" w:eastAsia="宋体" w:cs="宋体"/>
                <w:i w:val="0"/>
                <w:iCs w:val="0"/>
                <w:color w:val="000000"/>
                <w:sz w:val="18"/>
                <w:szCs w:val="18"/>
                <w:u w:val="none"/>
              </w:rPr>
            </w:pPr>
          </w:p>
        </w:tc>
        <w:tc>
          <w:tcPr>
            <w:tcW w:w="800" w:type="dxa"/>
            <w:shd w:val="clear" w:color="auto" w:fill="auto"/>
            <w:noWrap/>
            <w:vAlign w:val="center"/>
          </w:tcPr>
          <w:p w14:paraId="3E4EA5D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2026" w:type="dxa"/>
            <w:shd w:val="clear" w:color="auto" w:fill="auto"/>
            <w:noWrap/>
            <w:vAlign w:val="center"/>
          </w:tcPr>
          <w:p w14:paraId="6C30B818">
            <w:pPr>
              <w:spacing w:line="240" w:lineRule="auto"/>
              <w:ind w:firstLine="0" w:firstLineChars="0"/>
              <w:jc w:val="center"/>
              <w:rPr>
                <w:rFonts w:hint="eastAsia" w:ascii="宋体" w:hAnsi="宋体" w:eastAsia="宋体" w:cs="宋体"/>
                <w:b/>
                <w:bCs/>
                <w:i w:val="0"/>
                <w:iCs w:val="0"/>
                <w:color w:val="000000"/>
                <w:sz w:val="18"/>
                <w:szCs w:val="18"/>
                <w:u w:val="none"/>
              </w:rPr>
            </w:pPr>
          </w:p>
        </w:tc>
        <w:tc>
          <w:tcPr>
            <w:tcW w:w="1121" w:type="dxa"/>
            <w:shd w:val="clear" w:color="auto" w:fill="auto"/>
            <w:noWrap/>
            <w:vAlign w:val="center"/>
          </w:tcPr>
          <w:p w14:paraId="71794085">
            <w:pPr>
              <w:spacing w:line="240" w:lineRule="auto"/>
              <w:ind w:firstLine="0" w:firstLineChars="0"/>
              <w:jc w:val="center"/>
              <w:rPr>
                <w:rFonts w:hint="eastAsia" w:ascii="宋体" w:hAnsi="宋体" w:eastAsia="宋体" w:cs="宋体"/>
                <w:b/>
                <w:bCs/>
                <w:i w:val="0"/>
                <w:iCs w:val="0"/>
                <w:color w:val="000000"/>
                <w:sz w:val="18"/>
                <w:szCs w:val="18"/>
                <w:u w:val="none"/>
              </w:rPr>
            </w:pPr>
          </w:p>
        </w:tc>
        <w:tc>
          <w:tcPr>
            <w:tcW w:w="4839" w:type="dxa"/>
            <w:shd w:val="clear" w:color="auto" w:fill="auto"/>
            <w:vAlign w:val="center"/>
          </w:tcPr>
          <w:p w14:paraId="137D8F31">
            <w:pPr>
              <w:spacing w:line="240" w:lineRule="auto"/>
              <w:ind w:firstLine="0" w:firstLineChars="0"/>
              <w:jc w:val="center"/>
              <w:rPr>
                <w:rFonts w:hint="eastAsia" w:ascii="宋体" w:hAnsi="宋体" w:eastAsia="宋体" w:cs="宋体"/>
                <w:b/>
                <w:bCs/>
                <w:i w:val="0"/>
                <w:iCs w:val="0"/>
                <w:color w:val="000000"/>
                <w:sz w:val="18"/>
                <w:szCs w:val="18"/>
                <w:u w:val="none"/>
              </w:rPr>
            </w:pPr>
          </w:p>
        </w:tc>
        <w:tc>
          <w:tcPr>
            <w:tcW w:w="3454" w:type="dxa"/>
            <w:shd w:val="clear" w:color="auto" w:fill="auto"/>
            <w:vAlign w:val="center"/>
          </w:tcPr>
          <w:p w14:paraId="55FDD9C4">
            <w:pPr>
              <w:spacing w:line="240" w:lineRule="auto"/>
              <w:ind w:firstLine="0" w:firstLineChars="0"/>
              <w:jc w:val="center"/>
              <w:rPr>
                <w:rFonts w:hint="eastAsia" w:ascii="宋体" w:hAnsi="宋体" w:eastAsia="宋体" w:cs="宋体"/>
                <w:b/>
                <w:bCs/>
                <w:i w:val="0"/>
                <w:iCs w:val="0"/>
                <w:color w:val="000000"/>
                <w:sz w:val="18"/>
                <w:szCs w:val="18"/>
                <w:u w:val="none"/>
              </w:rPr>
            </w:pPr>
          </w:p>
        </w:tc>
        <w:tc>
          <w:tcPr>
            <w:tcW w:w="761" w:type="dxa"/>
            <w:shd w:val="clear" w:color="auto" w:fill="auto"/>
            <w:noWrap/>
            <w:vAlign w:val="center"/>
          </w:tcPr>
          <w:p w14:paraId="30D5AAA0">
            <w:pPr>
              <w:keepNext w:val="0"/>
              <w:keepLines w:val="0"/>
              <w:widowControl/>
              <w:suppressLineNumbers w:val="0"/>
              <w:spacing w:line="240" w:lineRule="auto"/>
              <w:ind w:left="0" w:leftChars="0" w:firstLine="0" w:firstLineChars="0"/>
              <w:jc w:val="center"/>
              <w:textAlignment w:val="center"/>
              <w:rPr>
                <w:rFonts w:hint="default" w:ascii="宋体" w:hAnsi="宋体" w:eastAsia="宋体" w:cs="宋体"/>
                <w:b/>
                <w:bCs/>
                <w:i w:val="0"/>
                <w:iCs w:val="0"/>
                <w:color w:val="000000"/>
                <w:sz w:val="18"/>
                <w:szCs w:val="18"/>
                <w:u w:val="none"/>
                <w:lang w:val="en-US"/>
              </w:rPr>
            </w:pPr>
            <w:r>
              <w:rPr>
                <w:rFonts w:hint="eastAsia" w:cs="宋体"/>
                <w:b/>
                <w:bCs/>
                <w:i w:val="0"/>
                <w:iCs w:val="0"/>
                <w:color w:val="000000"/>
                <w:kern w:val="0"/>
                <w:sz w:val="18"/>
                <w:szCs w:val="18"/>
                <w:u w:val="none"/>
                <w:lang w:val="en-US" w:eastAsia="zh-CN" w:bidi="ar"/>
              </w:rPr>
              <w:t>90.46</w:t>
            </w:r>
          </w:p>
        </w:tc>
      </w:tr>
    </w:tbl>
    <w:p w14:paraId="0451D302">
      <w:pPr>
        <w:spacing w:after="560" w:line="360" w:lineRule="exact"/>
        <w:ind w:left="0" w:leftChars="0" w:firstLine="0" w:firstLineChars="0"/>
        <w:jc w:val="both"/>
      </w:pPr>
    </w:p>
    <w:p w14:paraId="793CF760">
      <w:pPr>
        <w:spacing w:line="580" w:lineRule="exact"/>
        <w:ind w:left="0" w:leftChars="0" w:firstLine="0" w:firstLineChars="0"/>
        <w:jc w:val="left"/>
        <w:rPr>
          <w:color w:val="000000"/>
          <w:sz w:val="30"/>
        </w:rPr>
        <w:sectPr>
          <w:headerReference r:id="rId8" w:type="default"/>
          <w:footerReference r:id="rId9" w:type="default"/>
          <w:pgSz w:w="16840" w:h="11900" w:orient="landscape"/>
          <w:pgMar w:top="720" w:right="720" w:bottom="720" w:left="720" w:header="0" w:footer="1440" w:gutter="0"/>
          <w:pgNumType w:fmt="numberInDash"/>
          <w:cols w:space="0" w:num="1"/>
          <w:rtlGutter w:val="0"/>
          <w:docGrid w:type="lines" w:linePitch="386" w:charSpace="0"/>
        </w:sectPr>
      </w:pPr>
    </w:p>
    <w:p w14:paraId="38E34A7F">
      <w:pPr>
        <w:pStyle w:val="2"/>
        <w:bidi w:val="0"/>
        <w:jc w:val="left"/>
        <w:rPr>
          <w:rFonts w:hint="eastAsia"/>
        </w:rPr>
      </w:pPr>
      <w:bookmarkStart w:id="69" w:name="_Toc29612"/>
      <w:bookmarkStart w:id="70" w:name="_Toc6877"/>
      <w:r>
        <w:t>附件二 满意度分析报告</w:t>
      </w:r>
      <w:bookmarkEnd w:id="69"/>
      <w:bookmarkEnd w:id="70"/>
    </w:p>
    <w:p w14:paraId="61E9CF7B">
      <w:pPr>
        <w:bidi w:val="0"/>
        <w:jc w:val="center"/>
        <w:rPr>
          <w:rFonts w:hint="default" w:eastAsia="宋体"/>
          <w:lang w:val="en-US" w:eastAsia="zh-CN"/>
        </w:rPr>
      </w:pPr>
      <w:r>
        <w:rPr>
          <w:rFonts w:hint="eastAsia"/>
        </w:rPr>
        <w:t>三门峡市陕州区青龙涧河涧里村至杨家河村河道治理工程项目</w:t>
      </w:r>
    </w:p>
    <w:p w14:paraId="45261A51">
      <w:pPr>
        <w:bidi w:val="0"/>
        <w:jc w:val="center"/>
      </w:pPr>
      <w:r>
        <w:t>满意度分析报告</w:t>
      </w:r>
    </w:p>
    <w:p w14:paraId="3B75B16E">
      <w:pPr>
        <w:pStyle w:val="5"/>
        <w:bidi w:val="0"/>
      </w:pPr>
      <w:r>
        <w:t>一、调查目的</w:t>
      </w:r>
    </w:p>
    <w:p w14:paraId="1CC0CE87">
      <w:pPr>
        <w:bidi w:val="0"/>
      </w:pPr>
      <w:r>
        <w:t>充分掌握</w:t>
      </w:r>
      <w:r>
        <w:rPr>
          <w:rFonts w:hint="eastAsia"/>
        </w:rPr>
        <w:t>三门峡市陕州区青龙涧河涧里村至杨家河村河道治理工程项目</w:t>
      </w:r>
      <w:r>
        <w:t>的实施情况，了解项目受益</w:t>
      </w:r>
      <w:r>
        <w:rPr>
          <w:rFonts w:hint="eastAsia"/>
          <w:lang w:val="en-US" w:eastAsia="zh-CN"/>
        </w:rPr>
        <w:t>群众</w:t>
      </w:r>
      <w:r>
        <w:t>对项目</w:t>
      </w:r>
      <w:r>
        <w:rPr>
          <w:rFonts w:hint="eastAsia"/>
          <w:lang w:val="en-US" w:eastAsia="zh-CN"/>
        </w:rPr>
        <w:t>质量及成效的</w:t>
      </w:r>
      <w:r>
        <w:t>满意与认可程度。</w:t>
      </w:r>
    </w:p>
    <w:p w14:paraId="5400895D">
      <w:pPr>
        <w:pStyle w:val="5"/>
        <w:bidi w:val="0"/>
      </w:pPr>
      <w:r>
        <w:t>二、调查对象与调查内容</w:t>
      </w:r>
    </w:p>
    <w:p w14:paraId="52EEDC16">
      <w:pPr>
        <w:bidi w:val="0"/>
        <w:rPr>
          <w:rFonts w:hint="eastAsia" w:eastAsia="宋体"/>
          <w:lang w:eastAsia="zh-CN"/>
        </w:rPr>
      </w:pPr>
      <w:r>
        <w:t>本次调研对象为</w:t>
      </w:r>
      <w:r>
        <w:rPr>
          <w:rFonts w:hint="eastAsia"/>
        </w:rPr>
        <w:t>三门峡市陕州区青龙涧河涧里村至杨家河村河道治理工程项目</w:t>
      </w:r>
      <w:r>
        <w:t>受益</w:t>
      </w:r>
      <w:r>
        <w:rPr>
          <w:rFonts w:hint="eastAsia"/>
          <w:lang w:val="en-US" w:eastAsia="zh-CN"/>
        </w:rPr>
        <w:t>群众；</w:t>
      </w:r>
      <w:r>
        <w:t>问卷设计的内容包括基本问题及满意度问题</w:t>
      </w:r>
      <w:r>
        <w:rPr>
          <w:rFonts w:hint="eastAsia"/>
          <w:lang w:eastAsia="zh-CN"/>
        </w:rPr>
        <w:t>，</w:t>
      </w:r>
      <w:r>
        <w:t>侧重于</w:t>
      </w:r>
      <w:r>
        <w:rPr>
          <w:rFonts w:hint="eastAsia"/>
          <w:lang w:val="en-US" w:eastAsia="zh-CN"/>
        </w:rPr>
        <w:t>了解项目受益相关方对项目</w:t>
      </w:r>
      <w:r>
        <w:t>质量及</w:t>
      </w:r>
      <w:r>
        <w:rPr>
          <w:rFonts w:hint="eastAsia"/>
          <w:lang w:val="en-US" w:eastAsia="zh-CN"/>
        </w:rPr>
        <w:t>项目成效</w:t>
      </w:r>
      <w:r>
        <w:t>的满意和认可程度</w:t>
      </w:r>
      <w:r>
        <w:rPr>
          <w:rFonts w:hint="eastAsia"/>
          <w:lang w:eastAsia="zh-CN"/>
        </w:rPr>
        <w:t>。</w:t>
      </w:r>
    </w:p>
    <w:p w14:paraId="7C140C5B">
      <w:pPr>
        <w:pStyle w:val="5"/>
        <w:bidi w:val="0"/>
      </w:pPr>
      <w:r>
        <w:t>三、调查方式与抽样方法</w:t>
      </w:r>
    </w:p>
    <w:p w14:paraId="3C4563C0">
      <w:pPr>
        <w:bidi w:val="0"/>
      </w:pPr>
      <w:r>
        <w:t>问卷调查采取抽样方式进行。通过项目主管</w:t>
      </w:r>
      <w:r>
        <w:rPr>
          <w:rFonts w:hint="eastAsia"/>
          <w:lang w:val="en-US" w:eastAsia="zh-CN"/>
        </w:rPr>
        <w:t>单位</w:t>
      </w:r>
      <w:r>
        <w:t>配合，</w:t>
      </w:r>
      <w:r>
        <w:rPr>
          <w:rFonts w:hint="eastAsia"/>
          <w:lang w:val="en-US" w:eastAsia="zh-CN"/>
        </w:rPr>
        <w:t>随机</w:t>
      </w:r>
      <w:r>
        <w:t>抽取部分受益群众</w:t>
      </w:r>
      <w:r>
        <w:rPr>
          <w:rFonts w:hint="eastAsia"/>
          <w:lang w:val="en-US" w:eastAsia="zh-CN"/>
        </w:rPr>
        <w:t>发放问卷</w:t>
      </w:r>
      <w:r>
        <w:t>进行满意度调查。</w:t>
      </w:r>
    </w:p>
    <w:p w14:paraId="2B0BDEF8">
      <w:pPr>
        <w:pStyle w:val="5"/>
        <w:bidi w:val="0"/>
      </w:pPr>
      <w:r>
        <w:t>四、问卷的发放和回收</w:t>
      </w:r>
    </w:p>
    <w:p w14:paraId="01B44BD2">
      <w:pPr>
        <w:bidi w:val="0"/>
      </w:pPr>
      <w:r>
        <w:t>为确保问卷调查的全面性和代表性，本次调查问卷共计发放</w:t>
      </w:r>
      <w:r>
        <w:rPr>
          <w:rFonts w:hint="eastAsia"/>
          <w:lang w:val="en-US" w:eastAsia="zh-CN"/>
        </w:rPr>
        <w:t>20</w:t>
      </w:r>
      <w:r>
        <w:t>份，回收</w:t>
      </w:r>
      <w:r>
        <w:rPr>
          <w:rFonts w:hint="eastAsia"/>
          <w:lang w:val="en-US" w:eastAsia="zh-CN"/>
        </w:rPr>
        <w:t>20</w:t>
      </w:r>
      <w:r>
        <w:t>份。此次调查问卷填写完整，</w:t>
      </w:r>
      <w:r>
        <w:rPr>
          <w:rFonts w:hint="eastAsia"/>
          <w:lang w:val="en-US" w:eastAsia="zh-CN"/>
        </w:rPr>
        <w:t>随机性强</w:t>
      </w:r>
      <w:r>
        <w:t>，有效问卷回收率高，具有较强的代表性和可信度，可作为绩效评价报告研究重要依据。</w:t>
      </w:r>
    </w:p>
    <w:p w14:paraId="7B42D510">
      <w:pPr>
        <w:pStyle w:val="5"/>
        <w:bidi w:val="0"/>
        <w:rPr>
          <w:rFonts w:hint="eastAsia"/>
          <w:b/>
          <w:bCs/>
          <w:sz w:val="28"/>
          <w:szCs w:val="32"/>
        </w:rPr>
      </w:pPr>
      <w:r>
        <w:rPr>
          <w:rFonts w:hint="eastAsia"/>
          <w:lang w:val="en-US" w:eastAsia="zh-CN"/>
        </w:rPr>
        <w:t>五、</w:t>
      </w:r>
      <w:r>
        <w:t>调查问卷分析</w:t>
      </w:r>
      <w:bookmarkStart w:id="71" w:name="_Toc4597"/>
    </w:p>
    <w:p w14:paraId="177F286A">
      <w:pPr>
        <w:bidi w:val="0"/>
      </w:pPr>
      <w:r>
        <w:rPr>
          <w:rFonts w:hint="eastAsia"/>
          <w:lang w:val="en-US" w:eastAsia="zh-CN"/>
        </w:rPr>
        <w:t>一</w:t>
      </w:r>
      <w:r>
        <w:t>、满意度问题（请根据你的真实感受，选出相应的数字</w:t>
      </w:r>
      <w:r>
        <w:rPr>
          <w:rFonts w:hint="eastAsia"/>
          <w:lang w:eastAsia="zh-CN"/>
        </w:rPr>
        <w:t>；</w:t>
      </w:r>
      <w:r>
        <w:t>其中“5</w:t>
      </w:r>
      <w:r>
        <w:rPr>
          <w:rFonts w:hint="eastAsia"/>
          <w:lang w:val="en-US" w:eastAsia="zh-CN"/>
        </w:rPr>
        <w:t>分</w:t>
      </w:r>
      <w:r>
        <w:t>”代表最满意，“1</w:t>
      </w:r>
      <w:r>
        <w:rPr>
          <w:rFonts w:hint="eastAsia"/>
          <w:lang w:val="en-US" w:eastAsia="zh-CN"/>
        </w:rPr>
        <w:t>分</w:t>
      </w:r>
      <w:r>
        <w:t>”代表最不满意。）</w:t>
      </w:r>
    </w:p>
    <w:p w14:paraId="7DB5740F">
      <w:pPr>
        <w:bidi w:val="0"/>
        <w:rPr>
          <w:rFonts w:hint="eastAsia"/>
          <w:lang w:val="en-US" w:eastAsia="zh-CN"/>
        </w:rPr>
      </w:pPr>
      <w:r>
        <w:rPr>
          <w:rFonts w:hint="eastAsia"/>
          <w:lang w:val="en-US" w:eastAsia="zh-CN"/>
        </w:rPr>
        <w:t>1、您对三门峡市陕州区青龙涧河涧里村至杨家河村河道治理工程项目施工过程（如噪音控制、污染物处置等）的满意程度？（   ）</w:t>
      </w:r>
    </w:p>
    <w:p w14:paraId="401748DA">
      <w:pPr>
        <w:bidi w:val="0"/>
        <w:rPr>
          <w:rFonts w:hint="eastAsia"/>
          <w:lang w:val="en-US" w:eastAsia="zh-CN"/>
        </w:rPr>
      </w:pPr>
      <w:r>
        <w:rPr>
          <w:rFonts w:hint="eastAsia"/>
          <w:lang w:val="en-US" w:eastAsia="zh-CN"/>
        </w:rPr>
        <w:t>2、</w:t>
      </w:r>
      <w:r>
        <w:t>您对</w:t>
      </w:r>
      <w:r>
        <w:rPr>
          <w:rFonts w:hint="eastAsia"/>
          <w:lang w:val="en-US" w:eastAsia="zh-CN"/>
        </w:rPr>
        <w:t>三门峡市陕州区青龙涧河涧里村至杨家河村河道治理工程项目减免洪涝灾害情况的满意程度</w:t>
      </w:r>
      <w:r>
        <w:t>？</w:t>
      </w:r>
      <w:r>
        <w:rPr>
          <w:rFonts w:hint="eastAsia"/>
          <w:lang w:eastAsia="zh-CN"/>
        </w:rPr>
        <w:t>（</w:t>
      </w:r>
      <w:r>
        <w:rPr>
          <w:rFonts w:hint="eastAsia"/>
          <w:lang w:val="en-US" w:eastAsia="zh-CN"/>
        </w:rPr>
        <w:t xml:space="preserve">  </w:t>
      </w:r>
      <w:r>
        <w:rPr>
          <w:rFonts w:hint="eastAsia"/>
          <w:lang w:eastAsia="zh-CN"/>
        </w:rPr>
        <w:t>）</w:t>
      </w:r>
    </w:p>
    <w:p w14:paraId="11B15620">
      <w:pPr>
        <w:bidi w:val="0"/>
        <w:rPr>
          <w:rFonts w:hint="eastAsia"/>
          <w:lang w:val="en-US" w:eastAsia="zh-CN"/>
        </w:rPr>
      </w:pPr>
      <w:r>
        <w:rPr>
          <w:rFonts w:hint="eastAsia"/>
          <w:lang w:val="en-US" w:eastAsia="zh-CN"/>
        </w:rPr>
        <w:t>3、</w:t>
      </w:r>
      <w:r>
        <w:t>您对</w:t>
      </w:r>
      <w:r>
        <w:rPr>
          <w:rFonts w:hint="eastAsia"/>
          <w:lang w:val="en-US" w:eastAsia="zh-CN"/>
        </w:rPr>
        <w:t>三门峡市陕州区青龙涧河涧里村至杨家河村河道治理工程项目河道改善情况的</w:t>
      </w:r>
      <w:r>
        <w:t>满意程度</w:t>
      </w:r>
      <w:r>
        <w:rPr>
          <w:rFonts w:hint="eastAsia"/>
          <w:lang w:eastAsia="zh-CN"/>
        </w:rPr>
        <w:t>？（</w:t>
      </w:r>
      <w:r>
        <w:rPr>
          <w:rFonts w:hint="eastAsia"/>
          <w:lang w:val="en-US" w:eastAsia="zh-CN"/>
        </w:rPr>
        <w:t xml:space="preserve">   </w:t>
      </w:r>
      <w:r>
        <w:rPr>
          <w:rFonts w:hint="eastAsia"/>
          <w:lang w:eastAsia="zh-CN"/>
        </w:rPr>
        <w:t>）</w:t>
      </w:r>
    </w:p>
    <w:p w14:paraId="0F9DB788">
      <w:pPr>
        <w:bidi w:val="0"/>
        <w:rPr>
          <w:rFonts w:hint="eastAsia"/>
          <w:lang w:val="en-US" w:eastAsia="zh-CN"/>
        </w:rPr>
      </w:pPr>
      <w:r>
        <w:rPr>
          <w:rFonts w:hint="eastAsia"/>
          <w:lang w:val="en-US" w:eastAsia="zh-CN"/>
        </w:rPr>
        <w:t>4、您对三门峡市陕州区青龙涧河涧里村至杨家河村河道治理工程</w:t>
      </w:r>
      <w:r>
        <w:rPr>
          <w:rFonts w:hint="eastAsia"/>
          <w:highlight w:val="none"/>
          <w:lang w:eastAsia="zh-CN"/>
        </w:rPr>
        <w:t>项目</w:t>
      </w:r>
      <w:r>
        <w:rPr>
          <w:rFonts w:hint="eastAsia"/>
          <w:lang w:val="en-US" w:eastAsia="zh-CN"/>
        </w:rPr>
        <w:t>对耕地保护情况的满意程度</w:t>
      </w:r>
      <w:r>
        <w:t>？</w:t>
      </w:r>
      <w:r>
        <w:rPr>
          <w:rFonts w:hint="eastAsia"/>
          <w:lang w:eastAsia="zh-CN"/>
        </w:rPr>
        <w:t>（</w:t>
      </w:r>
      <w:r>
        <w:rPr>
          <w:rFonts w:hint="eastAsia"/>
          <w:lang w:val="en-US" w:eastAsia="zh-CN"/>
        </w:rPr>
        <w:t xml:space="preserve">   ）</w:t>
      </w:r>
    </w:p>
    <w:p w14:paraId="510B23EF">
      <w:pPr>
        <w:bidi w:val="0"/>
        <w:rPr>
          <w:rFonts w:hint="eastAsia"/>
          <w:highlight w:val="none"/>
          <w:lang w:val="en-US" w:eastAsia="zh-CN"/>
        </w:rPr>
      </w:pPr>
      <w:r>
        <w:rPr>
          <w:rFonts w:hint="eastAsia"/>
          <w:highlight w:val="none"/>
          <w:lang w:val="en-US" w:eastAsia="zh-CN"/>
        </w:rPr>
        <w:t>5、您对门峡市陕州区青龙涧河涧里村至杨家河村河道治理工程</w:t>
      </w:r>
      <w:r>
        <w:rPr>
          <w:rFonts w:hint="eastAsia"/>
          <w:highlight w:val="none"/>
          <w:lang w:eastAsia="zh-CN"/>
        </w:rPr>
        <w:t>项目</w:t>
      </w:r>
      <w:r>
        <w:rPr>
          <w:rFonts w:hint="eastAsia"/>
          <w:highlight w:val="none"/>
          <w:lang w:val="en-US" w:eastAsia="zh-CN"/>
        </w:rPr>
        <w:t>建设完成后对公共服务水平的改善或提高程度的满意程度?（   ）</w:t>
      </w:r>
    </w:p>
    <w:p w14:paraId="69C4EBC8">
      <w:pPr>
        <w:bidi w:val="0"/>
        <w:rPr>
          <w:rFonts w:hint="eastAsia"/>
          <w:highlight w:val="none"/>
          <w:lang w:val="en-US" w:eastAsia="zh-CN"/>
        </w:rPr>
      </w:pPr>
    </w:p>
    <w:p w14:paraId="74652EC2">
      <w:pPr>
        <w:bidi w:val="0"/>
        <w:spacing w:line="240" w:lineRule="auto"/>
        <w:ind w:left="0" w:leftChars="0" w:firstLine="0" w:firstLineChars="0"/>
        <w:rPr>
          <w:rFonts w:hint="default"/>
          <w:lang w:val="en-US" w:eastAsia="zh-CN"/>
        </w:rPr>
      </w:pPr>
      <w:r>
        <w:rPr>
          <w:rFonts w:hint="default"/>
          <w:lang w:val="en-US" w:eastAsia="zh-CN"/>
        </w:rPr>
        <w:drawing>
          <wp:inline distT="0" distB="0" distL="114300" distR="114300">
            <wp:extent cx="5584190" cy="3163570"/>
            <wp:effectExtent l="4445" t="4445" r="19685" b="17145"/>
            <wp:docPr id="8" name="图表 8" descr="7b0a202020202263686172745265734964223a202232303437363935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5856C0">
      <w:pPr>
        <w:bidi w:val="0"/>
        <w:spacing w:line="240" w:lineRule="auto"/>
        <w:ind w:left="0" w:leftChars="0" w:firstLine="0" w:firstLineChars="0"/>
        <w:rPr>
          <w:rFonts w:hint="default"/>
          <w:lang w:val="en-US" w:eastAsia="zh-CN"/>
        </w:rPr>
      </w:pPr>
    </w:p>
    <w:p w14:paraId="4D13A0CB">
      <w:pPr>
        <w:pStyle w:val="2"/>
        <w:bidi w:val="0"/>
        <w:sectPr>
          <w:headerReference r:id="rId10" w:type="default"/>
          <w:footerReference r:id="rId11" w:type="default"/>
          <w:pgSz w:w="11900" w:h="16840"/>
          <w:pgMar w:top="720" w:right="1678" w:bottom="1440" w:left="1678" w:header="0" w:footer="1440" w:gutter="0"/>
          <w:pgNumType w:fmt="numberInDash"/>
          <w:cols w:space="0" w:num="1"/>
          <w:rtlGutter w:val="0"/>
          <w:docGrid w:type="lines" w:linePitch="386" w:charSpace="0"/>
        </w:sectPr>
      </w:pPr>
    </w:p>
    <w:p w14:paraId="44E9DADE">
      <w:pPr>
        <w:pStyle w:val="2"/>
        <w:bidi w:val="0"/>
      </w:pPr>
      <w:bookmarkStart w:id="72" w:name="_Toc2592"/>
      <w:r>
        <w:t>附件三 访谈报告</w:t>
      </w:r>
      <w:bookmarkEnd w:id="71"/>
      <w:bookmarkEnd w:id="72"/>
    </w:p>
    <w:p w14:paraId="49B83A3C">
      <w:pPr>
        <w:bidi w:val="0"/>
        <w:rPr>
          <w:color w:val="auto"/>
          <w:highlight w:val="yellow"/>
        </w:rPr>
      </w:pPr>
      <w:r>
        <w:t>时间：</w:t>
      </w:r>
      <w:r>
        <w:rPr>
          <w:color w:val="auto"/>
          <w:highlight w:val="none"/>
        </w:rPr>
        <w:t>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02</w:t>
      </w:r>
      <w:r>
        <w:rPr>
          <w:color w:val="auto"/>
          <w:highlight w:val="none"/>
        </w:rPr>
        <w:t>月</w:t>
      </w:r>
    </w:p>
    <w:p w14:paraId="4A7CE185">
      <w:pPr>
        <w:bidi w:val="0"/>
        <w:rPr>
          <w:rFonts w:hint="eastAsia"/>
          <w:lang w:val="en-US" w:eastAsia="zh-CN"/>
        </w:rPr>
      </w:pPr>
      <w:r>
        <w:t>地点：三门峡</w:t>
      </w:r>
      <w:r>
        <w:rPr>
          <w:rFonts w:hint="eastAsia"/>
          <w:lang w:val="en-US" w:eastAsia="zh-CN"/>
        </w:rPr>
        <w:t>市陕州区水利局</w:t>
      </w:r>
    </w:p>
    <w:p w14:paraId="0B4305CB">
      <w:pPr>
        <w:bidi w:val="0"/>
        <w:rPr>
          <w:rFonts w:hint="default"/>
          <w:lang w:val="en-US" w:eastAsia="zh-CN"/>
        </w:rPr>
      </w:pPr>
      <w:r>
        <w:t>访谈对象：</w:t>
      </w:r>
      <w:r>
        <w:rPr>
          <w:rFonts w:hint="eastAsia"/>
        </w:rPr>
        <w:t>三门峡市陕州区水利局项目负责人</w:t>
      </w:r>
    </w:p>
    <w:p w14:paraId="46B97E4C">
      <w:pPr>
        <w:bidi w:val="0"/>
        <w:rPr>
          <w:rFonts w:hint="eastAsia"/>
          <w:b/>
          <w:bCs/>
          <w:lang w:val="en-US" w:eastAsia="zh-CN"/>
        </w:rPr>
      </w:pPr>
      <w:bookmarkStart w:id="73" w:name="_Toc17507"/>
      <w:bookmarkStart w:id="74" w:name="_Toc7108"/>
      <w:bookmarkStart w:id="75" w:name="_Toc18333"/>
      <w:r>
        <w:rPr>
          <w:rFonts w:hint="eastAsia"/>
          <w:b/>
          <w:bCs/>
          <w:lang w:val="en-US" w:eastAsia="zh-CN"/>
        </w:rPr>
        <w:t>问题一：项目</w:t>
      </w:r>
      <w:r>
        <w:rPr>
          <w:rFonts w:hint="default"/>
          <w:b/>
          <w:bCs/>
          <w:lang w:val="en-US" w:eastAsia="zh-CN"/>
        </w:rPr>
        <w:t>预算资金</w:t>
      </w:r>
      <w:r>
        <w:rPr>
          <w:rFonts w:hint="eastAsia"/>
          <w:b/>
          <w:bCs/>
          <w:lang w:val="en-US" w:eastAsia="zh-CN"/>
        </w:rPr>
        <w:t>2624.21</w:t>
      </w:r>
      <w:r>
        <w:rPr>
          <w:rFonts w:hint="default"/>
          <w:b/>
          <w:bCs/>
          <w:lang w:val="en-US" w:eastAsia="zh-CN"/>
        </w:rPr>
        <w:t>万元实际到位</w:t>
      </w:r>
      <w:r>
        <w:rPr>
          <w:rFonts w:hint="eastAsia"/>
          <w:b/>
          <w:bCs/>
          <w:lang w:val="en-US" w:eastAsia="zh-CN"/>
        </w:rPr>
        <w:t>资金多少</w:t>
      </w:r>
      <w:r>
        <w:rPr>
          <w:rFonts w:hint="default"/>
          <w:b/>
          <w:bCs/>
          <w:lang w:val="en-US" w:eastAsia="zh-CN"/>
        </w:rPr>
        <w:t>？</w:t>
      </w:r>
      <w:r>
        <w:rPr>
          <w:rFonts w:hint="eastAsia"/>
          <w:b/>
          <w:bCs/>
          <w:lang w:val="en-US" w:eastAsia="zh-CN"/>
        </w:rPr>
        <w:t>实际支出资金多少？</w:t>
      </w:r>
    </w:p>
    <w:p w14:paraId="006CF700">
      <w:pPr>
        <w:bidi w:val="0"/>
        <w:rPr>
          <w:rFonts w:hint="eastAsia"/>
          <w:lang w:val="en-US" w:eastAsia="zh-CN"/>
        </w:rPr>
      </w:pPr>
      <w:r>
        <w:rPr>
          <w:rFonts w:hint="default"/>
          <w:lang w:val="en-US" w:eastAsia="zh-CN"/>
        </w:rPr>
        <w:t>实际</w:t>
      </w:r>
      <w:r>
        <w:rPr>
          <w:rFonts w:hint="eastAsia"/>
          <w:lang w:val="en-US" w:eastAsia="zh-CN"/>
        </w:rPr>
        <w:t>到位</w:t>
      </w:r>
      <w:r>
        <w:rPr>
          <w:rFonts w:hint="default"/>
          <w:lang w:val="en-US" w:eastAsia="zh-CN"/>
        </w:rPr>
        <w:t>资金为</w:t>
      </w:r>
      <w:r>
        <w:rPr>
          <w:rFonts w:hint="eastAsia"/>
          <w:lang w:val="en-US" w:eastAsia="zh-CN"/>
        </w:rPr>
        <w:t>1614.99万</w:t>
      </w:r>
      <w:r>
        <w:rPr>
          <w:rFonts w:hint="default"/>
          <w:lang w:val="en-US" w:eastAsia="zh-CN"/>
        </w:rPr>
        <w:t>元</w:t>
      </w:r>
      <w:r>
        <w:rPr>
          <w:rFonts w:hint="eastAsia"/>
          <w:lang w:val="en-US" w:eastAsia="zh-CN"/>
        </w:rPr>
        <w:t>，实际支付资金241.30万元（其中2024年支付166.10万元，2025年1月支付75.2万元）。</w:t>
      </w:r>
    </w:p>
    <w:p w14:paraId="21079E3F">
      <w:pPr>
        <w:bidi w:val="0"/>
        <w:rPr>
          <w:rFonts w:hint="eastAsia"/>
          <w:b/>
          <w:bCs/>
          <w:lang w:val="en-US" w:eastAsia="zh-CN"/>
        </w:rPr>
      </w:pPr>
      <w:r>
        <w:rPr>
          <w:rFonts w:hint="eastAsia"/>
          <w:b/>
          <w:bCs/>
          <w:lang w:val="en-US" w:eastAsia="zh-CN"/>
        </w:rPr>
        <w:t>问题二：</w:t>
      </w:r>
      <w:r>
        <w:rPr>
          <w:rFonts w:hint="default"/>
          <w:b/>
          <w:bCs/>
          <w:lang w:val="en-US" w:eastAsia="zh-CN"/>
        </w:rPr>
        <w:t>请您谈谈本项目下各类工程是否</w:t>
      </w:r>
      <w:r>
        <w:rPr>
          <w:rFonts w:hint="eastAsia"/>
          <w:b/>
          <w:bCs/>
          <w:lang w:val="en-US" w:eastAsia="zh-CN"/>
        </w:rPr>
        <w:t>均已</w:t>
      </w:r>
      <w:r>
        <w:rPr>
          <w:rFonts w:hint="default"/>
          <w:b/>
          <w:bCs/>
          <w:lang w:val="en-US" w:eastAsia="zh-CN"/>
        </w:rPr>
        <w:t>完工</w:t>
      </w:r>
      <w:r>
        <w:rPr>
          <w:rFonts w:hint="eastAsia"/>
          <w:b/>
          <w:bCs/>
          <w:lang w:val="en-US" w:eastAsia="zh-CN"/>
        </w:rPr>
        <w:t>并竣工决算</w:t>
      </w:r>
      <w:r>
        <w:rPr>
          <w:rFonts w:hint="default"/>
          <w:b/>
          <w:bCs/>
          <w:lang w:val="en-US" w:eastAsia="zh-CN"/>
        </w:rPr>
        <w:t>？</w:t>
      </w:r>
      <w:r>
        <w:rPr>
          <w:rFonts w:hint="eastAsia"/>
          <w:b/>
          <w:bCs/>
          <w:lang w:val="en-US" w:eastAsia="zh-CN"/>
        </w:rPr>
        <w:t>竣工决算是否完成？</w:t>
      </w:r>
    </w:p>
    <w:p w14:paraId="4A418E94">
      <w:pPr>
        <w:bidi w:val="0"/>
        <w:rPr>
          <w:rFonts w:hint="eastAsia"/>
          <w:lang w:val="en-US" w:eastAsia="zh-CN"/>
        </w:rPr>
      </w:pPr>
      <w:r>
        <w:rPr>
          <w:rFonts w:hint="eastAsia"/>
          <w:lang w:val="en-US" w:eastAsia="zh-CN"/>
        </w:rPr>
        <w:t>各类工程</w:t>
      </w:r>
      <w:r>
        <w:rPr>
          <w:rFonts w:hint="default"/>
          <w:lang w:val="en-US" w:eastAsia="zh-CN"/>
        </w:rPr>
        <w:t>202</w:t>
      </w:r>
      <w:r>
        <w:rPr>
          <w:rFonts w:hint="eastAsia"/>
          <w:lang w:val="en-US" w:eastAsia="zh-CN"/>
        </w:rPr>
        <w:t>3</w:t>
      </w:r>
      <w:r>
        <w:rPr>
          <w:rFonts w:hint="default"/>
          <w:lang w:val="en-US" w:eastAsia="zh-CN"/>
        </w:rPr>
        <w:t>年</w:t>
      </w:r>
      <w:r>
        <w:rPr>
          <w:rFonts w:hint="eastAsia"/>
          <w:lang w:val="en-US" w:eastAsia="zh-CN"/>
        </w:rPr>
        <w:t>5月</w:t>
      </w:r>
      <w:r>
        <w:rPr>
          <w:rFonts w:hint="default"/>
          <w:lang w:val="en-US" w:eastAsia="zh-CN"/>
        </w:rPr>
        <w:t>均已完工</w:t>
      </w:r>
      <w:r>
        <w:rPr>
          <w:rFonts w:hint="eastAsia"/>
          <w:lang w:val="en-US" w:eastAsia="zh-CN"/>
        </w:rPr>
        <w:t>，因疫情等因素，多次停工，实际工期240天。</w:t>
      </w:r>
    </w:p>
    <w:p w14:paraId="2762B513">
      <w:pPr>
        <w:bidi w:val="0"/>
        <w:rPr>
          <w:rFonts w:hint="eastAsia"/>
          <w:b/>
          <w:bCs/>
          <w:lang w:val="en-US" w:eastAsia="zh-CN"/>
        </w:rPr>
      </w:pPr>
      <w:r>
        <w:rPr>
          <w:rFonts w:hint="eastAsia"/>
          <w:b/>
          <w:bCs/>
          <w:lang w:val="en-US" w:eastAsia="zh-CN"/>
        </w:rPr>
        <w:t>问题三：请您谈谈贵部门在资金管理方面做了哪些监督和约束工作？</w:t>
      </w:r>
    </w:p>
    <w:p w14:paraId="31FB484C">
      <w:pPr>
        <w:bidi w:val="0"/>
        <w:rPr>
          <w:rFonts w:hint="eastAsia"/>
          <w:lang w:val="en-US" w:eastAsia="zh-CN"/>
        </w:rPr>
      </w:pPr>
      <w:r>
        <w:rPr>
          <w:rFonts w:hint="eastAsia"/>
          <w:lang w:val="en-US" w:eastAsia="zh-CN"/>
        </w:rPr>
        <w:t>严格按照三门峡市陕州区水利局下发的财务制度执行。</w:t>
      </w:r>
    </w:p>
    <w:p w14:paraId="4658E74D">
      <w:pPr>
        <w:bidi w:val="0"/>
        <w:rPr>
          <w:rFonts w:hint="eastAsia"/>
          <w:b/>
          <w:bCs/>
          <w:lang w:val="en-US" w:eastAsia="zh-CN"/>
        </w:rPr>
      </w:pPr>
      <w:r>
        <w:rPr>
          <w:rFonts w:hint="eastAsia"/>
          <w:b/>
          <w:bCs/>
          <w:lang w:val="en-US" w:eastAsia="zh-CN"/>
        </w:rPr>
        <w:t>问题四：请您谈谈本项目的验收情况（包括参与验收的人员、验收日期、验收合格率等）。</w:t>
      </w:r>
    </w:p>
    <w:p w14:paraId="60301074">
      <w:pPr>
        <w:bidi w:val="0"/>
        <w:rPr>
          <w:rFonts w:hint="eastAsia"/>
          <w:lang w:val="en-US" w:eastAsia="zh-CN"/>
        </w:rPr>
      </w:pPr>
      <w:r>
        <w:rPr>
          <w:rFonts w:hint="eastAsia"/>
          <w:lang w:val="en-US" w:eastAsia="zh-CN"/>
        </w:rPr>
        <w:t>2023年5月，出具工程建设监理工作报告及施工质量评定表，2023年11月3日，陕州区水利局组织由三门峡市水利局、陕州区水利局、财政局等单位组成的竣工验收委员会对项目进行了验收，验收合格率100%。</w:t>
      </w:r>
    </w:p>
    <w:p w14:paraId="0909119B">
      <w:pPr>
        <w:bidi w:val="0"/>
        <w:rPr>
          <w:rFonts w:hint="eastAsia"/>
          <w:b/>
          <w:bCs/>
          <w:lang w:val="en-US" w:eastAsia="zh-CN"/>
        </w:rPr>
      </w:pPr>
      <w:r>
        <w:rPr>
          <w:rFonts w:hint="eastAsia"/>
          <w:b/>
          <w:bCs/>
          <w:lang w:val="en-US" w:eastAsia="zh-CN"/>
        </w:rPr>
        <w:t>问题五：请您谈谈针对项目是否有相应的长效管理机制？</w:t>
      </w:r>
    </w:p>
    <w:p w14:paraId="48C94A30">
      <w:pPr>
        <w:bidi w:val="0"/>
        <w:rPr>
          <w:rFonts w:hint="eastAsia"/>
          <w:lang w:val="en-US" w:eastAsia="zh-CN"/>
        </w:rPr>
      </w:pPr>
      <w:r>
        <w:rPr>
          <w:rFonts w:hint="eastAsia"/>
          <w:lang w:val="en-US" w:eastAsia="zh-CN"/>
        </w:rPr>
        <w:t>该项目完工后已移交陕州区店子乡、西张村镇人民政府管理。</w:t>
      </w:r>
    </w:p>
    <w:p w14:paraId="0ADBA106">
      <w:pPr>
        <w:pStyle w:val="2"/>
        <w:bidi w:val="0"/>
        <w:rPr>
          <w:rFonts w:hint="default" w:eastAsia="宋体"/>
          <w:highlight w:val="none"/>
          <w:lang w:val="en-US" w:eastAsia="zh-CN"/>
        </w:rPr>
      </w:pPr>
      <w:r>
        <w:rPr>
          <w:rFonts w:hint="default"/>
          <w:lang w:val="en-US" w:eastAsia="zh-CN"/>
        </w:rPr>
        <w:drawing>
          <wp:anchor distT="0" distB="0" distL="114300" distR="114300" simplePos="0" relativeHeight="251673600" behindDoc="0" locked="0" layoutInCell="1" allowOverlap="1">
            <wp:simplePos x="0" y="0"/>
            <wp:positionH relativeFrom="column">
              <wp:posOffset>88900</wp:posOffset>
            </wp:positionH>
            <wp:positionV relativeFrom="paragraph">
              <wp:posOffset>772160</wp:posOffset>
            </wp:positionV>
            <wp:extent cx="5050155" cy="3473450"/>
            <wp:effectExtent l="0" t="0" r="9525" b="1270"/>
            <wp:wrapTopAndBottom/>
            <wp:docPr id="37" name="图片 37" descr="秦莉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秦莉莉"/>
                    <pic:cNvPicPr>
                      <a:picLocks noChangeAspect="1"/>
                    </pic:cNvPicPr>
                  </pic:nvPicPr>
                  <pic:blipFill>
                    <a:blip r:embed="rId26"/>
                    <a:stretch>
                      <a:fillRect/>
                    </a:stretch>
                  </pic:blipFill>
                  <pic:spPr>
                    <a:xfrm>
                      <a:off x="0" y="0"/>
                      <a:ext cx="5050155" cy="3473450"/>
                    </a:xfrm>
                    <a:prstGeom prst="rect">
                      <a:avLst/>
                    </a:prstGeom>
                  </pic:spPr>
                </pic:pic>
              </a:graphicData>
            </a:graphic>
          </wp:anchor>
        </w:drawing>
      </w:r>
      <w:r>
        <w:rPr>
          <w:highlight w:val="none"/>
        </w:rPr>
        <w:t>附件</w:t>
      </w:r>
      <w:r>
        <w:rPr>
          <w:rFonts w:hint="eastAsia"/>
          <w:highlight w:val="none"/>
          <w:lang w:val="en-US" w:eastAsia="zh-CN"/>
        </w:rPr>
        <w:t>四</w:t>
      </w:r>
      <w:r>
        <w:rPr>
          <w:highlight w:val="none"/>
        </w:rPr>
        <w:t xml:space="preserve"> </w:t>
      </w:r>
      <w:r>
        <w:rPr>
          <w:rFonts w:hint="eastAsia"/>
          <w:highlight w:val="none"/>
          <w:lang w:val="en-US" w:eastAsia="zh-CN"/>
        </w:rPr>
        <w:t>评价小组成员资质证书</w:t>
      </w:r>
      <w:bookmarkEnd w:id="73"/>
      <w:bookmarkEnd w:id="74"/>
      <w:bookmarkEnd w:id="75"/>
    </w:p>
    <w:p w14:paraId="0522FB0C">
      <w:pPr>
        <w:rPr>
          <w:rFonts w:hint="default"/>
          <w:lang w:val="en-US" w:eastAsia="zh-CN"/>
        </w:rPr>
      </w:pPr>
      <w:r>
        <w:rPr>
          <w:rFonts w:hint="default"/>
          <w:lang w:val="en-US" w:eastAsia="zh-CN"/>
        </w:rPr>
        <w:drawing>
          <wp:anchor distT="0" distB="0" distL="114300" distR="114300" simplePos="0" relativeHeight="251674624" behindDoc="0" locked="0" layoutInCell="1" allowOverlap="1">
            <wp:simplePos x="0" y="0"/>
            <wp:positionH relativeFrom="column">
              <wp:posOffset>73660</wp:posOffset>
            </wp:positionH>
            <wp:positionV relativeFrom="paragraph">
              <wp:posOffset>3923030</wp:posOffset>
            </wp:positionV>
            <wp:extent cx="5052695" cy="3475355"/>
            <wp:effectExtent l="0" t="0" r="6985" b="14605"/>
            <wp:wrapTopAndBottom/>
            <wp:docPr id="39" name="图片 39" descr="绩效评价师刘占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绩效评价师刘占国"/>
                    <pic:cNvPicPr>
                      <a:picLocks noChangeAspect="1"/>
                    </pic:cNvPicPr>
                  </pic:nvPicPr>
                  <pic:blipFill>
                    <a:blip r:embed="rId27"/>
                    <a:stretch>
                      <a:fillRect/>
                    </a:stretch>
                  </pic:blipFill>
                  <pic:spPr>
                    <a:xfrm>
                      <a:off x="0" y="0"/>
                      <a:ext cx="5052695" cy="3475355"/>
                    </a:xfrm>
                    <a:prstGeom prst="rect">
                      <a:avLst/>
                    </a:prstGeom>
                  </pic:spPr>
                </pic:pic>
              </a:graphicData>
            </a:graphic>
          </wp:anchor>
        </w:drawing>
      </w:r>
      <w:r>
        <w:rPr>
          <w:rFonts w:hint="default"/>
          <w:lang w:val="en-US" w:eastAsia="zh-CN"/>
        </w:rPr>
        <w:br w:type="page"/>
      </w:r>
    </w:p>
    <w:p w14:paraId="7C120DBA">
      <w:pPr>
        <w:bidi w:val="0"/>
        <w:ind w:left="0" w:leftChars="0" w:firstLine="0" w:firstLineChars="0"/>
        <w:rPr>
          <w:rFonts w:hint="default"/>
          <w:lang w:val="en-US" w:eastAsia="zh-CN"/>
        </w:rPr>
      </w:pPr>
      <w:r>
        <w:rPr>
          <w:rFonts w:hint="default"/>
          <w:lang w:val="en-US" w:eastAsia="zh-CN"/>
        </w:rPr>
        <w:drawing>
          <wp:anchor distT="0" distB="0" distL="114300" distR="114300" simplePos="0" relativeHeight="251677696" behindDoc="0" locked="0" layoutInCell="1" allowOverlap="1">
            <wp:simplePos x="0" y="0"/>
            <wp:positionH relativeFrom="column">
              <wp:posOffset>30480</wp:posOffset>
            </wp:positionH>
            <wp:positionV relativeFrom="paragraph">
              <wp:posOffset>3811270</wp:posOffset>
            </wp:positionV>
            <wp:extent cx="5004435" cy="3442335"/>
            <wp:effectExtent l="0" t="0" r="9525" b="1905"/>
            <wp:wrapTopAndBottom/>
            <wp:docPr id="21" name="图片 21" descr="李建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李建峡"/>
                    <pic:cNvPicPr>
                      <a:picLocks noChangeAspect="1"/>
                    </pic:cNvPicPr>
                  </pic:nvPicPr>
                  <pic:blipFill>
                    <a:blip r:embed="rId28"/>
                    <a:stretch>
                      <a:fillRect/>
                    </a:stretch>
                  </pic:blipFill>
                  <pic:spPr>
                    <a:xfrm>
                      <a:off x="0" y="0"/>
                      <a:ext cx="5004435" cy="3442335"/>
                    </a:xfrm>
                    <a:prstGeom prst="rect">
                      <a:avLst/>
                    </a:prstGeom>
                  </pic:spPr>
                </pic:pic>
              </a:graphicData>
            </a:graphic>
          </wp:anchor>
        </w:drawing>
      </w:r>
      <w:r>
        <w:rPr>
          <w:rFonts w:hint="default"/>
          <w:lang w:val="en-US" w:eastAsia="zh-CN"/>
        </w:rPr>
        <w:drawing>
          <wp:anchor distT="0" distB="0" distL="114300" distR="114300" simplePos="0" relativeHeight="251675648" behindDoc="0" locked="0" layoutInCell="1" allowOverlap="1">
            <wp:simplePos x="0" y="0"/>
            <wp:positionH relativeFrom="column">
              <wp:posOffset>68580</wp:posOffset>
            </wp:positionH>
            <wp:positionV relativeFrom="paragraph">
              <wp:posOffset>85090</wp:posOffset>
            </wp:positionV>
            <wp:extent cx="4933950" cy="3394075"/>
            <wp:effectExtent l="0" t="0" r="3810" b="4445"/>
            <wp:wrapTopAndBottom/>
            <wp:docPr id="40" name="图片 40" descr="绩效评价师李桂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绩效评价师李桂珍"/>
                    <pic:cNvPicPr>
                      <a:picLocks noChangeAspect="1"/>
                    </pic:cNvPicPr>
                  </pic:nvPicPr>
                  <pic:blipFill>
                    <a:blip r:embed="rId29"/>
                    <a:stretch>
                      <a:fillRect/>
                    </a:stretch>
                  </pic:blipFill>
                  <pic:spPr>
                    <a:xfrm>
                      <a:off x="0" y="0"/>
                      <a:ext cx="4933950" cy="3394075"/>
                    </a:xfrm>
                    <a:prstGeom prst="rect">
                      <a:avLst/>
                    </a:prstGeom>
                  </pic:spPr>
                </pic:pic>
              </a:graphicData>
            </a:graphic>
          </wp:anchor>
        </w:drawing>
      </w:r>
    </w:p>
    <w:p w14:paraId="3DE4E008">
      <w:pPr>
        <w:bidi w:val="0"/>
        <w:rPr>
          <w:rFonts w:hint="default"/>
          <w:lang w:val="en-US" w:eastAsia="zh-CN"/>
        </w:rPr>
      </w:pPr>
    </w:p>
    <w:p w14:paraId="4D75B27C">
      <w:pPr>
        <w:bidi w:val="0"/>
        <w:rPr>
          <w:rFonts w:hint="default"/>
          <w:lang w:val="en-US" w:eastAsia="zh-CN"/>
        </w:rPr>
      </w:pPr>
    </w:p>
    <w:p w14:paraId="26593996">
      <w:pPr>
        <w:bidi w:val="0"/>
        <w:rPr>
          <w:rFonts w:hint="default"/>
          <w:lang w:val="en-US" w:eastAsia="zh-CN"/>
        </w:rPr>
      </w:pPr>
    </w:p>
    <w:p w14:paraId="0A84A76E">
      <w:pPr>
        <w:bidi w:val="0"/>
        <w:rPr>
          <w:rFonts w:hint="default"/>
          <w:lang w:val="en-US" w:eastAsia="zh-CN"/>
        </w:rPr>
      </w:pPr>
      <w:r>
        <w:drawing>
          <wp:anchor distT="0" distB="0" distL="114300" distR="114300" simplePos="0" relativeHeight="251678720" behindDoc="0" locked="0" layoutInCell="1" allowOverlap="1">
            <wp:simplePos x="0" y="0"/>
            <wp:positionH relativeFrom="column">
              <wp:posOffset>52705</wp:posOffset>
            </wp:positionH>
            <wp:positionV relativeFrom="paragraph">
              <wp:posOffset>4525645</wp:posOffset>
            </wp:positionV>
            <wp:extent cx="5059045" cy="3716655"/>
            <wp:effectExtent l="0" t="0" r="635" b="1905"/>
            <wp:wrapTopAndBottom/>
            <wp:docPr id="7" name="图片 7" descr="9aa80574ba38af83729aa3f2694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aa80574ba38af83729aa3f26945096"/>
                    <pic:cNvPicPr>
                      <a:picLocks noChangeAspect="1"/>
                    </pic:cNvPicPr>
                  </pic:nvPicPr>
                  <pic:blipFill>
                    <a:blip r:embed="rId30"/>
                    <a:srcRect b="46576"/>
                    <a:stretch>
                      <a:fillRect/>
                    </a:stretch>
                  </pic:blipFill>
                  <pic:spPr>
                    <a:xfrm>
                      <a:off x="0" y="0"/>
                      <a:ext cx="5059045" cy="3716655"/>
                    </a:xfrm>
                    <a:prstGeom prst="rect">
                      <a:avLst/>
                    </a:prstGeom>
                  </pic:spPr>
                </pic:pic>
              </a:graphicData>
            </a:graphic>
          </wp:anchor>
        </w:drawing>
      </w:r>
      <w:r>
        <w:drawing>
          <wp:anchor distT="0" distB="0" distL="114300" distR="114300" simplePos="0" relativeHeight="251676672" behindDoc="0" locked="0" layoutInCell="1" allowOverlap="1">
            <wp:simplePos x="0" y="0"/>
            <wp:positionH relativeFrom="column">
              <wp:posOffset>-88265</wp:posOffset>
            </wp:positionH>
            <wp:positionV relativeFrom="paragraph">
              <wp:posOffset>7620</wp:posOffset>
            </wp:positionV>
            <wp:extent cx="5280660" cy="3919220"/>
            <wp:effectExtent l="0" t="0" r="7620" b="12700"/>
            <wp:wrapTopAndBottom/>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31"/>
                    <a:srcRect l="2278" r="8174"/>
                    <a:stretch>
                      <a:fillRect/>
                    </a:stretch>
                  </pic:blipFill>
                  <pic:spPr>
                    <a:xfrm>
                      <a:off x="0" y="0"/>
                      <a:ext cx="5280660" cy="3919220"/>
                    </a:xfrm>
                    <a:prstGeom prst="rect">
                      <a:avLst/>
                    </a:prstGeom>
                    <a:noFill/>
                    <a:ln>
                      <a:noFill/>
                    </a:ln>
                  </pic:spPr>
                </pic:pic>
              </a:graphicData>
            </a:graphic>
          </wp:anchor>
        </w:drawing>
      </w:r>
    </w:p>
    <w:p w14:paraId="1C5EAFD6">
      <w:pPr>
        <w:bidi w:val="0"/>
        <w:rPr>
          <w:rFonts w:hint="eastAsia"/>
          <w:lang w:val="en-US" w:eastAsia="zh-CN"/>
        </w:rPr>
      </w:pPr>
    </w:p>
    <w:sectPr>
      <w:pgSz w:w="11900" w:h="16840"/>
      <w:pgMar w:top="720" w:right="1678" w:bottom="1440" w:left="1678" w:header="0" w:footer="1440" w:gutter="0"/>
      <w:pgNumType w:fmt="numberInDash"/>
      <w:cols w:space="0" w:num="1"/>
      <w:rtlGutter w:val="0"/>
      <w:docGrid w:type="line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ECADC">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53364">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1353364">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5E9E2">
    <w:pPr>
      <w:spacing w:line="160" w:lineRule="exact"/>
      <w:jc w:val="cente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B0D88B">
                          <w:pPr>
                            <w:pStyle w:val="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B0D88B">
                    <w:pPr>
                      <w:pStyle w:val="8"/>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C924F">
    <w:pPr>
      <w:spacing w:line="300" w:lineRule="exact"/>
      <w:jc w:val="cente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AA8228">
                          <w:pPr>
                            <w:pStyle w:val="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7AA8228">
                    <w:pPr>
                      <w:pStyle w:val="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39307">
    <w:pPr>
      <w:spacing w:beforeLines="0" w:line="240" w:lineRule="auto"/>
      <w:ind w:firstLine="0" w:firstLineChars="0"/>
      <w:jc w:val="both"/>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0AF79">
    <w:pPr>
      <w:pBdr>
        <w:bottom w:val="single" w:color="auto" w:sz="4" w:space="0"/>
      </w:pBdr>
      <w:spacing w:beforeLines="0" w:line="240" w:lineRule="auto"/>
      <w:ind w:firstLine="0" w:firstLineChars="0"/>
      <w:jc w:val="both"/>
      <w:rPr>
        <w:sz w:val="18"/>
        <w:szCs w:val="18"/>
      </w:rPr>
    </w:pPr>
  </w:p>
  <w:p w14:paraId="6B0E4786">
    <w:pPr>
      <w:pBdr>
        <w:bottom w:val="single" w:color="auto" w:sz="4" w:space="0"/>
      </w:pBdr>
      <w:spacing w:beforeLines="0" w:line="240" w:lineRule="auto"/>
      <w:ind w:firstLine="0" w:firstLineChars="0"/>
      <w:jc w:val="both"/>
      <w:rPr>
        <w:sz w:val="18"/>
        <w:szCs w:val="18"/>
      </w:rPr>
    </w:pPr>
  </w:p>
  <w:p w14:paraId="5BDD6B56">
    <w:pPr>
      <w:pBdr>
        <w:bottom w:val="single" w:color="auto" w:sz="4" w:space="0"/>
      </w:pBdr>
      <w:spacing w:beforeLines="0" w:line="240" w:lineRule="auto"/>
      <w:ind w:firstLine="0" w:firstLineChars="0"/>
      <w:jc w:val="both"/>
      <w:rPr>
        <w:sz w:val="18"/>
        <w:szCs w:val="18"/>
      </w:rPr>
    </w:pPr>
  </w:p>
  <w:p w14:paraId="3200FC10">
    <w:pPr>
      <w:pBdr>
        <w:bottom w:val="single" w:color="auto" w:sz="4" w:space="0"/>
      </w:pBdr>
      <w:spacing w:beforeLines="0" w:line="240" w:lineRule="auto"/>
      <w:ind w:firstLine="0" w:firstLineChars="0"/>
      <w:jc w:val="both"/>
      <w:rPr>
        <w:sz w:val="18"/>
        <w:szCs w:val="18"/>
      </w:rPr>
    </w:pPr>
  </w:p>
  <w:p w14:paraId="16B152E5">
    <w:pPr>
      <w:pBdr>
        <w:bottom w:val="single" w:color="auto" w:sz="4" w:space="0"/>
      </w:pBdr>
      <w:spacing w:beforeLines="0" w:line="240" w:lineRule="auto"/>
      <w:ind w:firstLine="0" w:firstLineChars="0"/>
      <w:jc w:val="both"/>
      <w:rPr>
        <w:sz w:val="18"/>
        <w:szCs w:val="18"/>
      </w:rPr>
    </w:pPr>
  </w:p>
  <w:p w14:paraId="26635F20">
    <w:pPr>
      <w:pBdr>
        <w:bottom w:val="single" w:color="auto" w:sz="4" w:space="0"/>
      </w:pBdr>
      <w:spacing w:beforeLines="0" w:line="240" w:lineRule="auto"/>
      <w:ind w:firstLine="0" w:firstLineChars="0"/>
      <w:jc w:val="both"/>
      <w:rPr>
        <w:sz w:val="18"/>
        <w:szCs w:val="18"/>
      </w:rPr>
    </w:pPr>
    <w:r>
      <w:rPr>
        <w:rFonts w:ascii="宋体" w:hAnsi="宋体" w:cs="宋体"/>
        <w:i/>
      </w:rPr>
      <w:pict>
        <v:shape id="_x0000_s4097" o:spid="_x0000_s4097" o:spt="136" type="#_x0000_t136" style="position:absolute;left:0pt;margin-left:2.35pt;margin-top:-6.15pt;height:15.75pt;width:54pt;z-index:251662336;mso-width-relative:page;mso-height-relative:page;" fillcolor="#333399" filled="t" stroked="t" coordsize="21600,21600" adj="10800">
          <v:path/>
          <v:fill on="t" color2="#FFFFFF" focussize="0,0"/>
          <v:stroke color="#000000"/>
          <v:imagedata o:title=""/>
          <o:lock v:ext="edit" aspectratio="f"/>
          <v:textpath on="t" fitshape="t" fitpath="t" trim="t" xscale="f" string="ZHCPAS" style="font-family:宋体;font-size:16pt;font-style:italic;font-weight:bold;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C6BF1">
    <w:pPr>
      <w:spacing w:line="360" w:lineRule="exact"/>
      <w:ind w:firstLine="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917CD">
    <w:pPr>
      <w:spacing w:line="440" w:lineRule="exact"/>
      <w:ind w:firstLine="0"/>
      <w:jc w:val="right"/>
    </w:pPr>
  </w:p>
  <w:p w14:paraId="32D7A9A1">
    <w:pPr>
      <w:spacing w:line="440" w:lineRule="exact"/>
      <w:ind w:firstLine="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5DC7A5"/>
    <w:multiLevelType w:val="singleLevel"/>
    <w:tmpl w:val="F15DC7A5"/>
    <w:lvl w:ilvl="0" w:tentative="0">
      <w:start w:val="1"/>
      <w:numFmt w:val="decimal"/>
      <w:suff w:val="nothing"/>
      <w:lvlText w:val="（%1）"/>
      <w:lvlJc w:val="left"/>
    </w:lvl>
  </w:abstractNum>
  <w:abstractNum w:abstractNumId="1">
    <w:nsid w:val="4B1142FA"/>
    <w:multiLevelType w:val="singleLevel"/>
    <w:tmpl w:val="4B1142FA"/>
    <w:lvl w:ilvl="0" w:tentative="0">
      <w:start w:val="2"/>
      <w:numFmt w:val="chineseCounting"/>
      <w:suff w:val="nothing"/>
      <w:lvlText w:val="（%1）"/>
      <w:lvlJc w:val="left"/>
      <w:rPr>
        <w:rFonts w:hint="eastAsia"/>
      </w:rPr>
    </w:lvl>
  </w:abstractNum>
  <w:abstractNum w:abstractNumId="2">
    <w:nsid w:val="771647E5"/>
    <w:multiLevelType w:val="singleLevel"/>
    <w:tmpl w:val="771647E5"/>
    <w:lvl w:ilvl="0" w:tentative="0">
      <w:start w:val="3"/>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80"/>
  <w:drawingGridVerticalSpacing w:val="193"/>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k2YTM4ZjRmZTE3MTkyZTQ0OWE3NzZjMDRmMjNlNDAifQ=="/>
  </w:docVars>
  <w:rsids>
    <w:rsidRoot w:val="00BD0BC8"/>
    <w:rsid w:val="000D6051"/>
    <w:rsid w:val="009F0BE0"/>
    <w:rsid w:val="00BA6D97"/>
    <w:rsid w:val="00BD0BC8"/>
    <w:rsid w:val="011F362E"/>
    <w:rsid w:val="01F2588F"/>
    <w:rsid w:val="024E68F9"/>
    <w:rsid w:val="026779BA"/>
    <w:rsid w:val="02C32E43"/>
    <w:rsid w:val="034F10BF"/>
    <w:rsid w:val="049B394B"/>
    <w:rsid w:val="050634BB"/>
    <w:rsid w:val="063539E9"/>
    <w:rsid w:val="070C0854"/>
    <w:rsid w:val="07500389"/>
    <w:rsid w:val="084163BB"/>
    <w:rsid w:val="086B32B7"/>
    <w:rsid w:val="08A341A7"/>
    <w:rsid w:val="08CC4A1B"/>
    <w:rsid w:val="09574F9F"/>
    <w:rsid w:val="09602FF1"/>
    <w:rsid w:val="09C1335A"/>
    <w:rsid w:val="09E75A68"/>
    <w:rsid w:val="0C1C284C"/>
    <w:rsid w:val="0C5626C1"/>
    <w:rsid w:val="0C8F133E"/>
    <w:rsid w:val="0C9910B8"/>
    <w:rsid w:val="0D113FC6"/>
    <w:rsid w:val="0DD979BE"/>
    <w:rsid w:val="0E4F51D4"/>
    <w:rsid w:val="0FD77F2D"/>
    <w:rsid w:val="10C50341"/>
    <w:rsid w:val="10DC64E1"/>
    <w:rsid w:val="11163B95"/>
    <w:rsid w:val="1180167F"/>
    <w:rsid w:val="11AC1183"/>
    <w:rsid w:val="11B76268"/>
    <w:rsid w:val="11D72467"/>
    <w:rsid w:val="12687563"/>
    <w:rsid w:val="127919BF"/>
    <w:rsid w:val="12904C4B"/>
    <w:rsid w:val="12F540F7"/>
    <w:rsid w:val="134C478E"/>
    <w:rsid w:val="14615F48"/>
    <w:rsid w:val="16C44B09"/>
    <w:rsid w:val="17C87AF6"/>
    <w:rsid w:val="180F3169"/>
    <w:rsid w:val="1875139A"/>
    <w:rsid w:val="18980476"/>
    <w:rsid w:val="1AEB68E0"/>
    <w:rsid w:val="1B7A63BC"/>
    <w:rsid w:val="1C200F43"/>
    <w:rsid w:val="1C9E6112"/>
    <w:rsid w:val="1CE95744"/>
    <w:rsid w:val="1DD9663B"/>
    <w:rsid w:val="1E137E05"/>
    <w:rsid w:val="1E4D70BB"/>
    <w:rsid w:val="1EE306C7"/>
    <w:rsid w:val="1F0D5C9D"/>
    <w:rsid w:val="1F28393C"/>
    <w:rsid w:val="1F367BDF"/>
    <w:rsid w:val="1F702F10"/>
    <w:rsid w:val="1F780BE6"/>
    <w:rsid w:val="1FDB5818"/>
    <w:rsid w:val="202E0BE3"/>
    <w:rsid w:val="212D398D"/>
    <w:rsid w:val="21831A9A"/>
    <w:rsid w:val="2222412B"/>
    <w:rsid w:val="229429F5"/>
    <w:rsid w:val="22A52095"/>
    <w:rsid w:val="236634E1"/>
    <w:rsid w:val="23D608EF"/>
    <w:rsid w:val="23FD1C03"/>
    <w:rsid w:val="24F924D0"/>
    <w:rsid w:val="25216319"/>
    <w:rsid w:val="256D3B90"/>
    <w:rsid w:val="25A466AC"/>
    <w:rsid w:val="276C42E9"/>
    <w:rsid w:val="27987D44"/>
    <w:rsid w:val="28696D2D"/>
    <w:rsid w:val="2E7413FE"/>
    <w:rsid w:val="2F077C8B"/>
    <w:rsid w:val="2F837332"/>
    <w:rsid w:val="300246FB"/>
    <w:rsid w:val="31EB31CE"/>
    <w:rsid w:val="32453027"/>
    <w:rsid w:val="32BF4784"/>
    <w:rsid w:val="332F4FE4"/>
    <w:rsid w:val="334B4E7F"/>
    <w:rsid w:val="337A5FAB"/>
    <w:rsid w:val="338A24D5"/>
    <w:rsid w:val="33B43F5E"/>
    <w:rsid w:val="34586FDF"/>
    <w:rsid w:val="358525F0"/>
    <w:rsid w:val="36323860"/>
    <w:rsid w:val="36794FEB"/>
    <w:rsid w:val="369167D9"/>
    <w:rsid w:val="36C070CB"/>
    <w:rsid w:val="38FE5C7B"/>
    <w:rsid w:val="394915ED"/>
    <w:rsid w:val="39661384"/>
    <w:rsid w:val="39D52E80"/>
    <w:rsid w:val="3ACF172B"/>
    <w:rsid w:val="3B2E0A9A"/>
    <w:rsid w:val="3B7B1805"/>
    <w:rsid w:val="3BD50F16"/>
    <w:rsid w:val="3C4F2755"/>
    <w:rsid w:val="3CAD59EE"/>
    <w:rsid w:val="3CCD31F6"/>
    <w:rsid w:val="3E2E0DB1"/>
    <w:rsid w:val="3E772758"/>
    <w:rsid w:val="3E950E30"/>
    <w:rsid w:val="3EAE57E9"/>
    <w:rsid w:val="3F3442DA"/>
    <w:rsid w:val="40235DB3"/>
    <w:rsid w:val="40437A92"/>
    <w:rsid w:val="41994793"/>
    <w:rsid w:val="41C420F2"/>
    <w:rsid w:val="428A0362"/>
    <w:rsid w:val="42C34294"/>
    <w:rsid w:val="43B34232"/>
    <w:rsid w:val="44F06DC0"/>
    <w:rsid w:val="44FE772F"/>
    <w:rsid w:val="45536E94"/>
    <w:rsid w:val="45774DEB"/>
    <w:rsid w:val="45863281"/>
    <w:rsid w:val="45F61488"/>
    <w:rsid w:val="461D3BE5"/>
    <w:rsid w:val="471C7124"/>
    <w:rsid w:val="477248AC"/>
    <w:rsid w:val="47B95CA4"/>
    <w:rsid w:val="47D14C87"/>
    <w:rsid w:val="48A32770"/>
    <w:rsid w:val="493F534A"/>
    <w:rsid w:val="4A9E262E"/>
    <w:rsid w:val="4BFB5B48"/>
    <w:rsid w:val="4C227327"/>
    <w:rsid w:val="4D654F3D"/>
    <w:rsid w:val="4D6B3B9A"/>
    <w:rsid w:val="4E0D2406"/>
    <w:rsid w:val="4E1707B8"/>
    <w:rsid w:val="4E2F2707"/>
    <w:rsid w:val="4F14575A"/>
    <w:rsid w:val="4F22226C"/>
    <w:rsid w:val="4F585C8E"/>
    <w:rsid w:val="4F87230D"/>
    <w:rsid w:val="50E023DF"/>
    <w:rsid w:val="510065DD"/>
    <w:rsid w:val="5119144D"/>
    <w:rsid w:val="517B21F8"/>
    <w:rsid w:val="524F602A"/>
    <w:rsid w:val="52822A3C"/>
    <w:rsid w:val="528D5C4E"/>
    <w:rsid w:val="52DA2FAA"/>
    <w:rsid w:val="534356DB"/>
    <w:rsid w:val="535C4BC3"/>
    <w:rsid w:val="54386888"/>
    <w:rsid w:val="543D4DFE"/>
    <w:rsid w:val="544418C9"/>
    <w:rsid w:val="56E62FDB"/>
    <w:rsid w:val="570D3D70"/>
    <w:rsid w:val="57835872"/>
    <w:rsid w:val="57FD02B4"/>
    <w:rsid w:val="58615783"/>
    <w:rsid w:val="59101387"/>
    <w:rsid w:val="597E09E7"/>
    <w:rsid w:val="5996100A"/>
    <w:rsid w:val="59C503C4"/>
    <w:rsid w:val="5AC320F0"/>
    <w:rsid w:val="5B8C73EB"/>
    <w:rsid w:val="5C447CC6"/>
    <w:rsid w:val="5D5F468B"/>
    <w:rsid w:val="5D9C58DF"/>
    <w:rsid w:val="5DAB032A"/>
    <w:rsid w:val="5E863619"/>
    <w:rsid w:val="5FA73D58"/>
    <w:rsid w:val="621826E9"/>
    <w:rsid w:val="629907CD"/>
    <w:rsid w:val="62BD60DC"/>
    <w:rsid w:val="63AC5F18"/>
    <w:rsid w:val="63BC45E5"/>
    <w:rsid w:val="63F529E4"/>
    <w:rsid w:val="645D263A"/>
    <w:rsid w:val="646D5299"/>
    <w:rsid w:val="64F61D79"/>
    <w:rsid w:val="6562740E"/>
    <w:rsid w:val="659414FD"/>
    <w:rsid w:val="65CB234F"/>
    <w:rsid w:val="65DF0594"/>
    <w:rsid w:val="66927307"/>
    <w:rsid w:val="67476E60"/>
    <w:rsid w:val="679A69EC"/>
    <w:rsid w:val="68D73C6F"/>
    <w:rsid w:val="68EB6CBD"/>
    <w:rsid w:val="69D96901"/>
    <w:rsid w:val="6A6F3064"/>
    <w:rsid w:val="6AFE7291"/>
    <w:rsid w:val="6B8203DA"/>
    <w:rsid w:val="6BC40333"/>
    <w:rsid w:val="6BDF5315"/>
    <w:rsid w:val="6BE342F4"/>
    <w:rsid w:val="6C661592"/>
    <w:rsid w:val="6C9439FB"/>
    <w:rsid w:val="6CBE5403"/>
    <w:rsid w:val="6D19715E"/>
    <w:rsid w:val="6DFA7FED"/>
    <w:rsid w:val="6E5A6973"/>
    <w:rsid w:val="6EB72248"/>
    <w:rsid w:val="6F472DC3"/>
    <w:rsid w:val="6FD60116"/>
    <w:rsid w:val="703009C6"/>
    <w:rsid w:val="70911BAC"/>
    <w:rsid w:val="70A703CB"/>
    <w:rsid w:val="71A212BE"/>
    <w:rsid w:val="71D21478"/>
    <w:rsid w:val="72555E65"/>
    <w:rsid w:val="728D13E8"/>
    <w:rsid w:val="73013DC3"/>
    <w:rsid w:val="732D58FE"/>
    <w:rsid w:val="7375479F"/>
    <w:rsid w:val="7432728A"/>
    <w:rsid w:val="75431440"/>
    <w:rsid w:val="758958DF"/>
    <w:rsid w:val="76EB4178"/>
    <w:rsid w:val="77A10FC9"/>
    <w:rsid w:val="7878290E"/>
    <w:rsid w:val="78C80D18"/>
    <w:rsid w:val="78D67AA0"/>
    <w:rsid w:val="78EB4874"/>
    <w:rsid w:val="790160B7"/>
    <w:rsid w:val="79BA4CCB"/>
    <w:rsid w:val="79C00D74"/>
    <w:rsid w:val="79E02E43"/>
    <w:rsid w:val="7A884257"/>
    <w:rsid w:val="7C1F350C"/>
    <w:rsid w:val="7CCB7ECD"/>
    <w:rsid w:val="7E4E1E86"/>
    <w:rsid w:val="7F491D34"/>
    <w:rsid w:val="7F9A4AA0"/>
    <w:rsid w:val="7FD82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840" w:firstLineChars="200"/>
      <w:jc w:val="both"/>
    </w:pPr>
    <w:rPr>
      <w:rFonts w:ascii="宋体" w:hAnsi="宋体" w:eastAsia="宋体" w:cs="宋体"/>
      <w:sz w:val="28"/>
      <w:szCs w:val="28"/>
    </w:rPr>
  </w:style>
  <w:style w:type="paragraph" w:styleId="2">
    <w:name w:val="heading 1"/>
    <w:basedOn w:val="1"/>
    <w:next w:val="1"/>
    <w:link w:val="20"/>
    <w:qFormat/>
    <w:uiPriority w:val="0"/>
    <w:pPr>
      <w:keepNext/>
      <w:keepLines/>
      <w:spacing w:before="50" w:beforeLines="50" w:beforeAutospacing="0" w:after="50" w:afterLines="50" w:afterAutospacing="0" w:line="360" w:lineRule="auto"/>
      <w:ind w:firstLine="0" w:firstLineChars="0"/>
      <w:jc w:val="both"/>
      <w:outlineLvl w:val="0"/>
    </w:pPr>
    <w:rPr>
      <w:rFonts w:ascii="Times New Roman" w:hAnsi="Times New Roman" w:cs="Times New Roman"/>
      <w:b/>
      <w:color w:val="000000"/>
      <w:kern w:val="44"/>
      <w:sz w:val="32"/>
      <w:shd w:val="clear" w:color="auto" w:fill="auto"/>
      <w:lang w:eastAsia="en-US" w:bidi="en-US"/>
    </w:rPr>
  </w:style>
  <w:style w:type="paragraph" w:styleId="3">
    <w:name w:val="heading 2"/>
    <w:basedOn w:val="1"/>
    <w:next w:val="1"/>
    <w:unhideWhenUsed/>
    <w:qFormat/>
    <w:uiPriority w:val="0"/>
    <w:pPr>
      <w:keepNext/>
      <w:keepLines/>
      <w:spacing w:before="50" w:beforeLines="50" w:beforeAutospacing="0" w:after="50" w:afterLines="5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Autospacing="0" w:afterLines="0" w:afterAutospacing="0" w:line="600" w:lineRule="exact"/>
      <w:outlineLvl w:val="2"/>
    </w:pPr>
    <w:rPr>
      <w:b/>
      <w:sz w:val="30"/>
    </w:rPr>
  </w:style>
  <w:style w:type="paragraph" w:styleId="5">
    <w:name w:val="heading 4"/>
    <w:basedOn w:val="1"/>
    <w:next w:val="1"/>
    <w:link w:val="23"/>
    <w:unhideWhenUsed/>
    <w:qFormat/>
    <w:uiPriority w:val="0"/>
    <w:pPr>
      <w:keepNext/>
      <w:keepLines/>
      <w:spacing w:before="50" w:beforeLines="50" w:beforeAutospacing="0" w:after="50" w:afterLines="50" w:afterAutospacing="0" w:line="600" w:lineRule="exact"/>
      <w:outlineLvl w:val="3"/>
    </w:pPr>
    <w:rPr>
      <w:rFonts w:ascii="Arial" w:hAnsi="Arial"/>
      <w:b/>
    </w:rPr>
  </w:style>
  <w:style w:type="paragraph" w:styleId="6">
    <w:name w:val="heading 5"/>
    <w:basedOn w:val="1"/>
    <w:next w:val="1"/>
    <w:link w:val="24"/>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Body text|1"/>
    <w:basedOn w:val="1"/>
    <w:qFormat/>
    <w:uiPriority w:val="0"/>
    <w:pPr>
      <w:widowControl w:val="0"/>
      <w:shd w:val="clear" w:color="auto" w:fill="auto"/>
      <w:spacing w:line="302" w:lineRule="auto"/>
    </w:pPr>
    <w:rPr>
      <w:rFonts w:ascii="宋体" w:hAnsi="宋体" w:eastAsia="宋体" w:cs="宋体"/>
      <w:sz w:val="20"/>
      <w:szCs w:val="20"/>
      <w:u w:val="none"/>
      <w:shd w:val="clear" w:color="auto" w:fill="auto"/>
      <w:lang w:val="zh-TW" w:eastAsia="zh-TW" w:bidi="zh-TW"/>
    </w:rPr>
  </w:style>
  <w:style w:type="paragraph" w:customStyle="1" w:styleId="17">
    <w:name w:val="WPSOffice手动目录 1"/>
    <w:qFormat/>
    <w:uiPriority w:val="0"/>
    <w:pPr>
      <w:ind w:leftChars="0"/>
    </w:pPr>
    <w:rPr>
      <w:rFonts w:asciiTheme="minorHAnsi" w:hAnsiTheme="minorHAnsi" w:eastAsiaTheme="minorEastAsia" w:cstheme="minorBidi"/>
      <w:sz w:val="20"/>
      <w:szCs w:val="20"/>
    </w:rPr>
  </w:style>
  <w:style w:type="paragraph" w:customStyle="1" w:styleId="18">
    <w:name w:val="WPSOffice手动目录 2"/>
    <w:qFormat/>
    <w:uiPriority w:val="0"/>
    <w:pPr>
      <w:ind w:leftChars="200"/>
    </w:pPr>
    <w:rPr>
      <w:rFonts w:asciiTheme="minorHAnsi" w:hAnsiTheme="minorHAnsi" w:eastAsiaTheme="minorEastAsia" w:cstheme="minorBidi"/>
      <w:sz w:val="20"/>
      <w:szCs w:val="20"/>
    </w:rPr>
  </w:style>
  <w:style w:type="paragraph" w:customStyle="1" w:styleId="19">
    <w:name w:val="WPSOffice手动目录 3"/>
    <w:qFormat/>
    <w:uiPriority w:val="0"/>
    <w:pPr>
      <w:ind w:leftChars="400"/>
    </w:pPr>
    <w:rPr>
      <w:rFonts w:asciiTheme="minorHAnsi" w:hAnsiTheme="minorHAnsi" w:eastAsiaTheme="minorEastAsia" w:cstheme="minorBidi"/>
      <w:sz w:val="20"/>
      <w:szCs w:val="20"/>
    </w:rPr>
  </w:style>
  <w:style w:type="character" w:customStyle="1" w:styleId="20">
    <w:name w:val="标题 1 Char1"/>
    <w:link w:val="2"/>
    <w:qFormat/>
    <w:uiPriority w:val="0"/>
    <w:rPr>
      <w:rFonts w:ascii="Times New Roman" w:hAnsi="Times New Roman" w:eastAsia="宋体" w:cs="Times New Roman"/>
      <w:b/>
      <w:color w:val="000000"/>
      <w:kern w:val="44"/>
      <w:sz w:val="32"/>
      <w:shd w:val="clear" w:color="auto" w:fill="auto"/>
      <w:lang w:eastAsia="en-US" w:bidi="en-US"/>
    </w:rPr>
  </w:style>
  <w:style w:type="paragraph" w:customStyle="1" w:styleId="21">
    <w:name w:val="Table Paragraph"/>
    <w:basedOn w:val="1"/>
    <w:qFormat/>
    <w:uiPriority w:val="1"/>
  </w:style>
  <w:style w:type="table" w:customStyle="1" w:styleId="22">
    <w:name w:val="Table Normal"/>
    <w:semiHidden/>
    <w:unhideWhenUsed/>
    <w:qFormat/>
    <w:uiPriority w:val="2"/>
    <w:tblPr>
      <w:tblCellMar>
        <w:top w:w="0" w:type="dxa"/>
        <w:left w:w="0" w:type="dxa"/>
        <w:bottom w:w="0" w:type="dxa"/>
        <w:right w:w="0" w:type="dxa"/>
      </w:tblCellMar>
    </w:tblPr>
  </w:style>
  <w:style w:type="character" w:customStyle="1" w:styleId="23">
    <w:name w:val="标题 4 Char"/>
    <w:link w:val="5"/>
    <w:qFormat/>
    <w:uiPriority w:val="0"/>
    <w:rPr>
      <w:rFonts w:ascii="Arial" w:hAnsi="Arial" w:eastAsia="宋体"/>
      <w:b/>
      <w:sz w:val="28"/>
    </w:rPr>
  </w:style>
  <w:style w:type="character" w:customStyle="1" w:styleId="24">
    <w:name w:val="标题 5 Char"/>
    <w:link w:val="6"/>
    <w:qFormat/>
    <w:uiPriority w:val="0"/>
    <w:rPr>
      <w:b/>
      <w:sz w:val="28"/>
    </w:rPr>
  </w:style>
  <w:style w:type="character" w:customStyle="1" w:styleId="25">
    <w:name w:val="font31"/>
    <w:basedOn w:val="15"/>
    <w:qFormat/>
    <w:uiPriority w:val="0"/>
    <w:rPr>
      <w:rFonts w:hint="eastAsia" w:ascii="宋体" w:hAnsi="宋体" w:eastAsia="宋体" w:cs="宋体"/>
      <w:color w:val="000000"/>
      <w:sz w:val="20"/>
      <w:szCs w:val="20"/>
      <w:u w:val="none"/>
    </w:rPr>
  </w:style>
  <w:style w:type="character" w:customStyle="1" w:styleId="26">
    <w:name w:val="font41"/>
    <w:basedOn w:val="15"/>
    <w:qFormat/>
    <w:uiPriority w:val="0"/>
    <w:rPr>
      <w:rFonts w:hint="eastAsia" w:ascii="宋体" w:hAnsi="宋体" w:eastAsia="宋体" w:cs="宋体"/>
      <w:color w:val="000000"/>
      <w:sz w:val="20"/>
      <w:szCs w:val="20"/>
      <w:u w:val="none"/>
    </w:rPr>
  </w:style>
  <w:style w:type="character" w:customStyle="1" w:styleId="27">
    <w:name w:val="font2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pn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chart" Target="charts/chart1.xml"/><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满意程度统计表</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1分</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施工过程</c:v>
                </c:pt>
                <c:pt idx="1">
                  <c:v>减免洪涝灾害情况</c:v>
                </c:pt>
                <c:pt idx="2">
                  <c:v>河道改善情况</c:v>
                </c:pt>
                <c:pt idx="3">
                  <c:v>耕地保护情况</c:v>
                </c:pt>
                <c:pt idx="4">
                  <c:v>公共服务水平</c:v>
                </c:pt>
              </c:strCache>
            </c:strRef>
          </c:cat>
          <c:val>
            <c:numRef>
              <c:f>Sheet1!$B$2:$B$6</c:f>
              <c:numCache>
                <c:formatCode>General</c:formatCode>
                <c:ptCount val="5"/>
              </c:numCache>
            </c:numRef>
          </c:val>
        </c:ser>
        <c:ser>
          <c:idx val="1"/>
          <c:order val="1"/>
          <c:tx>
            <c:strRef>
              <c:f>Sheet1!$C$1</c:f>
              <c:strCache>
                <c:ptCount val="1"/>
                <c:pt idx="0">
                  <c:v>2分</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施工过程</c:v>
                </c:pt>
                <c:pt idx="1">
                  <c:v>减免洪涝灾害情况</c:v>
                </c:pt>
                <c:pt idx="2">
                  <c:v>河道改善情况</c:v>
                </c:pt>
                <c:pt idx="3">
                  <c:v>耕地保护情况</c:v>
                </c:pt>
                <c:pt idx="4">
                  <c:v>公共服务水平</c:v>
                </c:pt>
              </c:strCache>
            </c:strRef>
          </c:cat>
          <c:val>
            <c:numRef>
              <c:f>Sheet1!$C$2:$C$6</c:f>
              <c:numCache>
                <c:formatCode>General</c:formatCode>
                <c:ptCount val="5"/>
                <c:pt idx="0">
                  <c:v>1</c:v>
                </c:pt>
              </c:numCache>
            </c:numRef>
          </c:val>
        </c:ser>
        <c:ser>
          <c:idx val="2"/>
          <c:order val="2"/>
          <c:tx>
            <c:strRef>
              <c:f>Sheet1!$D$1</c:f>
              <c:strCache>
                <c:ptCount val="1"/>
                <c:pt idx="0">
                  <c:v>3分</c:v>
                </c:pt>
              </c:strCache>
            </c:strRef>
          </c:tx>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施工过程</c:v>
                </c:pt>
                <c:pt idx="1">
                  <c:v>减免洪涝灾害情况</c:v>
                </c:pt>
                <c:pt idx="2">
                  <c:v>河道改善情况</c:v>
                </c:pt>
                <c:pt idx="3">
                  <c:v>耕地保护情况</c:v>
                </c:pt>
                <c:pt idx="4">
                  <c:v>公共服务水平</c:v>
                </c:pt>
              </c:strCache>
            </c:strRef>
          </c:cat>
          <c:val>
            <c:numRef>
              <c:f>Sheet1!$D$2:$D$6</c:f>
              <c:numCache>
                <c:formatCode>General</c:formatCode>
                <c:ptCount val="5"/>
                <c:pt idx="0">
                  <c:v>3</c:v>
                </c:pt>
                <c:pt idx="1">
                  <c:v>2</c:v>
                </c:pt>
                <c:pt idx="4">
                  <c:v>2</c:v>
                </c:pt>
              </c:numCache>
            </c:numRef>
          </c:val>
        </c:ser>
        <c:ser>
          <c:idx val="3"/>
          <c:order val="3"/>
          <c:tx>
            <c:strRef>
              <c:f>Sheet1!$E$1</c:f>
              <c:strCache>
                <c:ptCount val="1"/>
                <c:pt idx="0">
                  <c:v>4分</c:v>
                </c:pt>
              </c:strCache>
            </c:strRef>
          </c:tx>
          <c:spPr>
            <a:gradFill>
              <a:gsLst>
                <a:gs pos="0">
                  <a:schemeClr val="accent4">
                    <a:lumMod val="40000"/>
                    <a:lumOff val="60000"/>
                  </a:schemeClr>
                </a:gs>
                <a:gs pos="90000">
                  <a:schemeClr val="accent4"/>
                </a:gs>
              </a:gsLst>
              <a:lin ang="5400000" scaled="0"/>
            </a:gradFill>
            <a:ln>
              <a:gradFill>
                <a:gsLst>
                  <a:gs pos="0">
                    <a:schemeClr val="accent4"/>
                  </a:gs>
                  <a:gs pos="100000">
                    <a:schemeClr val="accent4">
                      <a:lumMod val="75000"/>
                    </a:schemeClr>
                  </a:gs>
                </a:gsLst>
                <a:lin ang="5400000" scaled="1"/>
              </a:gradFill>
            </a:ln>
            <a:effectLst>
              <a:outerShdw blurRad="76200" dist="25400" dir="2700000" algn="tl" rotWithShape="0">
                <a:schemeClr val="accent4">
                  <a:lumMod val="50000"/>
                  <a:alpha val="30000"/>
                </a:scheme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施工过程</c:v>
                </c:pt>
                <c:pt idx="1">
                  <c:v>减免洪涝灾害情况</c:v>
                </c:pt>
                <c:pt idx="2">
                  <c:v>河道改善情况</c:v>
                </c:pt>
                <c:pt idx="3">
                  <c:v>耕地保护情况</c:v>
                </c:pt>
                <c:pt idx="4">
                  <c:v>公共服务水平</c:v>
                </c:pt>
              </c:strCache>
            </c:strRef>
          </c:cat>
          <c:val>
            <c:numRef>
              <c:f>Sheet1!$E$2:$E$6</c:f>
              <c:numCache>
                <c:formatCode>General</c:formatCode>
                <c:ptCount val="5"/>
                <c:pt idx="2">
                  <c:v>1</c:v>
                </c:pt>
                <c:pt idx="3">
                  <c:v>3</c:v>
                </c:pt>
              </c:numCache>
            </c:numRef>
          </c:val>
        </c:ser>
        <c:ser>
          <c:idx val="4"/>
          <c:order val="4"/>
          <c:tx>
            <c:strRef>
              <c:f>Sheet1!$F$1</c:f>
              <c:strCache>
                <c:ptCount val="1"/>
                <c:pt idx="0">
                  <c:v>5分</c:v>
                </c:pt>
              </c:strCache>
            </c:strRef>
          </c:tx>
          <c:spPr>
            <a:gradFill>
              <a:gsLst>
                <a:gs pos="0">
                  <a:schemeClr val="accent5">
                    <a:lumMod val="40000"/>
                    <a:lumOff val="60000"/>
                  </a:schemeClr>
                </a:gs>
                <a:gs pos="90000">
                  <a:schemeClr val="accent5"/>
                </a:gs>
              </a:gsLst>
              <a:lin ang="5400000" scaled="0"/>
            </a:gradFill>
            <a:ln>
              <a:gradFill>
                <a:gsLst>
                  <a:gs pos="0">
                    <a:schemeClr val="accent5"/>
                  </a:gs>
                  <a:gs pos="100000">
                    <a:schemeClr val="accent5">
                      <a:lumMod val="75000"/>
                    </a:schemeClr>
                  </a:gs>
                </a:gsLst>
                <a:lin ang="5400000" scaled="1"/>
              </a:gradFill>
            </a:ln>
            <a:effectLst>
              <a:outerShdw blurRad="76200" dist="25400" dir="2700000" algn="tl" rotWithShape="0">
                <a:schemeClr val="accent5">
                  <a:lumMod val="50000"/>
                  <a:alpha val="30000"/>
                </a:scheme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施工过程</c:v>
                </c:pt>
                <c:pt idx="1">
                  <c:v>减免洪涝灾害情况</c:v>
                </c:pt>
                <c:pt idx="2">
                  <c:v>河道改善情况</c:v>
                </c:pt>
                <c:pt idx="3">
                  <c:v>耕地保护情况</c:v>
                </c:pt>
                <c:pt idx="4">
                  <c:v>公共服务水平</c:v>
                </c:pt>
              </c:strCache>
            </c:strRef>
          </c:cat>
          <c:val>
            <c:numRef>
              <c:f>Sheet1!$F$2:$F$6</c:f>
              <c:numCache>
                <c:formatCode>General</c:formatCode>
                <c:ptCount val="5"/>
                <c:pt idx="0">
                  <c:v>16</c:v>
                </c:pt>
                <c:pt idx="1">
                  <c:v>18</c:v>
                </c:pt>
                <c:pt idx="2">
                  <c:v>19</c:v>
                </c:pt>
                <c:pt idx="3">
                  <c:v>17</c:v>
                </c:pt>
                <c:pt idx="4">
                  <c:v>18</c:v>
                </c:pt>
              </c:numCache>
            </c:numRef>
          </c:val>
        </c:ser>
        <c:dLbls>
          <c:showLegendKey val="0"/>
          <c:showVal val="1"/>
          <c:showCatName val="0"/>
          <c:showSerName val="0"/>
          <c:showPercent val="0"/>
          <c:showBubbleSize val="0"/>
        </c:dLbls>
        <c:gapWidth val="216"/>
        <c:overlap val="-32"/>
        <c:axId val="814618152"/>
        <c:axId val="623277800"/>
      </c:barChart>
      <c:catAx>
        <c:axId val="81461815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评分项目</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3277800"/>
        <c:crosses val="autoZero"/>
        <c:auto val="1"/>
        <c:lblAlgn val="ctr"/>
        <c:lblOffset val="100"/>
        <c:noMultiLvlLbl val="0"/>
      </c:catAx>
      <c:valAx>
        <c:axId val="623277800"/>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满意程度</a:t>
                </a: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618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80ebe13a-a7a0-424d-8463-d723ca3db28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55</Pages>
  <Words>8658</Words>
  <Characters>9332</Characters>
  <TotalTime>5</TotalTime>
  <ScaleCrop>false</ScaleCrop>
  <LinksUpToDate>false</LinksUpToDate>
  <CharactersWithSpaces>9630</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2022-07-27T07:10:00Z</dcterms:created>
  <dc:creator>openxml-sdk </dc:creator>
  <dc:description>openxml-sdk, CCi Textin Word Converter, JL</dc:description>
  <cp:keywords>CCi</cp:keywords>
  <cp:lastModifiedBy>OO</cp:lastModifiedBy>
  <cp:lastPrinted>2025-02-25T11:40:00Z</cp:lastPrinted>
  <dcterms:modified xsi:type="dcterms:W3CDTF">2025-03-06T09:17:15Z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FD8B192119BD4C66918B76A63131E778</vt:lpwstr>
  </property>
  <property fmtid="{D5CDD505-2E9C-101B-9397-08002B2CF9AE}" pid="4" name="KSOTemplateDocerSaveRecord">
    <vt:lpwstr>eyJoZGlkIjoiYzZkNzQ4ZWFiZmQ4NTRhOWRkZTk3YTMwMjlmMmZhYmUiLCJ1c2VySWQiOiI1OTk2MTcxOTUifQ==</vt:lpwstr>
  </property>
</Properties>
</file>