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三门峡市陕州区文化广电和旅游局</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三门峡市陕州区文化广电和旅游局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三门峡市陕州区文化广电和旅游局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三门峡市陕州区文化广电和旅游局</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三门峡市陕州区文化广电和旅游局部门（单位）概况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一、三门峡市陕州区文化广电和旅游局部门（单位）主要职责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中共陕州区委办公室、陕州区人民政府关于印发〈三门峡市陕州区文化广电和旅游局职能配置、内设机构和人员编制规定〉的通知》（三陕办文〔2019〕14号）的规定，本部门主要职能是：贯彻落实党中央关于文化广电和旅游工作的方针政策和决策部署，在履行职责过程中坚持和加强党对文化广电和旅游工作的集中统一领导，坚持中国特色社会主义文化发展道路，统筹文化事业、文化产业和旅游业发展，提高我区文化软实力和文化影响力。加强广播电视阵地管理，把握正确的舆论导向和创作导向。积极推进基本公共文化服务标准化、均等化。完善文物保护投入机制，支持文物保护由抢救性保护向抢救性与预防性保护并重、由注重文物本体保护向文物本体与周边环境整体保护并重转变。进一步推进简政放权、放管结合、优化服务，持续深化“一网通办”前提下“最多跑一次”改革，推进审批服务便民化。</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三门峡市陕州区文化广电和旅游局属本级部门预算，设立下属二级预算单位：</w:t>
        <w:br/>
        <w:t xml:space="preserve">1、三门峡市陕州区文化广电和旅游局机关</w:t>
        <w:br/>
        <w:t xml:space="preserve">2、三门峡市陕州区蒲剧保护传承中心</w:t>
        <w:br/>
        <w:t xml:space="preserve">3、三门峡市陕州区文化馆</w:t>
        <w:br/>
        <w:t xml:space="preserve">4、三门峡市陕州区图书馆</w:t>
        <w:br/>
        <w:t xml:space="preserve">5、三门峡市陕州区文物保护服务中心</w:t>
        <w:br/>
        <w:t xml:space="preserve">6.三门峡市陕州区温泉健康产业服务发展中心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三、三门峡市陕州区文化广电和旅游局预算单位构成情况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文化广电和旅游局属本级部门预算，设立下属二级预算单位：%0A1、三门峡市陕州区文化广电和旅游局机关%0A2、三门峡市陕州区蒲剧保护传承中心%0A3、三门峡市陕州区文化馆%0A4、三门峡市陕州区图书馆%0A5、三门峡市陕州区文物保护服务中心%0A6.三门峡市陕州区温泉健康产业服务发展中心</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三门峡市陕州区文化广电和旅游局2024年部门（单位）预算情况说明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1508.47</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1508.47</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增加425.42万元，增长39.28%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项目预算增加</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增加425.42万元，增长39.28%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项目预算增加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1508.47</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一般公共预算1508.47万元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1508.47</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基本支出709.25万元，占47.02%；项目支出799.22万元，占52.98%</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1508.47</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增加425.42万元，增长39.28%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项目预算增加</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无政府性基金收支预算</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无国有资本经营预算收支预算</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1508.47</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基本支出709.25万元，占47.02%；项目支出799.22万元，占52.98%</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文化体育旅游与传媒支出1286.04万元，占85.25%；社会保障和就业支出131.97万元，占8.75%；卫生健康支出38.54万元，占2.55%；住房保障支出51.92万元，占3.44%</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709.25</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691.67</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97.52</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17.58</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2.48</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9.00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增加1.80万元，增长25.00%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无因公出国(境)费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6.50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增加0.50万元，增长8.33%</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业务量增加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2.50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无公务用车购置支出</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2.50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增加1.30万元，增长108.33%</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业务量增加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无政府性基金预算支出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9.71</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保障机构正常运转及正常履职需要</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10.20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10.20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1508.47</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695.72</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13.53</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17</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799.22</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120.00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无其他用车</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无专项转移支付项目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三门峡市陕州区文化广电和旅游局</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1,508.47</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1,497.47</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jc w:val="right"/>
            </w:pPr>
            <w:r>
              <w:rPr>
                <w:rFonts w:ascii="宋体" w:eastAsia="宋体" w:hAnsi="宋体" w:cs="宋体"/>
                <w:b w:val="0"/>
                <w:i w:val="0"/>
                <w:color w:val="000000"/>
                <w:sz w:val="27"/>
              </w:rPr>
              <w:t xml:space="preserve">1,286.04</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131.97</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38.54</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51.92</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1,508.47</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1,508.47</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1,508.47</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1,508.47</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1,508.47</w:t>
            </w:r>
          </w:p>
        </w:tc>
        <w:tc>
          <w:tcPr>
            <w:tcW w:w="660" w:type="dxa"/>
            <w:tcBorders/>
            <w:vAlign w:val="center"/>
          </w:tcPr>
          <w:p>
            <w:pPr>
              <w:jc w:val="right"/>
            </w:pPr>
            <w:r>
              <w:rPr>
                <w:rFonts w:ascii="宋体" w:eastAsia="宋体" w:hAnsi="宋体" w:cs="宋体"/>
                <w:b w:val="0"/>
                <w:i w:val="0"/>
                <w:color w:val="000000"/>
                <w:sz w:val="8"/>
              </w:rPr>
              <w:t xml:space="preserve">1,508.47</w:t>
            </w:r>
          </w:p>
        </w:tc>
        <w:tc>
          <w:tcPr>
            <w:tcW w:w="600" w:type="dxa"/>
            <w:tcBorders/>
            <w:vAlign w:val="center"/>
          </w:tcPr>
          <w:p>
            <w:pPr>
              <w:jc w:val="right"/>
            </w:pPr>
            <w:r>
              <w:rPr>
                <w:rFonts w:ascii="宋体" w:eastAsia="宋体" w:hAnsi="宋体" w:cs="宋体"/>
                <w:b w:val="0"/>
                <w:i w:val="0"/>
                <w:color w:val="000000"/>
                <w:sz w:val="8"/>
              </w:rPr>
              <w:t xml:space="preserve">1,508.47</w:t>
            </w:r>
          </w:p>
        </w:tc>
        <w:tc>
          <w:tcPr>
            <w:tcW w:w="720" w:type="dxa"/>
            <w:tcBorders/>
            <w:vAlign w:val="center"/>
          </w:tcPr>
          <w:p>
            <w:pPr>
              <w:jc w:val="right"/>
            </w:pPr>
            <w:r>
              <w:rPr>
                <w:rFonts w:ascii="宋体" w:eastAsia="宋体" w:hAnsi="宋体" w:cs="宋体"/>
                <w:b w:val="0"/>
                <w:i w:val="0"/>
                <w:color w:val="000000"/>
                <w:sz w:val="8"/>
              </w:rPr>
              <w:t xml:space="preserve">1,497.47</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p>
        </w:tc>
        <w:tc>
          <w:tcPr>
            <w:tcW w:w="154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72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1,508.47</w:t>
            </w:r>
          </w:p>
        </w:tc>
        <w:tc>
          <w:tcPr>
            <w:tcW w:w="1060" w:type="dxa"/>
            <w:tcBorders/>
            <w:vAlign w:val="center"/>
          </w:tcPr>
          <w:p>
            <w:pPr>
              <w:jc w:val="right"/>
            </w:pPr>
            <w:r>
              <w:rPr>
                <w:rFonts w:ascii="宋体" w:eastAsia="宋体" w:hAnsi="宋体" w:cs="宋体"/>
                <w:b w:val="0"/>
                <w:i w:val="0"/>
                <w:color w:val="000000"/>
                <w:sz w:val="13"/>
              </w:rPr>
              <w:t xml:space="preserve">709.25</w:t>
            </w:r>
          </w:p>
        </w:tc>
        <w:tc>
          <w:tcPr>
            <w:tcW w:w="1140" w:type="dxa"/>
            <w:tcBorders/>
            <w:vAlign w:val="center"/>
          </w:tcPr>
          <w:p>
            <w:pPr>
              <w:jc w:val="right"/>
            </w:pPr>
            <w:r>
              <w:rPr>
                <w:rFonts w:ascii="宋体" w:eastAsia="宋体" w:hAnsi="宋体" w:cs="宋体"/>
                <w:b w:val="0"/>
                <w:i w:val="0"/>
                <w:color w:val="000000"/>
                <w:sz w:val="13"/>
              </w:rPr>
              <w:t xml:space="preserve">636.43</w:t>
            </w:r>
          </w:p>
        </w:tc>
        <w:tc>
          <w:tcPr>
            <w:tcW w:w="1140" w:type="dxa"/>
            <w:tcBorders/>
            <w:vAlign w:val="center"/>
          </w:tcPr>
          <w:p>
            <w:pPr>
              <w:jc w:val="right"/>
            </w:pPr>
            <w:r>
              <w:rPr>
                <w:rFonts w:ascii="宋体" w:eastAsia="宋体" w:hAnsi="宋体" w:cs="宋体"/>
                <w:b w:val="0"/>
                <w:i w:val="0"/>
                <w:color w:val="000000"/>
                <w:sz w:val="13"/>
              </w:rPr>
              <w:t xml:space="preserve">59.29</w:t>
            </w:r>
          </w:p>
        </w:tc>
        <w:tc>
          <w:tcPr>
            <w:tcW w:w="1140" w:type="dxa"/>
            <w:tcBorders/>
            <w:vAlign w:val="center"/>
          </w:tcPr>
          <w:p>
            <w:pPr>
              <w:jc w:val="right"/>
            </w:pPr>
            <w:r>
              <w:rPr>
                <w:rFonts w:ascii="宋体" w:eastAsia="宋体" w:hAnsi="宋体" w:cs="宋体"/>
                <w:b w:val="0"/>
                <w:i w:val="0"/>
                <w:color w:val="000000"/>
                <w:sz w:val="13"/>
              </w:rPr>
              <w:t xml:space="preserve">13.53</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799.22</w:t>
            </w:r>
          </w:p>
        </w:tc>
        <w:tc>
          <w:tcPr>
            <w:tcW w:w="1140" w:type="dxa"/>
            <w:tcBorders/>
            <w:vAlign w:val="center"/>
          </w:tcPr>
          <w:p>
            <w:pPr>
              <w:jc w:val="right"/>
            </w:pPr>
            <w:r>
              <w:rPr>
                <w:rFonts w:ascii="宋体" w:eastAsia="宋体" w:hAnsi="宋体" w:cs="宋体"/>
                <w:b w:val="0"/>
                <w:i w:val="0"/>
                <w:color w:val="000000"/>
                <w:sz w:val="13"/>
              </w:rPr>
              <w:t xml:space="preserve">676.22</w:t>
            </w:r>
          </w:p>
        </w:tc>
        <w:tc>
          <w:tcPr>
            <w:tcW w:w="1158" w:type="dxa"/>
            <w:tcBorders/>
            <w:vAlign w:val="center"/>
          </w:tcPr>
          <w:p>
            <w:pPr>
              <w:jc w:val="right"/>
            </w:pPr>
            <w:r>
              <w:rPr>
                <w:rFonts w:ascii="宋体" w:eastAsia="宋体" w:hAnsi="宋体" w:cs="宋体"/>
                <w:b w:val="0"/>
                <w:i w:val="0"/>
                <w:color w:val="000000"/>
                <w:sz w:val="13"/>
              </w:rPr>
              <w:t xml:space="preserve">123.00</w:t>
            </w: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1,508.47</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1,508.47</w:t>
            </w:r>
          </w:p>
        </w:tc>
        <w:tc>
          <w:tcPr>
            <w:tcW w:w="1380" w:type="dxa"/>
            <w:tcBorders/>
            <w:vAlign w:val="center"/>
          </w:tcPr>
          <w:p>
            <w:pPr>
              <w:jc w:val="right"/>
            </w:pPr>
            <w:r>
              <w:rPr>
                <w:rFonts w:ascii="宋体" w:eastAsia="宋体" w:hAnsi="宋体" w:cs="宋体"/>
                <w:b w:val="0"/>
                <w:i w:val="0"/>
                <w:color w:val="000000"/>
                <w:sz w:val="16"/>
              </w:rPr>
              <w:t xml:space="preserve">1,508.47</w:t>
            </w:r>
          </w:p>
        </w:tc>
        <w:tc>
          <w:tcPr>
            <w:tcW w:w="1380" w:type="dxa"/>
            <w:tcBorders/>
            <w:vAlign w:val="center"/>
          </w:tcPr>
          <w:p>
            <w:pPr>
              <w:jc w:val="right"/>
            </w:pPr>
            <w:r>
              <w:rPr>
                <w:rFonts w:ascii="宋体" w:eastAsia="宋体" w:hAnsi="宋体" w:cs="宋体"/>
                <w:b w:val="0"/>
                <w:i w:val="0"/>
                <w:color w:val="000000"/>
                <w:sz w:val="16"/>
              </w:rPr>
              <w:t xml:space="preserve">1,497.47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1,508.47</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1,497.47</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jc w:val="right"/>
            </w:pPr>
            <w:r>
              <w:rPr>
                <w:rFonts w:ascii="宋体" w:eastAsia="宋体" w:hAnsi="宋体" w:cs="宋体"/>
                <w:b w:val="0"/>
                <w:i w:val="0"/>
                <w:color w:val="000000"/>
                <w:sz w:val="16"/>
              </w:rPr>
              <w:t xml:space="preserve">1,286.04</w:t>
            </w:r>
          </w:p>
        </w:tc>
        <w:tc>
          <w:tcPr>
            <w:tcW w:w="1380" w:type="dxa"/>
            <w:tcBorders/>
            <w:vAlign w:val="center"/>
          </w:tcPr>
          <w:p>
            <w:pPr>
              <w:jc w:val="right"/>
            </w:pPr>
            <w:r>
              <w:rPr>
                <w:rFonts w:ascii="宋体" w:eastAsia="宋体" w:hAnsi="宋体" w:cs="宋体"/>
                <w:b w:val="0"/>
                <w:i w:val="0"/>
                <w:color w:val="000000"/>
                <w:sz w:val="16"/>
              </w:rPr>
              <w:t xml:space="preserve">1,286.04</w:t>
            </w:r>
          </w:p>
        </w:tc>
        <w:tc>
          <w:tcPr>
            <w:tcW w:w="1380" w:type="dxa"/>
            <w:tcBorders/>
            <w:vAlign w:val="center"/>
          </w:tcPr>
          <w:p>
            <w:pPr>
              <w:jc w:val="right"/>
            </w:pPr>
            <w:r>
              <w:rPr>
                <w:rFonts w:ascii="宋体" w:eastAsia="宋体" w:hAnsi="宋体" w:cs="宋体"/>
                <w:b w:val="0"/>
                <w:i w:val="0"/>
                <w:color w:val="000000"/>
                <w:sz w:val="16"/>
              </w:rPr>
              <w:t xml:space="preserve">1,275.04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131.97</w:t>
            </w:r>
          </w:p>
        </w:tc>
        <w:tc>
          <w:tcPr>
            <w:tcW w:w="1380" w:type="dxa"/>
            <w:tcBorders/>
            <w:vAlign w:val="center"/>
          </w:tcPr>
          <w:p>
            <w:pPr>
              <w:jc w:val="right"/>
            </w:pPr>
            <w:r>
              <w:rPr>
                <w:rFonts w:ascii="宋体" w:eastAsia="宋体" w:hAnsi="宋体" w:cs="宋体"/>
                <w:b w:val="0"/>
                <w:i w:val="0"/>
                <w:color w:val="000000"/>
                <w:sz w:val="16"/>
              </w:rPr>
              <w:t xml:space="preserve">131.97</w:t>
            </w:r>
          </w:p>
        </w:tc>
        <w:tc>
          <w:tcPr>
            <w:tcW w:w="1380" w:type="dxa"/>
            <w:tcBorders/>
            <w:vAlign w:val="center"/>
          </w:tcPr>
          <w:p>
            <w:pPr>
              <w:jc w:val="right"/>
            </w:pPr>
            <w:r>
              <w:rPr>
                <w:rFonts w:ascii="宋体" w:eastAsia="宋体" w:hAnsi="宋体" w:cs="宋体"/>
                <w:b w:val="0"/>
                <w:i w:val="0"/>
                <w:color w:val="000000"/>
                <w:sz w:val="16"/>
              </w:rPr>
              <w:t xml:space="preserve">131.97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38.54</w:t>
            </w:r>
          </w:p>
        </w:tc>
        <w:tc>
          <w:tcPr>
            <w:tcW w:w="1380" w:type="dxa"/>
            <w:tcBorders/>
            <w:vAlign w:val="center"/>
          </w:tcPr>
          <w:p>
            <w:pPr>
              <w:jc w:val="right"/>
            </w:pPr>
            <w:r>
              <w:rPr>
                <w:rFonts w:ascii="宋体" w:eastAsia="宋体" w:hAnsi="宋体" w:cs="宋体"/>
                <w:b w:val="0"/>
                <w:i w:val="0"/>
                <w:color w:val="000000"/>
                <w:sz w:val="16"/>
              </w:rPr>
              <w:t xml:space="preserve">38.54</w:t>
            </w:r>
          </w:p>
        </w:tc>
        <w:tc>
          <w:tcPr>
            <w:tcW w:w="1380" w:type="dxa"/>
            <w:tcBorders/>
            <w:vAlign w:val="center"/>
          </w:tcPr>
          <w:p>
            <w:pPr>
              <w:jc w:val="right"/>
            </w:pPr>
            <w:r>
              <w:rPr>
                <w:rFonts w:ascii="宋体" w:eastAsia="宋体" w:hAnsi="宋体" w:cs="宋体"/>
                <w:b w:val="0"/>
                <w:i w:val="0"/>
                <w:color w:val="000000"/>
                <w:sz w:val="16"/>
              </w:rPr>
              <w:t xml:space="preserve">38.54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51.92</w:t>
            </w:r>
          </w:p>
        </w:tc>
        <w:tc>
          <w:tcPr>
            <w:tcW w:w="1380" w:type="dxa"/>
            <w:tcBorders/>
            <w:vAlign w:val="center"/>
          </w:tcPr>
          <w:p>
            <w:pPr>
              <w:jc w:val="right"/>
            </w:pPr>
            <w:r>
              <w:rPr>
                <w:rFonts w:ascii="宋体" w:eastAsia="宋体" w:hAnsi="宋体" w:cs="宋体"/>
                <w:b w:val="0"/>
                <w:i w:val="0"/>
                <w:color w:val="000000"/>
                <w:sz w:val="16"/>
              </w:rPr>
              <w:t xml:space="preserve">51.92</w:t>
            </w:r>
          </w:p>
        </w:tc>
        <w:tc>
          <w:tcPr>
            <w:tcW w:w="1380" w:type="dxa"/>
            <w:tcBorders/>
            <w:vAlign w:val="center"/>
          </w:tcPr>
          <w:p>
            <w:pPr>
              <w:jc w:val="right"/>
            </w:pPr>
            <w:r>
              <w:rPr>
                <w:rFonts w:ascii="宋体" w:eastAsia="宋体" w:hAnsi="宋体" w:cs="宋体"/>
                <w:b w:val="0"/>
                <w:i w:val="0"/>
                <w:color w:val="000000"/>
                <w:sz w:val="16"/>
              </w:rPr>
              <w:t xml:space="preserve">51.92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1,508.47</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1,508.47</w:t>
            </w:r>
          </w:p>
        </w:tc>
        <w:tc>
          <w:tcPr>
            <w:tcW w:w="1380" w:type="dxa"/>
            <w:tcBorders/>
            <w:vAlign w:val="center"/>
          </w:tcPr>
          <w:p>
            <w:pPr>
              <w:jc w:val="right"/>
            </w:pPr>
            <w:r>
              <w:rPr>
                <w:rFonts w:ascii="宋体" w:eastAsia="宋体" w:hAnsi="宋体" w:cs="宋体"/>
                <w:b w:val="0"/>
                <w:i w:val="0"/>
                <w:color w:val="000000"/>
                <w:sz w:val="16"/>
              </w:rPr>
              <w:t xml:space="preserve">1,508.47</w:t>
            </w:r>
          </w:p>
        </w:tc>
        <w:tc>
          <w:tcPr>
            <w:tcW w:w="1380" w:type="dxa"/>
            <w:tcBorders/>
            <w:vAlign w:val="center"/>
          </w:tcPr>
          <w:p>
            <w:pPr>
              <w:jc w:val="right"/>
            </w:pPr>
            <w:r>
              <w:rPr>
                <w:rFonts w:ascii="宋体" w:eastAsia="宋体" w:hAnsi="宋体" w:cs="宋体"/>
                <w:b w:val="0"/>
                <w:i w:val="0"/>
                <w:color w:val="000000"/>
                <w:sz w:val="16"/>
              </w:rPr>
              <w:t xml:space="preserve">1,497.47</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1,508.47</w:t>
            </w:r>
          </w:p>
        </w:tc>
        <w:tc>
          <w:tcPr>
            <w:tcW w:w="1160" w:type="dxa"/>
            <w:tcBorders/>
            <w:vAlign w:val="center"/>
          </w:tcPr>
          <w:p>
            <w:pPr>
              <w:jc w:val="right"/>
            </w:pPr>
            <w:r>
              <w:rPr>
                <w:rFonts w:ascii="宋体" w:eastAsia="宋体" w:hAnsi="宋体" w:cs="宋体"/>
                <w:b w:val="0"/>
                <w:i w:val="0"/>
                <w:color w:val="000000"/>
                <w:sz w:val="14"/>
              </w:rPr>
              <w:t xml:space="preserve">709.25</w:t>
            </w:r>
          </w:p>
        </w:tc>
        <w:tc>
          <w:tcPr>
            <w:tcW w:w="1160" w:type="dxa"/>
            <w:tcBorders/>
            <w:vAlign w:val="center"/>
          </w:tcPr>
          <w:p>
            <w:pPr>
              <w:jc w:val="right"/>
            </w:pPr>
            <w:r>
              <w:rPr>
                <w:rFonts w:ascii="宋体" w:eastAsia="宋体" w:hAnsi="宋体" w:cs="宋体"/>
                <w:b w:val="0"/>
                <w:i w:val="0"/>
                <w:color w:val="000000"/>
                <w:sz w:val="14"/>
              </w:rPr>
              <w:t xml:space="preserve">636.43</w:t>
            </w:r>
          </w:p>
        </w:tc>
        <w:tc>
          <w:tcPr>
            <w:tcW w:w="1160" w:type="dxa"/>
            <w:tcBorders/>
            <w:vAlign w:val="center"/>
          </w:tcPr>
          <w:p>
            <w:pPr>
              <w:jc w:val="right"/>
            </w:pPr>
            <w:r>
              <w:rPr>
                <w:rFonts w:ascii="宋体" w:eastAsia="宋体" w:hAnsi="宋体" w:cs="宋体"/>
                <w:b w:val="0"/>
                <w:i w:val="0"/>
                <w:color w:val="000000"/>
                <w:sz w:val="14"/>
              </w:rPr>
              <w:t xml:space="preserve">59.29</w:t>
            </w:r>
          </w:p>
        </w:tc>
        <w:tc>
          <w:tcPr>
            <w:tcW w:w="1160" w:type="dxa"/>
            <w:tcBorders/>
            <w:vAlign w:val="center"/>
          </w:tcPr>
          <w:p>
            <w:pPr>
              <w:jc w:val="right"/>
            </w:pPr>
            <w:r>
              <w:rPr>
                <w:rFonts w:ascii="宋体" w:eastAsia="宋体" w:hAnsi="宋体" w:cs="宋体"/>
                <w:b w:val="0"/>
                <w:i w:val="0"/>
                <w:color w:val="000000"/>
                <w:sz w:val="14"/>
              </w:rPr>
              <w:t xml:space="preserve">13.53</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799.22</w:t>
            </w:r>
          </w:p>
        </w:tc>
        <w:tc>
          <w:tcPr>
            <w:tcW w:w="1160" w:type="dxa"/>
            <w:tcBorders/>
            <w:vAlign w:val="center"/>
          </w:tcPr>
          <w:p>
            <w:pPr>
              <w:jc w:val="right"/>
            </w:pPr>
            <w:r>
              <w:rPr>
                <w:rFonts w:ascii="宋体" w:eastAsia="宋体" w:hAnsi="宋体" w:cs="宋体"/>
                <w:b w:val="0"/>
                <w:i w:val="0"/>
                <w:color w:val="000000"/>
                <w:sz w:val="14"/>
              </w:rPr>
              <w:t xml:space="preserve">676.22</w:t>
            </w:r>
          </w:p>
        </w:tc>
        <w:tc>
          <w:tcPr>
            <w:tcW w:w="1218" w:type="dxa"/>
            <w:tcBorders/>
            <w:vAlign w:val="center"/>
          </w:tcPr>
          <w:p>
            <w:pPr>
              <w:jc w:val="right"/>
            </w:pPr>
            <w:r>
              <w:rPr>
                <w:rFonts w:ascii="宋体" w:eastAsia="宋体" w:hAnsi="宋体" w:cs="宋体"/>
                <w:b w:val="0"/>
                <w:i w:val="0"/>
                <w:color w:val="000000"/>
                <w:sz w:val="14"/>
              </w:rPr>
              <w:t xml:space="preserve">123.00</w:t>
            </w: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709.25</w:t>
            </w:r>
          </w:p>
        </w:tc>
        <w:tc>
          <w:tcPr>
            <w:tcW w:w="1440" w:type="dxa"/>
            <w:tcBorders/>
            <w:vAlign w:val="center"/>
          </w:tcPr>
          <w:p>
            <w:pPr>
              <w:jc w:val="right"/>
            </w:pPr>
            <w:r>
              <w:rPr>
                <w:rFonts w:ascii="宋体" w:eastAsia="宋体" w:hAnsi="宋体" w:cs="宋体"/>
                <w:b w:val="0"/>
                <w:i w:val="0"/>
                <w:color w:val="000000"/>
                <w:sz w:val="17"/>
              </w:rPr>
              <w:t xml:space="preserve">691.67</w:t>
            </w:r>
          </w:p>
        </w:tc>
        <w:tc>
          <w:tcPr>
            <w:tcW w:w="1478" w:type="dxa"/>
            <w:tcBorders/>
            <w:vAlign w:val="center"/>
          </w:tcPr>
          <w:p>
            <w:pPr>
              <w:jc w:val="right"/>
            </w:pPr>
            <w:r>
              <w:rPr>
                <w:rFonts w:ascii="宋体" w:eastAsia="宋体" w:hAnsi="宋体" w:cs="宋体"/>
                <w:b w:val="0"/>
                <w:i w:val="0"/>
                <w:color w:val="000000"/>
                <w:sz w:val="17"/>
              </w:rPr>
              <w:t xml:space="preserve">17.58</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p>
        </w:tc>
        <w:tc>
          <w:tcPr>
            <w:tcW w:w="1440" w:type="dxa"/>
            <w:tcBorders/>
            <w:vAlign w:val="center"/>
          </w:tcPr>
          <w:p>
            <w:pP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1,508.47</w:t>
            </w:r>
          </w:p>
        </w:tc>
        <w:tc>
          <w:tcPr>
            <w:tcW w:w="920" w:type="dxa"/>
            <w:tcBorders/>
            <w:vAlign w:val="center"/>
          </w:tcPr>
          <w:p>
            <w:pPr>
              <w:jc w:val="right"/>
            </w:pPr>
            <w:r>
              <w:rPr>
                <w:rFonts w:ascii="宋体" w:eastAsia="宋体" w:hAnsi="宋体" w:cs="宋体"/>
                <w:b w:val="0"/>
                <w:i w:val="0"/>
                <w:color w:val="000000"/>
                <w:sz w:val="11"/>
              </w:rPr>
              <w:t xml:space="preserve">1,508.47</w:t>
            </w:r>
          </w:p>
        </w:tc>
        <w:tc>
          <w:tcPr>
            <w:tcW w:w="920" w:type="dxa"/>
            <w:tcBorders/>
            <w:vAlign w:val="center"/>
          </w:tcPr>
          <w:p>
            <w:pPr>
              <w:jc w:val="right"/>
            </w:pPr>
            <w:r>
              <w:rPr>
                <w:rFonts w:ascii="宋体" w:eastAsia="宋体" w:hAnsi="宋体" w:cs="宋体"/>
                <w:b w:val="0"/>
                <w:i w:val="0"/>
                <w:color w:val="000000"/>
                <w:sz w:val="11"/>
              </w:rPr>
              <w:t xml:space="preserve">1,497.47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9.00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2.50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2.50</w:t>
            </w:r>
          </w:p>
        </w:tc>
        <w:tc>
          <w:tcPr>
            <w:tcW w:w="2358" w:type="dxa"/>
            <w:tcBorders/>
            <w:vAlign w:val="center"/>
          </w:tcPr>
          <w:p>
            <w:pPr>
              <w:jc w:val="right"/>
            </w:pPr>
            <w:r>
              <w:rPr>
                <w:rFonts w:ascii="宋体" w:eastAsia="宋体" w:hAnsi="宋体" w:cs="宋体"/>
                <w:b w:val="0"/>
                <w:i w:val="0"/>
                <w:color w:val="000000"/>
                <w:sz w:val="27"/>
              </w:rPr>
              <w:t xml:space="preserve">6.50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799.22</w:t>
            </w:r>
          </w:p>
        </w:tc>
        <w:tc>
          <w:tcPr>
            <w:tcW w:w="1160" w:type="dxa"/>
            <w:tcBorders/>
            <w:vAlign w:val="center"/>
          </w:tcPr>
          <w:p>
            <w:pPr>
              <w:jc w:val="right"/>
            </w:pPr>
            <w:r>
              <w:rPr>
                <w:rFonts w:ascii="宋体" w:eastAsia="宋体" w:hAnsi="宋体" w:cs="宋体"/>
                <w:b w:val="0"/>
                <w:i w:val="0"/>
                <w:color w:val="000000"/>
                <w:sz w:val="14"/>
              </w:rPr>
              <w:t xml:space="preserve">799.22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部门：三门峡市陕州区文化广电和旅游局</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9.71</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236"/>
        <w:gridCol w:w="1320"/>
        <w:gridCol w:w="1956"/>
        <w:gridCol w:w="912"/>
        <w:gridCol w:w="2905"/>
      </w:tblGrid>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83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本级部门(单位)整体绩效目标表</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83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（2024年度）                               </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部门（单位）名称  </w:t>
            </w:r>
          </w:p>
        </w:tc>
        <w:tc>
          <w:tcPr>
            <w:tcW w:w="5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三门峡市陕州区文化广电和旅游局汇总</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任务名称</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主要内容</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预算情况  </w:t>
            </w: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部门预算总额（万元）</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1192512.64</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1、资金来源：（1）政府预算资金</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1192824.07</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       （2）财政专户管理资金</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479.13</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       （3）单位资金</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397.5</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2、资金结构：（1）基本支出</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568517.77</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       （2）项目支出</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624859.28</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2556" w:type="dxa"/>
            <w:gridSpan w:val="2"/>
            <w:tcBorders>
              <w:top w:val="nil"/>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部门（单位）名称  </w:t>
            </w:r>
          </w:p>
        </w:tc>
        <w:tc>
          <w:tcPr>
            <w:tcW w:w="5772" w:type="dxa"/>
            <w:gridSpan w:val="3"/>
            <w:tcBorders>
              <w:top w:val="nil"/>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三门峡市陕州区文化广电和旅游局</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w="70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目标1：按时完成工作任务</w:t>
            </w:r>
            <w:r>
              <w:rPr/>
              <w:br/>
            </w:r>
            <w:r>
              <w:rPr/>
              <w:br/>
            </w:r>
            <w:r>
              <w:rPr>
                <w:rFonts w:ascii="宋体" w:eastAsia="宋体" w:hAnsi="宋体" w:cs="宋体"/>
                <w:i w:val="0"/>
                <w:iCs w:val="0"/>
                <w:color w:val="000000"/>
                <w:kern w:val="0"/>
                <w:sz w:val="18"/>
                <w:szCs w:val="18"/>
                <w:u w:val="none"/>
                <w:bdr w:val="none" w:sz="0" w:space="0" w:color="auto"/>
                <w:lang w:val="en-US" w:eastAsia="zh-CN"/>
              </w:rPr>
              <w:t xml:space="preserve">目标2：正常开展工作</w:t>
            </w:r>
            <w:r>
              <w:rPr/>
              <w:br/>
            </w:r>
            <w:r>
              <w:rPr/>
              <w:br/>
            </w:r>
            <w:r>
              <w:rPr>
                <w:rFonts w:ascii="宋体" w:eastAsia="宋体" w:hAnsi="宋体" w:cs="宋体"/>
                <w:i w:val="0"/>
                <w:iCs w:val="0"/>
                <w:color w:val="000000"/>
                <w:kern w:val="0"/>
                <w:sz w:val="18"/>
                <w:szCs w:val="18"/>
                <w:u w:val="none"/>
                <w:bdr w:val="none" w:sz="0" w:space="0" w:color="auto"/>
                <w:lang w:val="en-US" w:eastAsia="zh-CN"/>
              </w:rPr>
              <w:t xml:space="preserve">目标3：确保单位日常工作正常运转</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任务1：正常开展工作</w:t>
            </w:r>
            <w:r>
              <w:rPr/>
              <w:br/>
            </w:r>
            <w:r>
              <w:rPr>
                <w:rFonts w:ascii="宋体" w:eastAsia="宋体" w:hAnsi="宋体" w:cs="宋体"/>
                <w:i w:val="0"/>
                <w:iCs w:val="0"/>
                <w:color w:val="000000"/>
                <w:kern w:val="0"/>
                <w:sz w:val="18"/>
                <w:szCs w:val="18"/>
                <w:u w:val="none"/>
                <w:bdr w:val="none" w:sz="0" w:space="0" w:color="auto"/>
                <w:lang w:val="en-US" w:eastAsia="zh-CN"/>
              </w:rPr>
              <w:t xml:space="preserve"> 任务2：按时完成工作任务</w:t>
            </w:r>
            <w:r>
              <w:rPr/>
              <w:br/>
            </w:r>
            <w:r>
              <w:rPr>
                <w:rFonts w:ascii="宋体" w:eastAsia="宋体" w:hAnsi="宋体" w:cs="宋体"/>
                <w:i w:val="0"/>
                <w:iCs w:val="0"/>
                <w:color w:val="000000"/>
                <w:kern w:val="0"/>
                <w:sz w:val="18"/>
                <w:szCs w:val="18"/>
                <w:u w:val="none"/>
                <w:bdr w:val="none" w:sz="0" w:space="0" w:color="auto"/>
                <w:lang w:val="en-US" w:eastAsia="zh-CN"/>
              </w:rPr>
              <w:t xml:space="preserve"> </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确保单位工作正常运行</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预算情况  </w:t>
            </w: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部门预算总额（元）</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479.1</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1、资金来源：（1）政府预算资金</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479.1</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（2）财政专户管理资金</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（3）单位资金</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2、资金结构：（1）基本支出</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294.9</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（2）项目支出</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184.2</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指标值说明</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投入管理指标  </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  </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反映年度目标工作</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反映工作任务科学性</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反映指标合理性</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  </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反映预算编制情况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反映资金细化情况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90%以上</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反映预算执行情况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20%以下</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反映预算调整情况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20%以下</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反映结转情况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反映三公经费控制情况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无</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真实</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反映决策情况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合规</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反映资金使用情况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健全</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反映制度健全度</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公开</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反映信息公开情况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规范</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反映资产规范情况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  </w:t>
            </w:r>
          </w:p>
        </w:tc>
        <w:tc>
          <w:tcPr>
            <w:tcW w:w="1956" w:type="dxa"/>
            <w:tcBorders>
              <w:top w:val="nil"/>
              <w:left w:val="nil"/>
              <w:bottom w:val="nil"/>
              <w:right w:val="nil"/>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绩效目标编制完成情况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反映绩效监控情况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反映绩效自评情况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反映绩效评价完成情况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反映结果运用情况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2"/>
        </w:trPr>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重点工作计划完成率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反映重点工作完成情况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年度工作目标实现率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反映目标实现情况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单位年度工作效益</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增强</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反映社会效益</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单位职工满意度</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反映社会公众满意情况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部门（单位）名称  </w:t>
            </w:r>
          </w:p>
        </w:tc>
        <w:tc>
          <w:tcPr>
            <w:tcW w:w="5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三门峡市陕州区文化馆</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w="70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spacing w:after="180" w:afterAutospacing="0"/>
              <w:jc w:val="left"/>
              <w:textAlignment w:val="center"/>
              <w:rPr>
                <w:rFonts w:ascii="宋体" w:eastAsia="宋体" w:hAnsi="宋体" w:cs="宋体"/>
                <w:i w:val="0"/>
                <w:iCs w:val="0"/>
                <w:color w:val="000000"/>
                <w:sz w:val="18"/>
                <w:szCs w:val="18"/>
                <w:u w:val="none"/>
              </w:rPr>
            </w:pPr>
            <w:r>
              <w:rPr/>
              <w:br/>
            </w:r>
            <w:r>
              <w:rPr>
                <w:rFonts w:ascii="宋体" w:eastAsia="宋体" w:hAnsi="宋体" w:cs="宋体"/>
                <w:i w:val="0"/>
                <w:iCs w:val="0"/>
                <w:color w:val="000000"/>
                <w:kern w:val="0"/>
                <w:sz w:val="18"/>
                <w:szCs w:val="18"/>
                <w:u w:val="none"/>
                <w:bdr w:val="none" w:sz="0" w:space="0" w:color="auto"/>
                <w:lang w:val="en-US" w:eastAsia="zh-CN"/>
              </w:rPr>
              <w:t xml:space="preserve">正常完成公共文化馆免费开放，举办各种普及型文化艺术培训、公益性群众文化活动、展览展示，培训基层文化队伍，指导群众文艺作品等,完成非物质文化遗产代表性传承人开展研究、传习、传播活动。</w:t>
            </w:r>
            <w:r>
              <w:rPr/>
              <w:br/>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left"/>
              <w:rPr>
                <w:rFonts w:ascii="宋体" w:eastAsia="宋体" w:hAnsi="宋体" w:cs="宋体" w:hint="eastAsia"/>
                <w:i w:val="0"/>
                <w:iCs w:val="0"/>
                <w:color w:val="000000"/>
                <w:sz w:val="18"/>
                <w:szCs w:val="18"/>
                <w:u w:val="none"/>
              </w:rPr>
            </w:pP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left"/>
              <w:rPr>
                <w:rFonts w:ascii="宋体" w:eastAsia="宋体" w:hAnsi="宋体" w:cs="宋体"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预算情况  </w:t>
            </w: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部门预算总额（元）</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137.7</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1、资金来源：（1）政府预算资金</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（2）财政专户管理资金</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（3）单位资金</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2、资金结构：（1）基本支出</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109.70 </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3276" w:type="dxa"/>
            <w:gridSpan w:val="2"/>
            <w:tcBorders>
              <w:top w:val="single" w:sz="4" w:space="0" w:color="000000"/>
              <w:left w:val="single" w:sz="4" w:space="0" w:color="000000"/>
              <w:bottom w:val="nil"/>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（2）项目支出</w:t>
            </w:r>
          </w:p>
        </w:tc>
        <w:tc>
          <w:tcPr>
            <w:tcW w:w="3816" w:type="dxa"/>
            <w:gridSpan w:val="2"/>
            <w:tcBorders>
              <w:top w:val="single" w:sz="4" w:space="0" w:color="000000"/>
              <w:left w:val="single" w:sz="4" w:space="0" w:color="000000"/>
              <w:bottom w:val="nil"/>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28.00 </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一级指标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二级指标</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三级指标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指标值</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指标值说明</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工作目标管理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年度履职目标相关性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反映年度目标工作</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工作目标管理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工作任务科学性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反映工作任务科学性</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工作目标管理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绩效指标合理性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反映指标合理性</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预算编制完整性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反映预算编制情况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专项资金细化率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反映资金细化情况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预算执行率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90%以上</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反映预算执行情况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预算调整率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20%以下</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反映预算执行情况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结转结余率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20%以下</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反映预算调整情况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“三公经费”控制率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反映三公经费控制情况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政府采购执行率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无</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决算真实性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真实</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反映决策情况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资金使用合规性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合规</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反映资金使用情况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管理制度健全性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健全</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反映制度健全度</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预决算信息公开性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公开</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反映信息公开情况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资产管理规范性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规范</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反映资产规范情况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绩效目标编制完成率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绩效目标编制完成情况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绩效监控完成率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反映绩效监控情况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绩效自评完成率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反映绩效自评情况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部门绩效评价完成率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反映绩效评价完成情况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评价结果应用率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反映结果运用情况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6"/>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产出指标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重点工作任务完成</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重点工作任务完成率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反映重点工作完成情况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履职目标实现</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年度工作目标实现率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反映目标实现情况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效益指标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履职效益</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履职效益</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增强</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反映年度履职效益</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满意度</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社会公众满意度</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反映社会公众满意情况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部门（单位）名称  </w:t>
            </w:r>
          </w:p>
        </w:tc>
        <w:tc>
          <w:tcPr>
            <w:tcW w:w="5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三门峡市陕州区图书馆</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年度履职目标</w:t>
            </w:r>
          </w:p>
        </w:tc>
        <w:tc>
          <w:tcPr>
            <w:tcW w:w="70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spacing w:after="180" w:afterAutospacing="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继续深化免费开放工作，让民生工程惠及于民，不断提高民众入馆率；开展“倡导全民阅读，构建书香陕州”系列读书活动；推进“河南省全民阅读”活动开展；做好馆外“流动图书服务点”图书配给和业务辅导工作；做好“文化共享工程”、“总分馆”和“城市书房”基层服务点业务辅导工作；购书费专款专用，完成图书采编、著录、上架工作；增加2024年度报刊订阅量。</w:t>
            </w:r>
            <w:r>
              <w:rPr/>
              <w:br/>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任务名称</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主要内容</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“倡导全民阅读，构建书香陕州”为主题的系列读书活动。</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深化公共图书馆免费开放工作，继续推进全民阅读活动，开展以“倡导全民阅读，构建书香陕州”为主题的系列读书活动14次。开展“免押金”集体办理读者证活动，新增办证1080个。面向民众服务的“报刊阅览、图书外借、电子阅览、少儿阅览”四大部室，读者流通人次大大增加。</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预算情况  </w:t>
            </w: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部门预算总额（万元）</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162.22</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1、资金来源：（1）政府预算资金</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132.22</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       （2）财政专户管理资金</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等线" w:eastAsia="等线" w:hAnsi="等线" w:cs="等线"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       （3）单位资金</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等线" w:eastAsia="等线" w:hAnsi="等线" w:cs="等线"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2、资金结构：（1）基本支出</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等线" w:eastAsia="等线" w:hAnsi="等线" w:cs="等线"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       （2）项目支出</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30</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一级指标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二级指标</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三级指标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指标值</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指标值说明</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24"/>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工作目标管理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年度履职目标相关性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相关</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24"/>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工作目标管理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工作任务科学性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科学</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96"/>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工作目标管理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绩效指标合理性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合理</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84"/>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预算编制完整性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完整</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1.部门所有收入是否全部纳入部门预算；2.部门支出预算是否统筹各类资金来源，全部纳入部门预算管理。</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84"/>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专项资金细化率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≥90%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专项资金细化率=（已细化到具体市县和承担单位的资金数/部门参与分配资金总数）×100%。</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40"/>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预算执行率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≥90%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预算执行率=（预算完成数/预算数）×100%。预算完成数指部门实际执行的预算数；预算数指财政部门批复的本年度部门的（调整）预算数。</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96"/>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预算调整率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≤20%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40"/>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结转结余率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≤20%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结转结余率=结转结余总额/预算数*100%。结转结余总额是指部门本年度的结转结余资金之和。预算数是指财政部门批复的本年度部门的（调整）预算数。</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84"/>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“三公经费”控制率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“三公经费”控制率=本年度“三公经费”实际支出数/“三公经费”预算数*100%</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40"/>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政府采购执行率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≥90%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政府采购执行率=（实际政府采购金额/政府采购预算数）×100%。政府采购预算：采购机关根据事业发展计划和行政任务编制的、并经过规定程序批准的年度政府采购计划。</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84"/>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决算真实性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真实</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反映本部门决算工作情况。决算编制数据是否账表一致，即决算报表数据与会计账簿数据是否一致。</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64"/>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资金使用合规性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合规</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52"/>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管理制度健全性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健全</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96"/>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预决算信息公开性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公开</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64"/>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资产管理规范性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规范</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40"/>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绩效目标编制完成率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部门（单位）按要求编制绩效目标的项目数量占应编制绩效目标项目总数的比重。部门目标编制完成率=已完成绩效目标编制项目数量/部门应编制绩效目标项目总数*100%</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40"/>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绩效监控完成率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部门（单位）按要求实施绩效监控的项目数量占应实施绩效监控项目总数的比重。部门绩效监控完成率=已完成绩效监控项目数量/部门项目总数*100%</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40"/>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绩效自评完成率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部门（单位）按要求实施绩效自评的项目数量占应实施绩效自评项目总数的比重。部门绩效自评完成率=已完成评价项目数量/部门项目总数*100%</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12"/>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部门绩效评价完成率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部门重点绩效评价项目评价完成情况。部门绩效评价完成率=已完成评价项目数量/部门重点绩效评价项目数*100%</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40"/>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评价结果应用率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绩效监控、单位自评、部门绩效评价、财政重点绩效评价结果应用情况。评价结果应用率=评价提出的意见建议采纳数/提出的意见建议总数*100%</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6"/>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产出指标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重点工作任务完成</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计划完成率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反映部门重点工作完成情况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履职目标实现</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实现率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反映部门重点工作完成情况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效益指标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履职效益</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社会效益</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增强</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增强全民读书阅读意识</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满意度</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社会公众满意度</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提升</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提升免费服务项目</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服务对象满意度</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95%以上</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反映满意度情况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部门（单位）名称  </w:t>
            </w:r>
          </w:p>
        </w:tc>
        <w:tc>
          <w:tcPr>
            <w:tcW w:w="5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三门峡市陕州区文物保护服务中心</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年度履职目标</w:t>
            </w:r>
          </w:p>
        </w:tc>
        <w:tc>
          <w:tcPr>
            <w:tcW w:w="70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负责文物库房可移动文物的保护与保管；负责辖区范围内不可移动文物的调查、保护等工作</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任务名称</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主要内容</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掌握辖区范围内不可移动文物现状</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提升辖区范围内不可移动文物现状掌握率</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预算情况  </w:t>
            </w: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部门预算总额（万元）</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212.72</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1、资金来源：（1）政府预算资金</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212.72</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       （2）财政专户管理资金</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等线" w:eastAsia="等线" w:hAnsi="等线" w:cs="等线"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       （3）单位资金</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等线" w:eastAsia="等线" w:hAnsi="等线" w:cs="等线"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2、资金结构：（1）基本支出</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115.64</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       （2）项目支出</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97.08</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一级指标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二级指标</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三级指标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指标值</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指标值说明</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工作目标管理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年度履职目标相关性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相关</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反映部门年度履职目标相关性</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工作目标管理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工作任务科学性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科学</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反映工作任务科学性</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工作目标管理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绩效指标合理性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合理</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反映绩效指标合理性</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预算编制完整性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完整</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反映预算编制完整性</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专项资金细化率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≥90%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反映专项资金细化情况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预算执行率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≥90%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反映预算执行情况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预算调整率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≤20%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反映预算调整情况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结转结余率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≤20%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反映预算结转结余情况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“三公经费”控制率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反映“三公经费”控制情况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政府采购执行率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≥90%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反映政府釆购执行情况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决算真实性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真实</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反映决算真实性情况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资金使用合规性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合规</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反映资金使用合规性</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管理制度健全性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健全</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反映管理制度健全性</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预决算信息公开性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公开</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反映预决算信息公开性</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资产管理规范性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规范</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反映资产管理规范性</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绩效目标编制完成率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反应绩效目标编制完成情况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绩效监控完成率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反映绩效监控完成情况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绩效自评完成率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反映绩效自评完成情况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部门绩效评价完成率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反映部门绩效评价完成情况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评价结果应用率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反映评价结果应用情况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6"/>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产出指标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重点工作任务完成</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工作计划完成率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反映部门工作完成情况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产出指标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履职目标实现</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年度工作目标实现率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反映部门工作完成情况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效益指标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履职效益</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社会效益</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增强</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增强主流意识形态</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3"/>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效益指标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满意度</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社会公众满意度</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提升</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提升社会公众满意度</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1"/>
        </w:trPr>
        <w:tc>
          <w:tcPr>
            <w:tcW w:w="8328"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部门名称：三门峡市陕州区温泉健康产业服务发展中心</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1"/>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年度履职目标</w:t>
            </w:r>
          </w:p>
        </w:tc>
        <w:tc>
          <w:tcPr>
            <w:tcW w:w="7092" w:type="dxa"/>
            <w:gridSpan w:val="4"/>
            <w:tcBorders>
              <w:top w:val="single" w:sz="8" w:space="0" w:color="000000"/>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承担温泉健康产业的招商引资等工作 承担三门峡高阳山大健康产业园区内企业入住等服务性工作 承担园区内名胜古迹各种资料的收集及宣传工作 承担园区内园林景点的绿化等相关工作 承担园区内治安保卫等相关工作。</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1"/>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年度主要任务</w:t>
            </w:r>
          </w:p>
        </w:tc>
        <w:tc>
          <w:tcPr>
            <w:tcW w:w="3276" w:type="dxa"/>
            <w:gridSpan w:val="2"/>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任务名称</w:t>
            </w:r>
          </w:p>
        </w:tc>
        <w:tc>
          <w:tcPr>
            <w:tcW w:w="3816" w:type="dxa"/>
            <w:gridSpan w:val="2"/>
            <w:tcBorders>
              <w:top w:val="single" w:sz="8" w:space="0" w:color="000000"/>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主要内容</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1"/>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3276" w:type="dxa"/>
            <w:gridSpan w:val="2"/>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正常业务开展</w:t>
            </w:r>
          </w:p>
        </w:tc>
        <w:tc>
          <w:tcPr>
            <w:tcW w:w="3816" w:type="dxa"/>
            <w:gridSpan w:val="2"/>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负责温泉健康产业的招商引资， 负责三门峡高阳山大健康产业园区内企业入住等服务性工作，负责园区内治安保卫等相关工作。</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1"/>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预算情况  </w:t>
            </w:r>
          </w:p>
        </w:tc>
        <w:tc>
          <w:tcPr>
            <w:tcW w:w="3276" w:type="dxa"/>
            <w:gridSpan w:val="2"/>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部门预算总额（元）</w:t>
            </w:r>
          </w:p>
        </w:tc>
        <w:tc>
          <w:tcPr>
            <w:tcW w:w="3816" w:type="dxa"/>
            <w:gridSpan w:val="2"/>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1,192,000.00</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1"/>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tcBorders>
              <w:top w:val="nil"/>
              <w:left w:val="nil"/>
              <w:bottom w:val="single" w:sz="8" w:space="0" w:color="000000"/>
              <w:right w:val="nil"/>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1、资金来源：</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（1）政府预算资金</w:t>
            </w:r>
          </w:p>
        </w:tc>
        <w:tc>
          <w:tcPr>
            <w:tcW w:w="3816" w:type="dxa"/>
            <w:gridSpan w:val="2"/>
            <w:tcBorders>
              <w:top w:val="single" w:sz="8" w:space="0" w:color="000000"/>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1,192,000.00</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1"/>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tcBorders>
              <w:top w:val="nil"/>
              <w:left w:val="nil"/>
              <w:bottom w:val="single" w:sz="8" w:space="0" w:color="000000"/>
              <w:right w:val="nil"/>
            </w:tcBorders>
            <w:shd w:val="clear" w:color="auto" w:fill="auto"/>
            <w:vAlign w:val="center"/>
          </w:tcPr>
          <w:p>
            <w:pPr>
              <w:pStyle w:val="Normal_bcc655b1-2635-4c88-ab26-7c3b98dd15dc"/>
              <w:jc w:val="both"/>
              <w:rPr>
                <w:rFonts w:ascii="宋体" w:eastAsia="宋体" w:hAnsi="宋体" w:cs="宋体" w:hint="eastAsia"/>
                <w:i w:val="0"/>
                <w:iCs w:val="0"/>
                <w:color w:val="000000"/>
                <w:sz w:val="18"/>
                <w:szCs w:val="18"/>
                <w:u w:val="none"/>
              </w:rPr>
            </w:pP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（2）财政专户管理资金</w:t>
            </w:r>
          </w:p>
        </w:tc>
        <w:tc>
          <w:tcPr>
            <w:tcW w:w="3816" w:type="dxa"/>
            <w:gridSpan w:val="2"/>
            <w:tcBorders>
              <w:top w:val="nil"/>
              <w:left w:val="nil"/>
              <w:bottom w:val="single" w:sz="8" w:space="0" w:color="000000"/>
              <w:right w:val="single" w:sz="8"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1"/>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tcBorders>
              <w:top w:val="nil"/>
              <w:left w:val="nil"/>
              <w:bottom w:val="single" w:sz="8" w:space="0" w:color="000000"/>
              <w:right w:val="nil"/>
            </w:tcBorders>
            <w:shd w:val="clear" w:color="auto" w:fill="auto"/>
            <w:vAlign w:val="center"/>
          </w:tcPr>
          <w:p>
            <w:pPr>
              <w:pStyle w:val="Normal_bcc655b1-2635-4c88-ab26-7c3b98dd15dc"/>
              <w:jc w:val="both"/>
              <w:rPr>
                <w:rFonts w:ascii="宋体" w:eastAsia="宋体" w:hAnsi="宋体" w:cs="宋体" w:hint="eastAsia"/>
                <w:i w:val="0"/>
                <w:iCs w:val="0"/>
                <w:color w:val="000000"/>
                <w:sz w:val="18"/>
                <w:szCs w:val="18"/>
                <w:u w:val="none"/>
              </w:rPr>
            </w:pP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（3）单位资金</w:t>
            </w:r>
          </w:p>
        </w:tc>
        <w:tc>
          <w:tcPr>
            <w:tcW w:w="3816" w:type="dxa"/>
            <w:gridSpan w:val="2"/>
            <w:tcBorders>
              <w:top w:val="nil"/>
              <w:left w:val="nil"/>
              <w:bottom w:val="single" w:sz="8" w:space="0" w:color="000000"/>
              <w:right w:val="single" w:sz="8"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1"/>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tcBorders>
              <w:top w:val="nil"/>
              <w:left w:val="nil"/>
              <w:bottom w:val="single" w:sz="8" w:space="0" w:color="000000"/>
              <w:right w:val="nil"/>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2、资金结构：</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（1）基本支出</w:t>
            </w:r>
          </w:p>
        </w:tc>
        <w:tc>
          <w:tcPr>
            <w:tcW w:w="3816" w:type="dxa"/>
            <w:gridSpan w:val="2"/>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567,600.00</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1"/>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tcBorders>
              <w:top w:val="nil"/>
              <w:left w:val="nil"/>
              <w:bottom w:val="single" w:sz="8" w:space="0" w:color="000000"/>
              <w:right w:val="nil"/>
            </w:tcBorders>
            <w:shd w:val="clear" w:color="auto" w:fill="auto"/>
            <w:vAlign w:val="center"/>
          </w:tcPr>
          <w:p>
            <w:pPr>
              <w:pStyle w:val="Normal_bcc655b1-2635-4c88-ab26-7c3b98dd15dc"/>
              <w:jc w:val="left"/>
              <w:rPr>
                <w:rFonts w:ascii="宋体" w:eastAsia="宋体" w:hAnsi="宋体" w:cs="宋体" w:hint="eastAsia"/>
                <w:i w:val="0"/>
                <w:iCs w:val="0"/>
                <w:color w:val="000000"/>
                <w:sz w:val="18"/>
                <w:szCs w:val="18"/>
                <w:u w:val="none"/>
              </w:rPr>
            </w:pP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（2）项目支出</w:t>
            </w:r>
          </w:p>
        </w:tc>
        <w:tc>
          <w:tcPr>
            <w:tcW w:w="3816" w:type="dxa"/>
            <w:gridSpan w:val="2"/>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624,400.00</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1"/>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一级指标</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二级指标</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三级指标</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指标值</w:t>
            </w:r>
          </w:p>
        </w:tc>
        <w:tc>
          <w:tcPr>
            <w:tcW w:w="2904" w:type="dxa"/>
            <w:tcBorders>
              <w:top w:val="single" w:sz="8" w:space="0" w:color="000000"/>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指标值说明</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743"/>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投入管理指标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工作目标管理  </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年度履职目标相关性</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相关</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743"/>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投入管理指标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工作目标管理  </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工作任务科学性</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科学</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743"/>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投入管理指标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工作目标管理  </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绩效指标合理性</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合理</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79"/>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投入管理指标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预算和财务管理  </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预算编制完整性</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完整</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1.部门所有收入是否全部纳入部门预算；2.部门支出预算是否统筹各类资金来源，全部纳入部门预算管理。</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3"/>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投入管理指标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预算和财务管理  </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专项资金细化率</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≥90</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专项资金细化率=（已细化到具体市县和承担单位的资金数/部门参与分配资金总数）×100%。</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95"/>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投入管理指标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预算和财务管理  </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预算执行率</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≥90</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预算执行率=（预算完成数/预算数）×100%。预算完成数指部门实际执行的预算数；预算数指财政部门批复的本年度部门的（调整）预算数。</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27"/>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投入管理指标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预算和财务管理  </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预算调整率</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≤20%</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95"/>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投入管理指标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预算和财务管理  </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结转结余率</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≤20%</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结转结余率=结转结余总额/预算数*100%。结转结余总额是指部门本年度的结转结余资金之和。预算数是指财政部门批复的本年度部门的（调整）预算数。</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3"/>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投入管理指标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预算和财务管理  </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“三公经费”控制率</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≤20%</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“三公经费”控制率=本年度“三公经费”实际支出数/“三公经费”预算数*100%</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95"/>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投入管理指标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预算和财务管理  </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政府采购执行率</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≤20%</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政府采购执行率=（实际政府采购金额/政府采购预算数）×100%。政府采购预算：采购机关根据事业发展计划和行政任务编制的、并经过规定程序批准的年度政府采购计划。</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3"/>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投入管理指标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预算和财务管理  </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决算真实性</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真实</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反映本部门决算工作情况。决算编制数据是否账表一致，即决算报表数据与会计账簿数据是否一致。</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39"/>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投入管理指标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预算和财务管理  </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资金使用合规性</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合规</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959"/>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投入管理指标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预算和财务管理  </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管理制度健全性</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健全</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27"/>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投入管理指标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预算和财务管理  </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预决算信息公开性</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公开</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39"/>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投入管理指标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预算和财务管理  </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资产管理规范性</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规范</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95"/>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投入管理指标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绩效管理  </w:t>
            </w:r>
          </w:p>
        </w:tc>
        <w:tc>
          <w:tcPr>
            <w:tcW w:w="1956" w:type="dxa"/>
            <w:tcBorders>
              <w:top w:val="nil"/>
              <w:left w:val="nil"/>
              <w:bottom w:val="nil"/>
              <w:right w:val="nil"/>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绩效目标编制完成率</w:t>
            </w:r>
          </w:p>
        </w:tc>
        <w:tc>
          <w:tcPr>
            <w:tcW w:w="912"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部门（单位）按要求编制绩效目标的项目数量占应编制绩效目标项目总数的比重。部门目标编制完成率=已完成绩效目标编制项目数量/部门应编制绩效目标项目总数*100%</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95"/>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投入管理指标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绩效管理  </w:t>
            </w:r>
          </w:p>
        </w:tc>
        <w:tc>
          <w:tcPr>
            <w:tcW w:w="1956" w:type="dxa"/>
            <w:tcBorders>
              <w:top w:val="single" w:sz="8" w:space="0" w:color="000000"/>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绩效监控完成率</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部门（单位）按要求实施绩效监控的项目数量占应实施绩效监控项目总数的比重。部门绩效监控完成率=已完成绩效监控项目数量/部门项目总数*100%</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95"/>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投入管理指标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绩效管理  </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绩效自评完成率</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部门（单位）按要求实施绩效自评的项目数量占应实施绩效自评项目总数的比重。部门绩效自评完成率=已完成评价项目数量/部门项目总数*100%</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79"/>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投入管理指标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绩效管理  </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部门绩效评价完成率</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部门重点绩效评价项目评价完成情况。部门绩效评价完成率=已完成评价项目数量/部门重点绩效评价项目数*100%</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95"/>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投入管理指标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绩效管理  </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评价结果应用率</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绩效监控、单位自评、部门绩效评价、财政重点绩效评价结果应用情况。评价结果应用率=评价提出的意见建议采纳数/提出的意见建议总数*100%</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1"/>
        </w:trPr>
        <w:tc>
          <w:tcPr>
            <w:tcW w:w="1236" w:type="dxa"/>
            <w:vMerge w:val="restart"/>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产出指标  </w:t>
            </w:r>
          </w:p>
        </w:tc>
        <w:tc>
          <w:tcPr>
            <w:tcW w:w="1320" w:type="dxa"/>
            <w:tcBorders>
              <w:top w:val="nil"/>
              <w:left w:val="nil"/>
              <w:bottom w:val="nil"/>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重点工作任务</w:t>
            </w:r>
          </w:p>
        </w:tc>
        <w:tc>
          <w:tcPr>
            <w:tcW w:w="1956" w:type="dxa"/>
            <w:vMerge w:val="restart"/>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重点工作计划完成率</w:t>
            </w:r>
          </w:p>
        </w:tc>
        <w:tc>
          <w:tcPr>
            <w:tcW w:w="912" w:type="dxa"/>
            <w:vMerge w:val="restart"/>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w="2904" w:type="dxa"/>
            <w:vMerge w:val="restart"/>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反映重点工作计划完成率</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1"/>
        </w:trPr>
        <w:tc>
          <w:tcPr>
            <w:tcW w:w="1236" w:type="dxa"/>
            <w:vMerge/>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完成</w:t>
            </w:r>
          </w:p>
        </w:tc>
        <w:tc>
          <w:tcPr>
            <w:tcW w:w="1956" w:type="dxa"/>
            <w:vMerge/>
            <w:tcBorders>
              <w:top w:val="nil"/>
              <w:left w:val="nil"/>
              <w:bottom w:val="single" w:sz="8" w:space="0" w:color="000000"/>
              <w:right w:val="single" w:sz="8" w:space="0" w:color="000000"/>
            </w:tcBorders>
            <w:shd w:val="clear" w:color="auto" w:fill="auto"/>
            <w:vAlign w:val="center"/>
          </w:tcPr>
          <w:p>
            <w:pPr>
              <w:pStyle w:val="Normal_bcc655b1-2635-4c88-ab26-7c3b98dd15dc"/>
              <w:jc w:val="left"/>
              <w:rPr>
                <w:rFonts w:ascii="宋体" w:eastAsia="宋体" w:hAnsi="宋体" w:cs="宋体" w:hint="eastAsia"/>
                <w:i w:val="0"/>
                <w:iCs w:val="0"/>
                <w:color w:val="000000"/>
                <w:sz w:val="18"/>
                <w:szCs w:val="18"/>
                <w:u w:val="none"/>
              </w:rPr>
            </w:pPr>
          </w:p>
        </w:tc>
        <w:tc>
          <w:tcPr>
            <w:tcW w:w="912" w:type="dxa"/>
            <w:vMerge/>
            <w:tcBorders>
              <w:top w:val="nil"/>
              <w:left w:val="nil"/>
              <w:bottom w:val="single" w:sz="8" w:space="0" w:color="000000"/>
              <w:right w:val="single" w:sz="8" w:space="0" w:color="000000"/>
            </w:tcBorders>
            <w:shd w:val="clear" w:color="auto" w:fill="auto"/>
            <w:vAlign w:val="center"/>
          </w:tcPr>
          <w:p>
            <w:pPr>
              <w:pStyle w:val="Normal_bcc655b1-2635-4c88-ab26-7c3b98dd15dc"/>
              <w:jc w:val="center"/>
              <w:rPr>
                <w:rFonts w:ascii="黑体" w:eastAsia="黑体" w:hAnsi="宋体" w:cs="黑体" w:hint="eastAsia"/>
                <w:i w:val="0"/>
                <w:iCs w:val="0"/>
                <w:color w:val="000000"/>
                <w:sz w:val="18"/>
                <w:szCs w:val="18"/>
                <w:u w:val="none"/>
              </w:rPr>
            </w:pPr>
          </w:p>
        </w:tc>
        <w:tc>
          <w:tcPr>
            <w:tcW w:w="2904" w:type="dxa"/>
            <w:vMerge/>
            <w:tcBorders>
              <w:top w:val="nil"/>
              <w:left w:val="nil"/>
              <w:bottom w:val="single" w:sz="8" w:space="0" w:color="000000"/>
              <w:right w:val="single" w:sz="8" w:space="0" w:color="000000"/>
            </w:tcBorders>
            <w:shd w:val="clear" w:color="auto" w:fill="auto"/>
            <w:vAlign w:val="center"/>
          </w:tcPr>
          <w:p>
            <w:pPr>
              <w:pStyle w:val="Normal_bcc655b1-2635-4c88-ab26-7c3b98dd15dc"/>
              <w:jc w:val="left"/>
              <w:rPr>
                <w:rFonts w:ascii="宋体" w:eastAsia="宋体" w:hAnsi="宋体" w:cs="宋体"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1"/>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履职目标实现</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年度工作目标实现率</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反映部门履职目标实现情况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1"/>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效益指标  </w:t>
            </w: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履职效益</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社会效益</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提升</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反映部门履职为社会产生的贡献</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1"/>
        </w:trPr>
        <w:tc>
          <w:tcPr>
            <w:tcW w:w="1236" w:type="dxa"/>
            <w:tcBorders>
              <w:top w:val="nil"/>
              <w:left w:val="single" w:sz="8" w:space="0" w:color="000000"/>
              <w:bottom w:val="single" w:sz="8" w:space="0" w:color="000000"/>
              <w:right w:val="single" w:sz="8"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1320"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满意度</w:t>
            </w:r>
          </w:p>
        </w:tc>
        <w:tc>
          <w:tcPr>
            <w:tcW w:w="1956"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社会公众满意度</w:t>
            </w:r>
          </w:p>
        </w:tc>
        <w:tc>
          <w:tcPr>
            <w:tcW w:w="912"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≥96%</w:t>
            </w:r>
          </w:p>
        </w:tc>
        <w:tc>
          <w:tcPr>
            <w:tcW w:w="2904" w:type="dxa"/>
            <w:tcBorders>
              <w:top w:val="nil"/>
              <w:left w:val="nil"/>
              <w:bottom w:val="single" w:sz="8" w:space="0" w:color="000000"/>
              <w:right w:val="single" w:sz="8"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反应满意度的完成情况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部门（单位）名称  </w:t>
            </w:r>
          </w:p>
        </w:tc>
        <w:tc>
          <w:tcPr>
            <w:tcW w:w="5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三门峡市陕州区蒲剧保护传承中心</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任务名称</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主要内容</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2024年全区13个乡镇送戏下乡200场</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2024年全区13个乡镇送戏下乡200场</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在职和退休人员2024年12个月人员经费</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在职和退休人员2024年12个月人员经费</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舞台艺术送基层10场</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舞台艺术送基层10场</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预算情况  </w:t>
            </w: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部门预算总额（万元）</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等线" w:eastAsia="等线" w:hAnsi="等线" w:cs="等线"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1、资金来源：（1）政府预算资金</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等线" w:eastAsia="等线" w:hAnsi="等线" w:cs="等线"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       （2）财政专户管理资金</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等线" w:eastAsia="等线" w:hAnsi="等线" w:cs="等线"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       （3）单位资金</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397.5</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2、资金结构：（1）基本支出</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397.5</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3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       （2）项目支出</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120</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一级指标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二级指标</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三级指标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指标值</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指标值说明</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工作目标管理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年度履职目标相关性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相关</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反映部门年度履职目标相关性</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工作目标管理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工作任务科学性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科学</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反映部门工作任务科学性</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工作目标管理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绩效指标合理性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合理</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反映部门绩效指标合理性</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预算编制完整性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完整</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反映部门预算编制完整性</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专项资金细化率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反映部门专项资金细化率</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预算执行率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反映预算执情况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预算调整率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反映预算调情况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结转结余率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≤5%</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反映结转结余情况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“三公经费”控制率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＞90%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反映“三公经费”控情况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6"/>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政府采购执行率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政府采购金额为0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反映府釆购执行情况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决算真实性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真实</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反映部门决算情况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资金使用合规性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合规</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反映资金使用合规与否</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管理制度健全性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健全</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反映部门管理制度情况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预决算信息公开性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公开</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反映部门预决算信息公开性情况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预算和财务管理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资产管理规范性</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规范</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反映部门资产管理情况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绩效监控完成率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反映绩效管理绩效监控情况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绩效自评完成率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反映绩效管理绩效自评情况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部门绩效评价完成率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反映绩效部门绩效评价情况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投入管理指标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绩效管理</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评价结果应用率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反映绩效评价结果应用情况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6"/>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产出指标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重点工作任务完成</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重点工作1计划完成率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反映部门重点工作完成情况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产出指标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重点工作2计划完成率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产出指标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6"/>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产出指标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履职目标实现</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年度工作目标1实现率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反映部门履职目标</w:t>
            </w:r>
            <w:r>
              <w:rPr/>
              <w:br/>
            </w:r>
            <w:r>
              <w:rPr>
                <w:rFonts w:ascii="等线" w:eastAsia="等线" w:hAnsi="等线" w:cs="等线" w:hint="eastAsia"/>
                <w:i w:val="0"/>
                <w:iCs w:val="0"/>
                <w:color w:val="000000"/>
                <w:kern w:val="0"/>
                <w:sz w:val="18"/>
                <w:szCs w:val="18"/>
                <w:u w:val="none"/>
                <w:bdr w:val="none" w:sz="0" w:space="0" w:color="auto"/>
                <w:lang w:val="en-US" w:eastAsia="zh-CN"/>
              </w:rPr>
              <w:t xml:space="preserve">实现情况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产出指标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年度工作目标2实现率</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产出指标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效益指标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履职效益</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经济效益</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6"/>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效益指标</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社会效益</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100%</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反映部门履职目标</w:t>
            </w:r>
            <w:r>
              <w:rPr/>
              <w:br/>
            </w:r>
            <w:r>
              <w:rPr>
                <w:rFonts w:ascii="等线" w:eastAsia="等线" w:hAnsi="等线" w:cs="等线" w:hint="eastAsia"/>
                <w:i w:val="0"/>
                <w:iCs w:val="0"/>
                <w:color w:val="000000"/>
                <w:kern w:val="0"/>
                <w:sz w:val="18"/>
                <w:szCs w:val="18"/>
                <w:u w:val="none"/>
                <w:bdr w:val="none" w:sz="0" w:space="0" w:color="auto"/>
                <w:lang w:val="en-US" w:eastAsia="zh-CN"/>
              </w:rPr>
              <w:t xml:space="preserve">实现情况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满意度</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社会公众满意度</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97%</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反映满意度的完成情况</w:t>
            </w:r>
          </w:p>
        </w:tc>
      </w:tr>
      <w:tr>
        <w:tblPrEx>
          <w:tblW w:w="832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8"/>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等线" w:eastAsia="等线" w:hAnsi="等线" w:cs="等线" w:hint="eastAsia"/>
                <w:i w:val="0"/>
                <w:iCs w:val="0"/>
                <w:color w:val="000000"/>
                <w:sz w:val="18"/>
                <w:szCs w:val="18"/>
                <w:u w:val="non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服务对象满意度</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97%</w:t>
            </w:r>
          </w:p>
        </w:tc>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等线" w:eastAsia="等线" w:hAnsi="等线" w:cs="等线" w:hint="eastAsia"/>
                <w:i w:val="0"/>
                <w:iCs w:val="0"/>
                <w:color w:val="000000"/>
                <w:sz w:val="18"/>
                <w:szCs w:val="18"/>
                <w:u w:val="none"/>
              </w:rPr>
            </w:pPr>
            <w:r>
              <w:rPr>
                <w:rFonts w:ascii="等线" w:eastAsia="等线" w:hAnsi="等线" w:cs="等线" w:hint="eastAsia"/>
                <w:i w:val="0"/>
                <w:iCs w:val="0"/>
                <w:color w:val="000000"/>
                <w:kern w:val="0"/>
                <w:sz w:val="18"/>
                <w:szCs w:val="18"/>
                <w:u w:val="none"/>
                <w:bdr w:val="none" w:sz="0" w:space="0" w:color="auto"/>
                <w:lang w:val="en-US" w:eastAsia="zh-CN"/>
              </w:rPr>
              <w:t xml:space="preserve">反映满意度的完成情况</w:t>
            </w:r>
          </w:p>
        </w:tc>
      </w:tr>
    </w:tbl>
    <w:p>
      <w:pPr>
        <w:pStyle w:val="Normal_bcc655b1-2635-4c88-ab26-7c3b98dd15dc"/>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2106"/>
        <w:gridCol w:w="1071"/>
        <w:gridCol w:w="756"/>
        <w:gridCol w:w="756"/>
        <w:gridCol w:w="493"/>
        <w:gridCol w:w="505"/>
        <w:gridCol w:w="1083"/>
        <w:gridCol w:w="846"/>
        <w:gridCol w:w="1154"/>
        <w:gridCol w:w="846"/>
        <w:gridCol w:w="1091"/>
        <w:gridCol w:w="1182"/>
        <w:gridCol w:w="1091"/>
        <w:gridCol w:w="119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预算11表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14"/>
            <w:tcBorders>
              <w:top w:val="nil"/>
              <w:left w:val="nil"/>
              <w:bottom w:val="nil"/>
              <w:right w:val="nil"/>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2024年单位预算项目绩效目标汇总表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单位名称：三门峡市陕州区文化广电和旅游局汇总</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单位编码（项目编码）</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项目单位 （项目名称）</w:t>
            </w:r>
          </w:p>
        </w:tc>
        <w:tc>
          <w:tcPr>
            <w:tcW w:w="91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项目金额（万元）</w:t>
            </w:r>
          </w:p>
        </w:tc>
        <w:tc>
          <w:tcPr>
            <w:tcW w:w="3177"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916"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6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  </w:t>
            </w:r>
          </w:p>
        </w:tc>
        <w:tc>
          <w:tcPr>
            <w:tcW w:w="6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9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9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  </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资金总额</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政府预算资金</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799.22</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799.22</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214</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lef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184.20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184.20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214001</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三门峡市陕州区文化广电和旅游局</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184.20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184.20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411203240000000015239</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2024旅游宣传工作经费</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旅游宣传工作经费</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≤120万</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旅游推介会</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≥2次</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带动市内交通运输业、酒店业、餐饮业、零售业、旅游业等相关产业的发展。</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显著</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旅游品牌知名度和影响力的范围</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提升</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全方位展示陕州文旅形象</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显著</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2023年</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改进旅游方式，做好生态旅游规划，促进陕州旅游地生态华宁良性循环</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显著</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411203240000000015242</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2024乡镇文化业务运行经费</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15.60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15.60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每个社区（13个）运行经费</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3000元</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惠及群众</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≥19万</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满足群众精神文化生活需求</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显著</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每个行政村(256个）运行经费</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3000元</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提升服务公共文化服务体系建设工作水平</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显著</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每个（13个）乡镇运行经费</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2023年</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2023年</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411203240000000015244</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2024第二批选调下乡人员工资及津补贴</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37.60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37.60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人员工资等</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足额</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工资</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足额</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人员社保</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足额</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人员经费</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足额</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411203240000000052023</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旅游工作发展经费</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两馆周一至周日全程免费开放</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90小时</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满足群众文化生活</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显著</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群众满意度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两馆开放率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2024全年</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214003</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三门峡市陕州区蒲剧保护传承中心</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397.50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397.50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411203240000000000404</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2024年戏曲文化下乡</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开展送戏下乡文化活动进</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开展送戏下乡文化活动进社</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≥200场次</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提高群众文化生活质量，</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群众满意</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按要求保质保量</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开展送戏下乡文化活动进农</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411203240000000000405</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2024年舞台艺术送基层</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舞台艺术送基层</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送基层</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≥10场次</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明显提高</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群众满意</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保质保量</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≥98场次</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11月底完成</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≥99%</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411203240000000000406</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2024年在职和退休人员费用</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151.50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151.50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2024年在职人员工资及退休人员补贴</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≥151.5万元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20在职人员工资及退休人员补贴</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≥151.5万元</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及时发放</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满足职工及退休人员</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保质保量完成</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按时</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12月底完成</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411203230000000002837</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戏曲文化下乡</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411203230000000002839</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舞台艺术送基层</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214005</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三门峡市陕州区图书馆</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411203230000000002823</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图书馆免费开放区级配套运行经费</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411203230000000002824</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文化共享工程支中心运行经费</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411203230000000002826</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图书报刊购置专项经费</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411203240000000000401</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2024年图书馆免费开放运行经费区级配套</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免费开放服务主要用于数字图书馆的宽带专线费、服务器设备等费用的支出</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指标1：全馆网络监控</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≥6个</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免费开放服务效能</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全民阅读推广对社会稳定和谐文明发展起到了显著提高</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指标1：群众对免费开放机</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指标2：数字图书馆宽带专线</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≥2条</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指标3：服务器设备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≥1台</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指标4：免费开放采暖面积</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≥1185平方米</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指标1：免费开放服务项目：</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指标2：免费开放服务水平</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≥10项</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指标1：免费开放时长</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≥56小时</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指标2：免费开放服务项目</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按年规划时间节点完成</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411203240000000000402</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2024年图书报刊购置专项经费</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购买图书1000册，</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指标1：购置图书册数</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≥1000册</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读者群体日益增多</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图书报刊受到了读</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指标2：订阅报刊种类</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≥68种</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满足读者需求，受</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图书、报刊购置的</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411203240000000000403</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2024年文化共享工程支中心运行经费</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安排基层网点维护、业务辅导、机房维修维护等支出，使机房正常运行</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文化资源共享工程网点个数</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≥256个</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指标2：拓展了图书馆的服务范围，有效地</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全区各基层网点满意率高</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对全区各乡镇服务</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全覆盖</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指标1：先进模范人物、文化教育广大群众，提高人民群众的思想道德素质和科学文化素质。</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提高了各乡镇服务点的业务素质。</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214004</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三门峡市陕州区文化馆</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28.00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28.00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411203240000000000802</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2024年年国家非物质文化遗产保护专项资金</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完成传承人开展研究、传习、传播活动费用 ≥ 15 万元 社会成本指标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传承人补助资金人数</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≥75人</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传承人开展的研究、</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开展调查研究、资料收集、传徒授艺、宣传展示活动质量</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完成研究、传习、传播活动 定性 及时 效益指标 经济效益指标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411203240000000000810</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2024年文化馆免费开放资金</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公共空间设施场地按照要求免费开放</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免费开放项目9个</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≥9个</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无经济效益指标</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无经济效益指标</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无社会成本指标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无社会成本</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实体馆到馆人数、服务水平和能力逐年提高</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提升了全民素质教育，提高了公共文化服务的均等性等</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无生态环境指标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无生态环境指标</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按年规划时间节点完成</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无生态效益指标</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无生态效益指标</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411203240000000000811</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2024年群众文化活动经费</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开展的群众文化活</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指开展群众文化活</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≥12次</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组织的各种群众文化</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组织群众文化活动</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开展的群众文化活动</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214006</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三门峡市陕州区文物保护服务中心</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97.08</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97.08</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411203240000000014457</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2024年文物保护费</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不可移动文物调查保护</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≥40个</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提高文物保护力度</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不可移动文物现状</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≥40个</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2024年全年</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411203240000000014458</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2024年自收自支人员经费</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人员经费</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自收自支人员数</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4人</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无经济效益</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按要求保质保量</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411203240000000014467</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2024年崤函古道保护管理经费</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43.00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43.00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崤函古道保护经费</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43万元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接待次数</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≥10次</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提升景区环境</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安全事故发生率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≤3次</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2024年全年</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411203240000000014469</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2024年空相寺景区办公费</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办公经费</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熊耳山空相寺</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1座</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正常运行</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正常</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安全事故发生率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≤3次</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411203240000000015212</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2024年第二批选调人员经费</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10.08</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10.08</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发放人员经费</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无经济效益</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按要求保质保量</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≥98%</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规定时间发放</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及时准确</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214007</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三门峡市陕州区温泉健康产业服务发展中心</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62.44</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62.44</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411203240000000014480</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预算管理人员工资</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52.44</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52.44</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总金额</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≤52.44万元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单位人数</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≤4人</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促进工作正常开展</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促进</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单位职工满意度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资金发放及时率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411203240000000014482</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绿化、亮化、维修费</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总金额</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≤10万元</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绿化、亮化、基础设施维修</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改善景区基础设施</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游客满意度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合格</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定性</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cc655b1-2635-4c88-ab26-7c3b98dd15dc"/>
              <w:rPr>
                <w:rFonts w:ascii="宋体" w:eastAsia="宋体" w:hAnsi="宋体" w:cs="宋体" w:hint="eastAsia"/>
                <w:i w:val="0"/>
                <w:iCs w:val="0"/>
                <w:color w:val="000000"/>
                <w:sz w:val="18"/>
                <w:szCs w:val="18"/>
                <w:u w:val="none"/>
              </w:rPr>
            </w:pPr>
          </w:p>
        </w:tc>
      </w:tr>
    </w:tbl>
    <w:p>
      <w:pPr>
        <w:pStyle w:val="Normal_bcc655b1-2635-4c88-ab26-7c3b98dd15dc"/>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4"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41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bcc655b1-2635-4c88-ab26-7c3b98dd15dc">
    <w:name w:val="Normal_bcc655b1-2635-4c88-ab26-7c3b98dd15dc"/>
    <w:autoRedefine/>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