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eastAsia="仿宋_GB2312"/>
          <w:spacing w:val="17"/>
          <w:sz w:val="36"/>
          <w:szCs w:val="36"/>
        </w:rPr>
      </w:pPr>
      <w:r>
        <w:rPr>
          <w:rFonts w:hint="eastAsia" w:eastAsia="仿宋_GB2312"/>
          <w:spacing w:val="17"/>
          <w:sz w:val="36"/>
          <w:szCs w:val="36"/>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仿宋_GB2312"/>
          <w:spacing w:val="17"/>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仿宋_GB2312"/>
          <w:spacing w:val="17"/>
          <w:sz w:val="36"/>
          <w:szCs w:val="36"/>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仿宋_GB2312"/>
          <w:spacing w:val="17"/>
          <w:sz w:val="36"/>
          <w:szCs w:val="36"/>
        </w:rPr>
      </w:pPr>
    </w:p>
    <w:p>
      <w:pPr>
        <w:spacing w:line="640" w:lineRule="atLeast"/>
        <w:ind w:firstLine="2560" w:firstLineChars="800"/>
        <w:jc w:val="both"/>
        <w:rPr>
          <w:rFonts w:hint="eastAsia" w:ascii="仿宋_GB2312" w:hAnsi="宋体" w:eastAsia="仿宋_GB2312"/>
          <w:sz w:val="32"/>
        </w:rPr>
      </w:pPr>
    </w:p>
    <w:p>
      <w:pPr>
        <w:spacing w:line="640" w:lineRule="atLeast"/>
        <w:ind w:firstLine="2560" w:firstLineChars="800"/>
        <w:jc w:val="both"/>
        <w:rPr>
          <w:rFonts w:hint="eastAsia" w:ascii="仿宋_GB2312" w:hAnsi="宋体" w:eastAsia="仿宋_GB2312"/>
          <w:sz w:val="32"/>
        </w:rPr>
      </w:pPr>
    </w:p>
    <w:p>
      <w:pPr>
        <w:spacing w:line="640" w:lineRule="atLeast"/>
        <w:ind w:firstLine="2560" w:firstLineChars="800"/>
        <w:jc w:val="both"/>
        <w:rPr>
          <w:rFonts w:hint="eastAsia" w:ascii="仿宋_GB2312" w:hAnsi="宋体" w:eastAsia="仿宋_GB2312"/>
          <w:sz w:val="32"/>
        </w:rPr>
      </w:pPr>
    </w:p>
    <w:p>
      <w:pPr>
        <w:spacing w:line="640" w:lineRule="atLeast"/>
        <w:ind w:firstLine="2560" w:firstLineChars="800"/>
        <w:jc w:val="both"/>
        <w:rPr>
          <w:rFonts w:hint="eastAsia" w:ascii="仿宋_GB2312" w:hAnsi="宋体" w:eastAsia="仿宋_GB2312"/>
          <w:spacing w:val="17"/>
          <w:sz w:val="32"/>
          <w:lang w:val="en-US" w:eastAsia="zh-CN"/>
        </w:rPr>
      </w:pPr>
      <w:bookmarkStart w:id="0" w:name="_GoBack"/>
      <w:bookmarkEnd w:id="0"/>
      <w:r>
        <w:rPr>
          <w:rFonts w:hint="eastAsia" w:ascii="仿宋_GB2312" w:hAnsi="宋体" w:eastAsia="仿宋_GB2312"/>
          <w:sz w:val="32"/>
        </w:rPr>
        <w:t>三陕</w:t>
      </w:r>
      <w:r>
        <w:rPr>
          <w:rFonts w:hint="eastAsia" w:ascii="仿宋_GB2312" w:hAnsi="宋体" w:eastAsia="仿宋_GB2312"/>
          <w:sz w:val="32"/>
          <w:lang w:eastAsia="zh-CN"/>
        </w:rPr>
        <w:t>信组</w:t>
      </w:r>
      <w:r>
        <w:rPr>
          <w:rFonts w:hint="eastAsia" w:ascii="仿宋_GB2312" w:hAnsi="宋体" w:eastAsia="仿宋_GB2312"/>
          <w:sz w:val="32"/>
        </w:rPr>
        <w:t>〔20</w:t>
      </w:r>
      <w:r>
        <w:rPr>
          <w:rFonts w:hint="eastAsia" w:ascii="仿宋_GB2312" w:hAnsi="宋体" w:eastAsia="仿宋_GB2312"/>
          <w:sz w:val="32"/>
          <w:lang w:val="en-US" w:eastAsia="zh-CN"/>
        </w:rPr>
        <w:t>23</w:t>
      </w:r>
      <w:r>
        <w:rPr>
          <w:rFonts w:hint="eastAsia" w:ascii="仿宋_GB2312" w:hAnsi="宋体" w:eastAsia="仿宋_GB2312"/>
          <w:sz w:val="32"/>
        </w:rPr>
        <w:t>〕</w:t>
      </w:r>
      <w:r>
        <w:rPr>
          <w:rFonts w:hint="eastAsia" w:ascii="仿宋_GB2312" w:hAnsi="宋体" w:eastAsia="仿宋_GB2312"/>
          <w:sz w:val="32"/>
          <w:lang w:val="en-US" w:eastAsia="zh-CN"/>
        </w:rPr>
        <w:t>33</w:t>
      </w:r>
      <w:r>
        <w:rPr>
          <w:rFonts w:hint="eastAsia" w:ascii="仿宋_GB2312" w:hAnsi="宋体" w:eastAsia="仿宋_GB2312"/>
          <w:sz w:val="32"/>
        </w:rPr>
        <w:t>号</w:t>
      </w:r>
    </w:p>
    <w:p>
      <w:pPr>
        <w:spacing w:line="686" w:lineRule="atLeast"/>
        <w:rPr>
          <w:rFonts w:hint="eastAsia" w:eastAsia="仿宋_GB2312"/>
          <w:spacing w:val="17"/>
          <w:sz w:val="32"/>
        </w:rPr>
      </w:pPr>
    </w:p>
    <w:p>
      <w:pPr>
        <w:ind w:firstLine="442" w:firstLineChars="10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陕州区信访局</w:t>
      </w:r>
      <w:r>
        <w:rPr>
          <w:rFonts w:hint="eastAsia" w:asciiTheme="majorEastAsia" w:hAnsiTheme="majorEastAsia" w:eastAsiaTheme="majorEastAsia" w:cstheme="majorEastAsia"/>
          <w:b/>
          <w:bCs/>
          <w:sz w:val="44"/>
          <w:szCs w:val="44"/>
          <w:lang w:val="en-US" w:eastAsia="zh-CN"/>
        </w:rPr>
        <w:t>关于</w:t>
      </w:r>
      <w:r>
        <w:rPr>
          <w:rFonts w:hint="eastAsia" w:asciiTheme="majorEastAsia" w:hAnsiTheme="majorEastAsia" w:eastAsiaTheme="majorEastAsia" w:cstheme="majorEastAsia"/>
          <w:b/>
          <w:bCs/>
          <w:sz w:val="44"/>
          <w:szCs w:val="44"/>
          <w:lang w:eastAsia="zh-CN"/>
        </w:rPr>
        <w:t>法治政府建设工作</w:t>
      </w:r>
    </w:p>
    <w:p>
      <w:pPr>
        <w:ind w:firstLine="442" w:firstLineChars="10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情况报告</w:t>
      </w:r>
    </w:p>
    <w:p>
      <w:pPr>
        <w:ind w:firstLine="442" w:firstLineChars="100"/>
        <w:jc w:val="center"/>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陕州区</w:t>
      </w:r>
      <w:r>
        <w:rPr>
          <w:rFonts w:hint="eastAsia" w:ascii="仿宋_GB2312" w:hAnsi="仿宋_GB2312" w:eastAsia="仿宋_GB2312" w:cs="仿宋_GB2312"/>
          <w:sz w:val="32"/>
          <w:szCs w:val="32"/>
        </w:rPr>
        <w:t>信访</w:t>
      </w:r>
      <w:r>
        <w:rPr>
          <w:rFonts w:hint="eastAsia" w:ascii="仿宋_GB2312" w:hAnsi="仿宋_GB2312" w:eastAsia="仿宋_GB2312" w:cs="仿宋_GB2312"/>
          <w:sz w:val="32"/>
          <w:szCs w:val="32"/>
          <w:lang w:eastAsia="zh-CN"/>
        </w:rPr>
        <w:t>按照《三门峡陕州区法治政府建设实施方案（</w:t>
      </w:r>
      <w:r>
        <w:rPr>
          <w:rFonts w:hint="eastAsia" w:ascii="仿宋_GB2312" w:hAnsi="仿宋_GB2312" w:eastAsia="仿宋_GB2312" w:cs="仿宋_GB2312"/>
          <w:sz w:val="32"/>
          <w:szCs w:val="32"/>
          <w:lang w:val="en-US" w:eastAsia="zh-CN"/>
        </w:rPr>
        <w:t>2023-2025</w:t>
      </w:r>
      <w:r>
        <w:rPr>
          <w:rFonts w:hint="eastAsia" w:ascii="仿宋_GB2312" w:hAnsi="仿宋_GB2312" w:eastAsia="仿宋_GB2312" w:cs="仿宋_GB2312"/>
          <w:sz w:val="32"/>
          <w:szCs w:val="32"/>
          <w:lang w:eastAsia="zh-CN"/>
        </w:rPr>
        <w:t>）年》要求，结合本职工作，</w:t>
      </w:r>
      <w:r>
        <w:rPr>
          <w:rFonts w:hint="eastAsia" w:ascii="仿宋_GB2312" w:hAnsi="仿宋_GB2312" w:eastAsia="仿宋_GB2312" w:cs="仿宋_GB2312"/>
          <w:sz w:val="32"/>
          <w:szCs w:val="32"/>
        </w:rPr>
        <w:t>立足</w:t>
      </w:r>
      <w:r>
        <w:rPr>
          <w:rFonts w:hint="eastAsia" w:ascii="仿宋_GB2312" w:hAnsi="仿宋_GB2312" w:eastAsia="仿宋_GB2312" w:cs="仿宋_GB2312"/>
          <w:sz w:val="32"/>
          <w:szCs w:val="32"/>
          <w:lang w:eastAsia="zh-CN"/>
        </w:rPr>
        <w:t>深入学习贯彻习近平总书记关于加强和改进人民信访工作的重要思想，落实中央、省、市关于信访的决策部署，牢记为民解难、为党分忧的政治责任，突出控新治旧防变，深入开展《信访工作条例》落实年、重点信访问题专项治理、大督查，大接访、大调研活动活动，推进政治建设、信访问题源头治理、化解信访积案常态化</w:t>
      </w:r>
      <w:r>
        <w:rPr>
          <w:rFonts w:hint="eastAsia" w:ascii="仿宋_GB2312" w:hAnsi="仿宋_GB2312" w:eastAsia="仿宋_GB2312" w:cs="仿宋_GB2312"/>
          <w:sz w:val="32"/>
          <w:szCs w:val="32"/>
        </w:rPr>
        <w:t>职能，强化责任担当，坚持运用法治思维和法治方式开展信访工作、化解信访矛盾，依法理顺信访秩序、提高治访水平、规范信访行为。现将20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年度信访局法治政府建设工作情况报告如下：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i w:val="0"/>
          <w:caps w:val="0"/>
          <w:color w:val="242424"/>
          <w:spacing w:val="0"/>
          <w:sz w:val="32"/>
          <w:szCs w:val="32"/>
          <w:shd w:val="clear" w:fill="FFFFFF"/>
          <w:vertAlign w:val="baseline"/>
          <w:lang w:eastAsia="zh-CN"/>
        </w:rPr>
      </w:pPr>
      <w:r>
        <w:rPr>
          <w:rFonts w:hint="eastAsia" w:ascii="黑体" w:hAnsi="黑体" w:eastAsia="黑体" w:cs="黑体"/>
          <w:b/>
          <w:bCs/>
          <w:sz w:val="32"/>
          <w:szCs w:val="32"/>
        </w:rPr>
        <w:t>一、工作开展情况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baseline"/>
        <w:rPr>
          <w:rFonts w:hint="eastAsia" w:ascii="楷体" w:hAnsi="楷体" w:eastAsia="楷体" w:cs="楷体"/>
          <w:b/>
          <w:bCs/>
          <w:i w:val="0"/>
          <w:caps w:val="0"/>
          <w:color w:val="242424"/>
          <w:spacing w:val="0"/>
          <w:sz w:val="32"/>
          <w:szCs w:val="32"/>
          <w:shd w:val="clear" w:fill="FFFFFF"/>
          <w:vertAlign w:val="baseline"/>
        </w:rPr>
      </w:pPr>
      <w:r>
        <w:rPr>
          <w:rFonts w:hint="eastAsia" w:ascii="楷体" w:hAnsi="楷体" w:eastAsia="楷体" w:cs="楷体"/>
          <w:b/>
          <w:bCs/>
          <w:i w:val="0"/>
          <w:caps w:val="0"/>
          <w:color w:val="242424"/>
          <w:spacing w:val="0"/>
          <w:sz w:val="32"/>
          <w:szCs w:val="32"/>
          <w:shd w:val="clear" w:fill="FFFFFF"/>
          <w:vertAlign w:val="baseline"/>
          <w:lang w:eastAsia="zh-CN"/>
        </w:rPr>
        <w:t>（一）加强学习，</w:t>
      </w:r>
      <w:r>
        <w:rPr>
          <w:rFonts w:hint="eastAsia" w:ascii="楷体" w:hAnsi="楷体" w:eastAsia="楷体" w:cs="楷体"/>
          <w:b/>
          <w:bCs/>
          <w:i w:val="0"/>
          <w:caps w:val="0"/>
          <w:color w:val="242424"/>
          <w:spacing w:val="0"/>
          <w:sz w:val="32"/>
          <w:szCs w:val="32"/>
          <w:shd w:val="clear" w:fill="FFFFFF"/>
          <w:vertAlign w:val="baseline"/>
        </w:rPr>
        <w:t>高位</w:t>
      </w:r>
      <w:r>
        <w:rPr>
          <w:rFonts w:hint="eastAsia" w:ascii="楷体" w:hAnsi="楷体" w:eastAsia="楷体" w:cs="楷体"/>
          <w:b/>
          <w:bCs/>
          <w:i w:val="0"/>
          <w:caps w:val="0"/>
          <w:color w:val="242424"/>
          <w:spacing w:val="0"/>
          <w:sz w:val="32"/>
          <w:szCs w:val="32"/>
          <w:shd w:val="clear" w:fill="FFFFFF"/>
          <w:vertAlign w:val="baseline"/>
          <w:lang w:eastAsia="zh-CN"/>
        </w:rPr>
        <w:t>推动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坚决贯彻习近平总书记关于加强和改进人民信访工作的重要思想，</w:t>
      </w:r>
      <w:r>
        <w:rPr>
          <w:rFonts w:hint="eastAsia" w:ascii="仿宋_GB2312" w:hAnsi="仿宋_GB2312" w:eastAsia="仿宋_GB2312" w:cs="仿宋_GB2312"/>
          <w:sz w:val="32"/>
          <w:szCs w:val="32"/>
        </w:rPr>
        <w:t>组织局机关干部学习国家法律法规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依照“谁执法谁普法”工作要求，全面学习宣传以宪法为核心的中国特色社会法律体系，紧紧围绕全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工作大局，重点学习宣传《宪法》</w:t>
      </w:r>
      <w:r>
        <w:rPr>
          <w:rFonts w:hint="eastAsia" w:ascii="仿宋_GB2312" w:hAnsi="仿宋_GB2312" w:eastAsia="仿宋_GB2312" w:cs="仿宋_GB2312"/>
          <w:sz w:val="32"/>
          <w:szCs w:val="32"/>
          <w:lang w:eastAsia="zh-CN"/>
        </w:rPr>
        <w:t>《信访工作条例》</w:t>
      </w:r>
      <w:r>
        <w:rPr>
          <w:rFonts w:hint="eastAsia" w:ascii="仿宋_GB2312" w:hAnsi="仿宋_GB2312" w:eastAsia="仿宋_GB2312" w:cs="仿宋_GB2312"/>
          <w:sz w:val="32"/>
          <w:szCs w:val="32"/>
        </w:rPr>
        <w:t>《行政诉讼法》、《农村土地承包法》、《保密法》等方面法律法规。在</w:t>
      </w:r>
      <w:r>
        <w:rPr>
          <w:rFonts w:hint="eastAsia" w:ascii="仿宋_GB2312" w:hAnsi="仿宋_GB2312" w:eastAsia="仿宋_GB2312" w:cs="仿宋_GB2312"/>
          <w:sz w:val="32"/>
          <w:szCs w:val="32"/>
          <w:lang w:eastAsia="zh-CN"/>
        </w:rPr>
        <w:t>主题教育学习期间，把《坚决维护国家安全和社会稳定》《坚持底线思维，着力防范化解重大风险》纳入机关集中学习内容。</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坚持专班推进，成立了以</w:t>
      </w:r>
      <w:r>
        <w:rPr>
          <w:rFonts w:hint="eastAsia" w:ascii="仿宋_GB2312" w:hAnsi="仿宋_GB2312" w:eastAsia="仿宋_GB2312" w:cs="仿宋_GB2312"/>
          <w:sz w:val="32"/>
          <w:szCs w:val="32"/>
          <w:lang w:eastAsia="zh-CN"/>
        </w:rPr>
        <w:t>信访联席会议召集人为组长</w:t>
      </w:r>
      <w:r>
        <w:rPr>
          <w:rFonts w:hint="eastAsia" w:ascii="仿宋_GB2312" w:hAnsi="仿宋_GB2312" w:eastAsia="仿宋_GB2312" w:cs="仿宋_GB2312"/>
          <w:sz w:val="32"/>
          <w:szCs w:val="32"/>
        </w:rPr>
        <w:t>的法治化工作领导小组，</w:t>
      </w:r>
      <w:r>
        <w:rPr>
          <w:rFonts w:hint="eastAsia" w:ascii="仿宋_GB2312" w:hAnsi="仿宋_GB2312" w:eastAsia="仿宋_GB2312" w:cs="仿宋_GB2312"/>
          <w:sz w:val="32"/>
          <w:szCs w:val="32"/>
          <w:lang w:eastAsia="zh-CN"/>
        </w:rPr>
        <w:t>多次</w:t>
      </w:r>
      <w:r>
        <w:rPr>
          <w:rFonts w:hint="eastAsia" w:ascii="仿宋_GB2312" w:hAnsi="仿宋_GB2312" w:eastAsia="仿宋_GB2312" w:cs="仿宋_GB2312"/>
          <w:sz w:val="32"/>
          <w:szCs w:val="32"/>
        </w:rPr>
        <w:t>召开由公、检、法“三长”参加的信访联席会议，</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压实工作责任，区信访联席会议全面统筹信访法治化建设相关工作，政法委、法院、检察院、公安局</w:t>
      </w:r>
      <w:r>
        <w:rPr>
          <w:rFonts w:hint="eastAsia" w:ascii="仿宋_GB2312" w:hAnsi="仿宋_GB2312" w:eastAsia="仿宋_GB2312" w:cs="仿宋_GB2312"/>
          <w:sz w:val="32"/>
          <w:szCs w:val="32"/>
          <w:lang w:eastAsia="zh-CN"/>
        </w:rPr>
        <w:t>、人社局、住建局、退役军人事务局、信访局</w:t>
      </w:r>
      <w:r>
        <w:rPr>
          <w:rFonts w:hint="eastAsia" w:ascii="仿宋_GB2312" w:hAnsi="仿宋_GB2312" w:eastAsia="仿宋_GB2312" w:cs="仿宋_GB2312"/>
          <w:sz w:val="32"/>
          <w:szCs w:val="32"/>
        </w:rPr>
        <w:t>等单位明确职责、细化分工</w:t>
      </w:r>
      <w:r>
        <w:rPr>
          <w:rFonts w:hint="eastAsia" w:ascii="仿宋_GB2312" w:hAnsi="仿宋_GB2312" w:eastAsia="仿宋_GB2312" w:cs="仿宋_GB2312"/>
          <w:sz w:val="32"/>
          <w:szCs w:val="32"/>
          <w:lang w:eastAsia="zh-CN"/>
        </w:rPr>
        <w:t>，推动信访问题源头治理、信访突出问题及时化解，权利提升信访工作质效</w:t>
      </w:r>
      <w:r>
        <w:rPr>
          <w:rFonts w:hint="eastAsia" w:ascii="仿宋_GB2312" w:hAnsi="仿宋_GB2312" w:eastAsia="仿宋_GB2312" w:cs="仿宋_GB2312"/>
          <w:sz w:val="32"/>
          <w:szCs w:val="32"/>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baseline"/>
        <w:rPr>
          <w:rFonts w:hint="eastAsia" w:ascii="楷体" w:hAnsi="楷体" w:eastAsia="楷体" w:cs="楷体"/>
          <w:b/>
          <w:bCs/>
          <w:i w:val="0"/>
          <w:caps w:val="0"/>
          <w:color w:val="242424"/>
          <w:spacing w:val="0"/>
          <w:sz w:val="32"/>
          <w:szCs w:val="32"/>
          <w:shd w:val="clear" w:fill="FFFFFF"/>
          <w:vertAlign w:val="baseline"/>
          <w:lang w:eastAsia="zh-CN"/>
        </w:rPr>
      </w:pPr>
      <w:r>
        <w:rPr>
          <w:rFonts w:hint="eastAsia" w:ascii="楷体" w:hAnsi="楷体" w:eastAsia="楷体" w:cs="楷体"/>
          <w:b/>
          <w:bCs/>
          <w:i w:val="0"/>
          <w:caps w:val="0"/>
          <w:color w:val="242424"/>
          <w:spacing w:val="0"/>
          <w:sz w:val="32"/>
          <w:szCs w:val="32"/>
          <w:shd w:val="clear" w:fill="FFFFFF"/>
          <w:vertAlign w:val="baseline"/>
          <w:lang w:eastAsia="zh-CN"/>
        </w:rPr>
        <w:t>（二）切入基点，夯实根基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b w:val="0"/>
          <w:i w:val="0"/>
          <w:caps w:val="0"/>
          <w:color w:val="242424"/>
          <w:spacing w:val="0"/>
          <w:sz w:val="32"/>
          <w:szCs w:val="32"/>
          <w:shd w:val="clear" w:fill="FFFFFF"/>
          <w:vertAlign w:val="baseline"/>
          <w:lang w:eastAsia="zh-CN"/>
        </w:rPr>
      </w:pPr>
      <w:r>
        <w:rPr>
          <w:rFonts w:hint="eastAsia" w:ascii="仿宋_GB2312" w:hAnsi="仿宋_GB2312" w:eastAsia="仿宋_GB2312" w:cs="仿宋_GB2312"/>
          <w:b w:val="0"/>
          <w:i w:val="0"/>
          <w:caps w:val="0"/>
          <w:color w:val="242424"/>
          <w:spacing w:val="0"/>
          <w:sz w:val="32"/>
          <w:szCs w:val="32"/>
          <w:shd w:val="clear" w:fill="FFFFFF"/>
          <w:vertAlign w:val="baseline"/>
          <w:lang w:eastAsia="zh-CN"/>
        </w:rPr>
        <w:t>我局严格按照 “五个法治化”、“四个到位”要求，建立完善信访法治化机制，</w:t>
      </w:r>
      <w:r>
        <w:rPr>
          <w:rFonts w:hint="eastAsia" w:ascii="仿宋_GB2312" w:hAnsi="仿宋_GB2312" w:eastAsia="仿宋_GB2312" w:cs="仿宋_GB2312"/>
          <w:color w:val="auto"/>
          <w:sz w:val="32"/>
          <w:szCs w:val="32"/>
          <w:u w:val="none" w:color="auto"/>
          <w:lang w:val="en-US" w:eastAsia="zh-CN"/>
        </w:rPr>
        <w:t>确保</w:t>
      </w:r>
      <w:r>
        <w:rPr>
          <w:rFonts w:hint="eastAsia" w:ascii="仿宋_GB2312" w:hAnsi="仿宋_GB2312" w:eastAsia="仿宋_GB2312" w:cs="仿宋_GB2312"/>
          <w:b w:val="0"/>
          <w:i w:val="0"/>
          <w:caps w:val="0"/>
          <w:color w:val="242424"/>
          <w:spacing w:val="0"/>
          <w:sz w:val="32"/>
          <w:szCs w:val="32"/>
          <w:shd w:val="clear" w:fill="FFFFFF"/>
          <w:vertAlign w:val="baseline"/>
          <w:lang w:eastAsia="zh-CN"/>
        </w:rPr>
        <w:t>基本民生保障到位，依法推进公共政策兑现和政府履约践诺，</w:t>
      </w:r>
      <w:r>
        <w:rPr>
          <w:rFonts w:hint="eastAsia" w:ascii="仿宋_GB2312" w:hAnsi="仿宋_GB2312" w:eastAsia="仿宋_GB2312" w:cs="仿宋_GB2312"/>
          <w:color w:val="auto"/>
          <w:sz w:val="32"/>
          <w:szCs w:val="32"/>
          <w:u w:val="none" w:color="auto"/>
          <w:lang w:val="en-US" w:eastAsia="zh-CN"/>
        </w:rPr>
        <w:t>坚持问题导向，从小切口入手，积极探索信访工作法治化的方法路径。重点聚焦受理、办理法治化，在</w:t>
      </w:r>
      <w:r>
        <w:rPr>
          <w:rFonts w:hint="eastAsia" w:ascii="仿宋_GB2312" w:hAnsi="仿宋_GB2312" w:eastAsia="仿宋_GB2312" w:cs="仿宋_GB2312"/>
          <w:b/>
          <w:bCs/>
          <w:color w:val="auto"/>
          <w:sz w:val="32"/>
          <w:szCs w:val="32"/>
          <w:u w:val="none" w:color="auto"/>
          <w:lang w:val="en-US" w:eastAsia="zh-CN"/>
        </w:rPr>
        <w:t>受理环节</w:t>
      </w:r>
      <w:r>
        <w:rPr>
          <w:rFonts w:hint="eastAsia" w:ascii="仿宋_GB2312" w:hAnsi="仿宋_GB2312" w:eastAsia="仿宋_GB2312" w:cs="仿宋_GB2312"/>
          <w:color w:val="auto"/>
          <w:sz w:val="32"/>
          <w:szCs w:val="32"/>
          <w:u w:val="none" w:color="auto"/>
          <w:lang w:val="en-US" w:eastAsia="zh-CN"/>
        </w:rPr>
        <w:t>上，重在登记、研判、转交，使各类矛盾各行其道、转办的各个单位各司其职；在</w:t>
      </w:r>
      <w:r>
        <w:rPr>
          <w:rFonts w:hint="eastAsia" w:ascii="仿宋_GB2312" w:hAnsi="仿宋_GB2312" w:eastAsia="仿宋_GB2312" w:cs="仿宋_GB2312"/>
          <w:b/>
          <w:bCs/>
          <w:color w:val="auto"/>
          <w:sz w:val="32"/>
          <w:szCs w:val="32"/>
          <w:u w:val="none" w:color="auto"/>
          <w:lang w:val="en-US" w:eastAsia="zh-CN"/>
        </w:rPr>
        <w:t>办理环节</w:t>
      </w:r>
      <w:r>
        <w:rPr>
          <w:rFonts w:hint="eastAsia" w:ascii="仿宋_GB2312" w:hAnsi="仿宋_GB2312" w:eastAsia="仿宋_GB2312" w:cs="仿宋_GB2312"/>
          <w:color w:val="auto"/>
          <w:sz w:val="32"/>
          <w:szCs w:val="32"/>
          <w:u w:val="none" w:color="auto"/>
          <w:lang w:val="en-US" w:eastAsia="zh-CN"/>
        </w:rPr>
        <w:t>上，重在依法、规范、快办，落实中央、省、市关于初次信访办理要求，做到信访部门分得准、导得出，职能部门接得住、办得好。在“双向规范”上下功夫，规范工作行为，健全各项贯通机制，发挥群众监督与部门监管作用，优化考核指标体系，用好约谈、通报、挂牌督办机制，倒逼责任落实。树立共同缔造理念，健全多元矛盾化解机制，发挥公开听证作用，把调解摆在优先位置，坚持德治自治法治并重、情理法并用，降低信访成本，减少矛盾积累，防止问题上行。要坚持先行先试，加强对试点工作的指导，鼓励基层结合实际大胆创新，形成一批可复制可推广的经验做法，并做好新旧制度的衔接，确保改革不乱、工作不断、干劲不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b w:val="0"/>
          <w:i w:val="0"/>
          <w:caps w:val="0"/>
          <w:color w:val="auto"/>
          <w:spacing w:val="0"/>
          <w:sz w:val="32"/>
          <w:szCs w:val="32"/>
          <w:shd w:val="clear" w:fill="FFFFFF"/>
          <w:vertAlign w:val="baseline"/>
          <w:lang w:eastAsia="zh-CN"/>
        </w:rPr>
      </w:pPr>
      <w:r>
        <w:rPr>
          <w:rFonts w:hint="eastAsia" w:ascii="仿宋_GB2312" w:hAnsi="仿宋_GB2312" w:eastAsia="仿宋_GB2312" w:cs="仿宋_GB2312"/>
          <w:b w:val="0"/>
          <w:i w:val="0"/>
          <w:caps w:val="0"/>
          <w:color w:val="auto"/>
          <w:spacing w:val="0"/>
          <w:sz w:val="32"/>
          <w:szCs w:val="32"/>
          <w:shd w:val="clear" w:fill="FFFFFF"/>
          <w:vertAlign w:val="baseline"/>
          <w:lang w:val="en-US" w:eastAsia="zh-CN"/>
        </w:rPr>
        <w:t>截止目前，我区办结全网求决类初次信访事项535件，一次性化解率95.7%，与全市一次性化解率持平；</w:t>
      </w:r>
      <w:r>
        <w:rPr>
          <w:rFonts w:hint="eastAsia" w:ascii="仿宋_GB2312" w:hAnsi="仿宋_GB2312" w:eastAsia="仿宋_GB2312" w:cs="仿宋_GB2312"/>
          <w:b w:val="0"/>
          <w:bCs/>
          <w:color w:val="auto"/>
          <w:sz w:val="32"/>
          <w:szCs w:val="32"/>
          <w:u w:val="none"/>
          <w:lang w:val="en-US" w:eastAsia="zh-CN"/>
        </w:rPr>
        <w:t>对</w:t>
      </w:r>
      <w:r>
        <w:rPr>
          <w:rFonts w:hint="eastAsia" w:ascii="仿宋_GB2312" w:hAnsi="仿宋_GB2312" w:eastAsia="仿宋_GB2312" w:cs="仿宋_GB2312"/>
          <w:b w:val="0"/>
          <w:bCs w:val="0"/>
          <w:color w:val="auto"/>
          <w:sz w:val="32"/>
          <w:szCs w:val="32"/>
          <w:lang w:val="en-US" w:eastAsia="zh-CN"/>
        </w:rPr>
        <w:t>中央联席办第三批交办的</w:t>
      </w:r>
      <w:r>
        <w:rPr>
          <w:rFonts w:hint="eastAsia" w:ascii="仿宋_GB2312" w:hAnsi="仿宋_GB2312" w:eastAsia="仿宋_GB2312" w:cs="仿宋_GB2312"/>
          <w:color w:val="auto"/>
          <w:sz w:val="32"/>
          <w:szCs w:val="32"/>
          <w:u w:val="none"/>
          <w:lang w:val="en-US" w:eastAsia="zh-CN"/>
        </w:rPr>
        <w:t>24起</w:t>
      </w:r>
      <w:r>
        <w:rPr>
          <w:rFonts w:hint="eastAsia" w:ascii="仿宋_GB2312" w:hAnsi="仿宋_GB2312" w:eastAsia="仿宋_GB2312" w:cs="仿宋_GB2312"/>
          <w:b w:val="0"/>
          <w:bCs w:val="0"/>
          <w:color w:val="auto"/>
          <w:sz w:val="32"/>
          <w:szCs w:val="32"/>
          <w:lang w:val="en-US" w:eastAsia="zh-CN"/>
        </w:rPr>
        <w:t>重复信访积案，落实领导包案，一案一策、综合施治，</w:t>
      </w:r>
      <w:r>
        <w:rPr>
          <w:rFonts w:hint="eastAsia" w:ascii="仿宋_GB2312" w:hAnsi="仿宋_GB2312" w:eastAsia="仿宋_GB2312" w:cs="仿宋_GB2312"/>
          <w:color w:val="auto"/>
          <w:kern w:val="2"/>
          <w:sz w:val="32"/>
          <w:szCs w:val="32"/>
          <w:u w:val="none" w:color="000000"/>
          <w:lang w:val="en-US" w:eastAsia="zh-CN" w:bidi="ar-SA"/>
        </w:rPr>
        <w:t>已认定</w:t>
      </w:r>
      <w:r>
        <w:rPr>
          <w:rFonts w:hint="eastAsia" w:ascii="仿宋_GB2312" w:hAnsi="仿宋_GB2312" w:eastAsia="仿宋_GB2312" w:cs="仿宋_GB2312"/>
          <w:color w:val="auto"/>
          <w:kern w:val="2"/>
          <w:sz w:val="32"/>
          <w:szCs w:val="32"/>
          <w:u w:val="none" w:color="auto"/>
          <w:lang w:val="en-US" w:eastAsia="zh-CN" w:bidi="ar-SA"/>
        </w:rPr>
        <w:t>化解</w:t>
      </w:r>
      <w:r>
        <w:rPr>
          <w:rFonts w:hint="eastAsia" w:ascii="仿宋_GB2312" w:hAnsi="仿宋_GB2312" w:eastAsia="仿宋_GB2312" w:cs="仿宋_GB2312"/>
          <w:color w:val="auto"/>
          <w:sz w:val="32"/>
          <w:szCs w:val="32"/>
          <w:u w:val="none" w:color="auto"/>
          <w:lang w:val="en-US" w:eastAsia="zh-CN"/>
        </w:rPr>
        <w:t>24件</w:t>
      </w:r>
      <w:r>
        <w:rPr>
          <w:rFonts w:hint="eastAsia" w:ascii="仿宋_GB2312" w:hAnsi="仿宋_GB2312" w:eastAsia="仿宋_GB2312" w:cs="仿宋_GB2312"/>
          <w:color w:val="auto"/>
          <w:kern w:val="2"/>
          <w:sz w:val="32"/>
          <w:szCs w:val="32"/>
          <w:u w:val="none" w:color="auto"/>
          <w:lang w:val="en-US" w:eastAsia="zh-CN" w:bidi="ar-SA"/>
        </w:rPr>
        <w:t>，综合化解率100%；</w:t>
      </w:r>
      <w:r>
        <w:rPr>
          <w:rFonts w:hint="eastAsia" w:ascii="仿宋_GB2312" w:hAnsi="仿宋_GB2312" w:eastAsia="仿宋_GB2312" w:cs="仿宋_GB2312"/>
          <w:b w:val="0"/>
          <w:bCs/>
          <w:color w:val="auto"/>
          <w:sz w:val="32"/>
          <w:szCs w:val="32"/>
          <w:u w:val="none"/>
          <w:lang w:val="en-US" w:eastAsia="zh-CN"/>
        </w:rPr>
        <w:t>对</w:t>
      </w:r>
      <w:r>
        <w:rPr>
          <w:rFonts w:hint="eastAsia" w:ascii="仿宋_GB2312" w:hAnsi="仿宋_GB2312" w:eastAsia="仿宋_GB2312" w:cs="仿宋_GB2312"/>
          <w:color w:val="auto"/>
          <w:sz w:val="32"/>
          <w:szCs w:val="32"/>
          <w:lang w:val="en-US" w:eastAsia="zh-CN"/>
        </w:rPr>
        <w:t>上级交办的涉及群众基本民生相关的城乡建设和自然资源、人力资源和社会保障、农业农村、金融、涉法涉诉</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lang w:val="en-US" w:eastAsia="zh-CN"/>
        </w:rPr>
        <w:t>个重点领域和网上信访、赴京访</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lang w:val="en-US" w:eastAsia="zh-CN"/>
        </w:rPr>
        <w:t>个专项信访案件共</w:t>
      </w:r>
      <w:r>
        <w:rPr>
          <w:rFonts w:hint="eastAsia" w:ascii="仿宋_GB2312" w:hAnsi="仿宋_GB2312" w:eastAsia="仿宋_GB2312" w:cs="仿宋_GB2312"/>
          <w:color w:val="auto"/>
          <w:sz w:val="32"/>
          <w:szCs w:val="32"/>
          <w:u w:val="none" w:color="auto"/>
          <w:lang w:val="en-US" w:eastAsia="zh-CN"/>
        </w:rPr>
        <w:t>55件，已认定化解55件，综合化解率100%。</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baseline"/>
        <w:rPr>
          <w:rFonts w:hint="eastAsia" w:ascii="楷体" w:hAnsi="楷体" w:eastAsia="楷体" w:cs="楷体"/>
          <w:b/>
          <w:bCs/>
          <w:i w:val="0"/>
          <w:caps w:val="0"/>
          <w:color w:val="242424"/>
          <w:spacing w:val="0"/>
          <w:sz w:val="32"/>
          <w:szCs w:val="32"/>
          <w:shd w:val="clear" w:fill="FFFFFF"/>
          <w:vertAlign w:val="baseline"/>
          <w:lang w:eastAsia="zh-CN"/>
        </w:rPr>
      </w:pPr>
      <w:r>
        <w:rPr>
          <w:rFonts w:hint="eastAsia" w:ascii="楷体" w:hAnsi="楷体" w:eastAsia="楷体" w:cs="楷体"/>
          <w:b/>
          <w:bCs/>
          <w:i w:val="0"/>
          <w:caps w:val="0"/>
          <w:color w:val="242424"/>
          <w:spacing w:val="0"/>
          <w:sz w:val="32"/>
          <w:szCs w:val="32"/>
          <w:shd w:val="clear" w:fill="FFFFFF"/>
          <w:vertAlign w:val="baseline"/>
          <w:lang w:eastAsia="zh-CN"/>
        </w:rPr>
        <w:t>（三）突出特色，重点推广</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5月16日，陕州区信访局和区公安局、法院、检察院、司法局等有关部门在甘棠公园门口举办《信访工作条例》实施一周年集中宣传日活动，共发放宣传材料1000余份，接受群众咨询500多人次，深入基层一线开展宣讲，现场答疑解惑，全方位宣传信访法律法规、信访典型案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11月，在区信访局、各乡镇、甘棠街道办和七个领域相关单位的群众来访接待场场所显著位置张贴“依法依规信访“路线图’”、“党委和政府信访部门依法依规处理信访事项“导引图”、分领域“依法依规处理信访事项‘导引图’，并及时组织召开关于学习使用相关工作指南、导引图和路线图的教育培训会，不断提升我区信访干部对信访法治化工作的深入了解和熟悉掌握程度；同时，印制《信访法治化工作指南》1000份、分领域“依法依规处理信访事项‘导引图’及说明”500份分别印制成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月4日，利用“宪法宣传周”集中时间，设立宣传版版面，同时设立室外固定宣传栏2块，室内版面5块、电子屏滚动字幕方式显示法律权威，宣传资料在信访接待场所摆放，供信访群众取阅，加强对路线图和导引图的宣传宣讲，信访工作人员为群众做好解释说明和宣传引导，使信访群众尽快了解信访法治化的具体内容和有关要求，积极营造办事依法、遇事找法、解决问题用法、化解矛盾靠法的良好环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baseline"/>
        <w:rPr>
          <w:rFonts w:hint="eastAsia" w:ascii="楷体" w:hAnsi="楷体" w:eastAsia="楷体" w:cs="楷体"/>
          <w:b/>
          <w:bCs/>
          <w:i w:val="0"/>
          <w:caps w:val="0"/>
          <w:color w:val="242424"/>
          <w:spacing w:val="0"/>
          <w:sz w:val="32"/>
          <w:szCs w:val="32"/>
          <w:shd w:val="clear" w:fill="FFFFFF"/>
          <w:vertAlign w:val="baseline"/>
          <w:lang w:val="en-US" w:eastAsia="zh-CN"/>
        </w:rPr>
      </w:pPr>
      <w:r>
        <w:rPr>
          <w:rFonts w:hint="eastAsia" w:ascii="楷体" w:hAnsi="楷体" w:eastAsia="楷体" w:cs="楷体"/>
          <w:b/>
          <w:bCs/>
          <w:i w:val="0"/>
          <w:caps w:val="0"/>
          <w:color w:val="242424"/>
          <w:spacing w:val="0"/>
          <w:sz w:val="32"/>
          <w:szCs w:val="32"/>
          <w:shd w:val="clear" w:fill="FFFFFF"/>
          <w:vertAlign w:val="baseline"/>
          <w:lang w:val="en-US" w:eastAsia="zh-CN"/>
        </w:rPr>
        <w:t>（四）健全机制，严厉追责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zh-CN"/>
        </w:rPr>
        <w:t>9月中旬</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研究出台《陕州区信访工作责任追究暂行规定》《关于进一步明确我区信访劝返工作的实施办法》，为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压实信访工作责任、</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规范信访行为、维护信访秩序提供法律支撑</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kern w:val="2"/>
          <w:sz w:val="32"/>
          <w:szCs w:val="32"/>
          <w:lang w:val="en-US" w:eastAsia="zh-CN" w:bidi="zh-CN"/>
        </w:rPr>
        <w:t>坚决守牢信访稳定工作底线</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，同时</w:t>
      </w:r>
      <w:r>
        <w:rPr>
          <w:rFonts w:hint="eastAsia" w:ascii="仿宋_GB2312" w:hAnsi="仿宋_GB2312" w:eastAsia="仿宋_GB2312" w:cs="仿宋_GB2312"/>
          <w:color w:val="auto"/>
          <w:kern w:val="2"/>
          <w:sz w:val="32"/>
          <w:szCs w:val="32"/>
          <w:lang w:val="en-US" w:eastAsia="zh-CN" w:bidi="ar-SA"/>
        </w:rPr>
        <w:t>认真开展《河南省信访部门履行提出“三项建议”职责工作规则（试行）》的通知学习，结合实际落实，参照省局“三项建议”审核批准模式，</w:t>
      </w:r>
      <w:r>
        <w:rPr>
          <w:rFonts w:hint="eastAsia" w:ascii="仿宋_GB2312" w:hAnsi="仿宋_GB2312" w:eastAsia="仿宋_GB2312" w:cs="仿宋_GB2312"/>
          <w:color w:val="auto"/>
          <w:sz w:val="32"/>
          <w:szCs w:val="32"/>
          <w:u w:val="none" w:color="auto"/>
          <w:lang w:val="en-US" w:eastAsia="zh-CN"/>
        </w:rPr>
        <w:t>用好约谈、通报、挂牌督办机制，倒逼责任落实。要树立共同缔造理念，健全多元矛盾化解机制，</w:t>
      </w:r>
      <w:r>
        <w:rPr>
          <w:rFonts w:hint="eastAsia" w:ascii="仿宋_GB2312" w:hAnsi="仿宋_GB2312" w:eastAsia="仿宋_GB2312" w:cs="仿宋_GB2312"/>
          <w:color w:val="auto"/>
          <w:kern w:val="2"/>
          <w:sz w:val="32"/>
          <w:szCs w:val="32"/>
          <w:lang w:val="en-US" w:eastAsia="zh-CN" w:bidi="ar-SA"/>
        </w:rPr>
        <w:t>今年以来，区信访局、信访工作联席办名义发送风险提醒函12件，以区信访工作联席会议名义对7个单位进行通报批评、对6个单位进行挂牌督办、对1个单位进行重点管理。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rightChars="0" w:firstLine="643" w:firstLineChars="200"/>
        <w:jc w:val="both"/>
        <w:textAlignment w:val="baseline"/>
        <w:rPr>
          <w:rFonts w:hint="eastAsia" w:ascii="楷体" w:hAnsi="楷体" w:eastAsia="楷体" w:cs="楷体"/>
          <w:b/>
          <w:bCs/>
          <w:i w:val="0"/>
          <w:caps w:val="0"/>
          <w:color w:val="242424"/>
          <w:spacing w:val="0"/>
          <w:sz w:val="32"/>
          <w:szCs w:val="32"/>
          <w:shd w:val="clear" w:fill="FFFFFF"/>
          <w:vertAlign w:val="baseline"/>
          <w:lang w:val="en-US" w:eastAsia="zh-CN"/>
        </w:rPr>
      </w:pPr>
      <w:r>
        <w:rPr>
          <w:rFonts w:hint="eastAsia" w:ascii="楷体" w:hAnsi="楷体" w:eastAsia="楷体" w:cs="楷体"/>
          <w:b/>
          <w:bCs/>
          <w:i w:val="0"/>
          <w:caps w:val="0"/>
          <w:color w:val="242424"/>
          <w:spacing w:val="0"/>
          <w:sz w:val="32"/>
          <w:szCs w:val="32"/>
          <w:shd w:val="clear" w:fill="FFFFFF"/>
          <w:vertAlign w:val="baseline"/>
          <w:lang w:val="en-US" w:eastAsia="zh-CN"/>
        </w:rPr>
        <w:t>（五）依法处置，规范秩序</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9"/>
        <w:rPr>
          <w:rFonts w:hint="eastAsia" w:ascii="黑体" w:hAnsi="黑体" w:eastAsia="黑体" w:cs="黑体"/>
          <w:color w:val="auto"/>
          <w:kern w:val="2"/>
          <w:sz w:val="32"/>
          <w:szCs w:val="32"/>
          <w:lang w:val="en-US" w:eastAsia="zh-CN" w:bidi="zh-CN"/>
        </w:rPr>
      </w:pPr>
      <w:r>
        <w:rPr>
          <w:rFonts w:hint="eastAsia" w:ascii="仿宋_GB2312" w:hAnsi="仿宋_GB2312" w:eastAsia="仿宋_GB2312" w:cs="仿宋_GB2312"/>
          <w:color w:val="auto"/>
          <w:kern w:val="2"/>
          <w:sz w:val="32"/>
          <w:szCs w:val="32"/>
          <w:lang w:val="en-US" w:eastAsia="zh-CN" w:bidi="zh-CN"/>
        </w:rPr>
        <w:t>坚持运用法治思维、法治方式依法治访，按政策解决群众的合理诉求，按照《信访工作条例》《中华人民共和国治安管理处罚法》《关于依法处理信访活动中违法行为的实施意见》等相关法律规定，坚持严打“非访”、闹访、缠访等信访行为，对企图通过非正常方式、采取非正常手段进行违法活动的上访人，根据其违法情节轻重实施依法处置。今年以来，全区共依法处置信访人4人，其中，刑事拘留3人，行政拘留1人，宣传信访工作条例并对越级访行为批评教育18人，同时将依法处置信访人员案例张贴于来访接待场所显著位置，进一步传导了压力，形成了警示，压实了信访工作责任。</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baseline"/>
        <w:outlineLvl w:val="9"/>
        <w:rPr>
          <w:rFonts w:hint="eastAsia" w:ascii="黑体" w:hAnsi="黑体" w:eastAsia="黑体" w:cs="黑体"/>
          <w:color w:val="auto"/>
          <w:kern w:val="2"/>
          <w:sz w:val="32"/>
          <w:szCs w:val="32"/>
          <w:lang w:val="en-US" w:eastAsia="zh-CN" w:bidi="zh-CN"/>
        </w:rPr>
      </w:pPr>
      <w:r>
        <w:rPr>
          <w:rFonts w:hint="eastAsia" w:ascii="黑体" w:hAnsi="黑体" w:eastAsia="黑体" w:cs="黑体"/>
          <w:color w:val="auto"/>
          <w:kern w:val="2"/>
          <w:sz w:val="32"/>
          <w:szCs w:val="32"/>
          <w:lang w:val="en-US" w:eastAsia="zh-CN" w:bidi="zh-CN"/>
        </w:rPr>
        <w:t>二、存在的问题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color w:val="auto"/>
          <w:kern w:val="2"/>
          <w:sz w:val="32"/>
          <w:szCs w:val="32"/>
          <w:lang w:val="en-US" w:eastAsia="zh-CN" w:bidi="zh-CN"/>
        </w:rPr>
      </w:pPr>
      <w:r>
        <w:rPr>
          <w:rFonts w:hint="eastAsia" w:ascii="仿宋_GB2312" w:hAnsi="仿宋_GB2312" w:eastAsia="仿宋_GB2312" w:cs="仿宋_GB2312"/>
          <w:b/>
          <w:bCs/>
          <w:color w:val="auto"/>
          <w:kern w:val="2"/>
          <w:sz w:val="32"/>
          <w:szCs w:val="32"/>
          <w:lang w:val="en-US" w:eastAsia="zh-CN" w:bidi="zh-CN"/>
        </w:rPr>
        <w:t>一是</w:t>
      </w:r>
      <w:r>
        <w:rPr>
          <w:rFonts w:hint="eastAsia" w:ascii="仿宋_GB2312" w:hAnsi="仿宋_GB2312" w:eastAsia="仿宋_GB2312" w:cs="仿宋_GB2312"/>
          <w:b w:val="0"/>
          <w:bCs w:val="0"/>
          <w:color w:val="auto"/>
          <w:kern w:val="2"/>
          <w:sz w:val="32"/>
          <w:szCs w:val="32"/>
          <w:lang w:val="en-US" w:eastAsia="zh-CN" w:bidi="zh-CN"/>
        </w:rPr>
        <w:t>分类处理推进不快。</w:t>
      </w:r>
      <w:r>
        <w:rPr>
          <w:rFonts w:hint="eastAsia" w:ascii="仿宋_GB2312" w:hAnsi="仿宋_GB2312" w:eastAsia="仿宋_GB2312" w:cs="仿宋_GB2312"/>
          <w:color w:val="auto"/>
          <w:kern w:val="2"/>
          <w:sz w:val="32"/>
          <w:szCs w:val="32"/>
          <w:lang w:val="en-US" w:eastAsia="zh-CN" w:bidi="zh-CN"/>
        </w:rPr>
        <w:t>实行依法分类处理信访投诉请求后，少数单位职责清单制定不全，掌握不够，导致法定途径诉求不知如何办理。同时，部分特殊疑难信访事项或涉及职能交叉、或管辖责任不明、或人事分离，责任主体难以甄别，一定程度上影响法治化工作的顺利推进。</w:t>
      </w:r>
      <w:r>
        <w:rPr>
          <w:rFonts w:hint="eastAsia" w:ascii="仿宋_GB2312" w:hAnsi="仿宋_GB2312" w:eastAsia="仿宋_GB2312" w:cs="仿宋_GB2312"/>
          <w:b/>
          <w:bCs/>
          <w:color w:val="auto"/>
          <w:kern w:val="2"/>
          <w:sz w:val="32"/>
          <w:szCs w:val="32"/>
          <w:lang w:val="en-US" w:eastAsia="zh-CN" w:bidi="zh-CN"/>
        </w:rPr>
        <w:t>二是</w:t>
      </w:r>
      <w:r>
        <w:rPr>
          <w:rFonts w:hint="eastAsia" w:ascii="仿宋_GB2312" w:hAnsi="仿宋_GB2312" w:eastAsia="仿宋_GB2312" w:cs="仿宋_GB2312"/>
          <w:b w:val="0"/>
          <w:bCs w:val="0"/>
          <w:color w:val="auto"/>
          <w:kern w:val="2"/>
          <w:sz w:val="32"/>
          <w:szCs w:val="32"/>
          <w:lang w:val="en-US" w:eastAsia="zh-CN" w:bidi="zh-CN"/>
        </w:rPr>
        <w:t>是终结机制不够完善。</w:t>
      </w:r>
      <w:r>
        <w:rPr>
          <w:rFonts w:hint="eastAsia" w:ascii="仿宋_GB2312" w:hAnsi="仿宋_GB2312" w:eastAsia="仿宋_GB2312" w:cs="仿宋_GB2312"/>
          <w:color w:val="auto"/>
          <w:kern w:val="2"/>
          <w:sz w:val="32"/>
          <w:szCs w:val="32"/>
          <w:lang w:val="en-US" w:eastAsia="zh-CN" w:bidi="zh-CN"/>
        </w:rPr>
        <w:t>按照《信访工作条例》规定，信访事项经过答复、复查、复核后，该信访事项就已依法终结，各级信访部门不再受理，但事实上，一些信访事项已终结的信访群众仍然上访不断，导致终而不结。</w:t>
      </w:r>
      <w:r>
        <w:rPr>
          <w:rFonts w:hint="eastAsia" w:ascii="仿宋_GB2312" w:hAnsi="仿宋_GB2312" w:eastAsia="仿宋_GB2312" w:cs="仿宋_GB2312"/>
          <w:b/>
          <w:bCs/>
          <w:color w:val="auto"/>
          <w:kern w:val="2"/>
          <w:sz w:val="32"/>
          <w:szCs w:val="32"/>
          <w:lang w:val="en-US" w:eastAsia="zh-CN" w:bidi="zh-CN"/>
        </w:rPr>
        <w:t>三是</w:t>
      </w:r>
      <w:r>
        <w:rPr>
          <w:rFonts w:hint="eastAsia" w:ascii="仿宋_GB2312" w:hAnsi="仿宋_GB2312" w:eastAsia="仿宋_GB2312" w:cs="仿宋_GB2312"/>
          <w:b w:val="0"/>
          <w:bCs w:val="0"/>
          <w:color w:val="auto"/>
          <w:kern w:val="2"/>
          <w:sz w:val="32"/>
          <w:szCs w:val="32"/>
          <w:lang w:val="en-US" w:eastAsia="zh-CN" w:bidi="zh-CN"/>
        </w:rPr>
        <w:t>信访秩序规范不够。</w:t>
      </w:r>
      <w:r>
        <w:rPr>
          <w:rFonts w:hint="eastAsia" w:ascii="仿宋_GB2312" w:hAnsi="仿宋_GB2312" w:eastAsia="仿宋_GB2312" w:cs="仿宋_GB2312"/>
          <w:color w:val="auto"/>
          <w:kern w:val="2"/>
          <w:sz w:val="32"/>
          <w:szCs w:val="32"/>
          <w:lang w:val="en-US" w:eastAsia="zh-CN" w:bidi="zh-CN"/>
        </w:rPr>
        <w:t>信访群众需到指定的接待场所反映问题，集体上访推选代表，代表人数一般不得超过5人，但早实际工作过程中，由于缺乏刚性，很多不遵守的信访人也没有得到有效处理,缠访闹访等违法信访行为仍有发生。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三、下步打算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color="000000"/>
          <w:lang w:val="en-US" w:eastAsia="zh-CN" w:bidi="ar-SA"/>
        </w:rPr>
      </w:pPr>
      <w:r>
        <w:rPr>
          <w:rFonts w:hint="eastAsia" w:ascii="仿宋_GB2312" w:hAnsi="仿宋_GB2312" w:eastAsia="仿宋_GB2312" w:cs="仿宋_GB2312"/>
          <w:color w:val="auto"/>
          <w:kern w:val="2"/>
          <w:sz w:val="32"/>
          <w:szCs w:val="32"/>
          <w:u w:color="000000"/>
          <w:lang w:val="en-US" w:eastAsia="zh-CN" w:bidi="ar-SA"/>
        </w:rPr>
        <w:t>我局坚决执行中央联席办和省联席办关于开展信访法治化工作的安排部署，严格按照要求，将继续全面贯彻落实信访法治化工作，切实提高政治站位，强化法治意识，知责于心、担责于身、履责于行，进一步理清思路、创新方法、积极突破，大胆实践，更加善于运用法治思维和法治方式开展工作、化解矛盾，全力推动我区信访工作再上新台阶。同时，坚持依法依规有序规范信访秩序，对个别无理闹访缠访、以访施压、行为违法的，坚决依法打击处理，不能让这极个别信访人为所欲为，肆意挑战法律底线，实现依法打击一个、震慑一批、教育一片的效果，推动树立依法理性信访的鲜明导向，为全</w:t>
      </w:r>
      <w:r>
        <w:rPr>
          <w:rFonts w:hint="eastAsia" w:ascii="仿宋_GB2312" w:hAnsi="仿宋_GB2312" w:cs="仿宋_GB2312"/>
          <w:color w:val="auto"/>
          <w:kern w:val="2"/>
          <w:sz w:val="32"/>
          <w:szCs w:val="32"/>
          <w:u w:color="000000"/>
          <w:lang w:val="en-US" w:eastAsia="zh-CN" w:bidi="ar-SA"/>
        </w:rPr>
        <w:t>区</w:t>
      </w:r>
      <w:r>
        <w:rPr>
          <w:rFonts w:hint="eastAsia" w:ascii="仿宋_GB2312" w:hAnsi="仿宋_GB2312" w:eastAsia="仿宋_GB2312" w:cs="仿宋_GB2312"/>
          <w:color w:val="auto"/>
          <w:kern w:val="2"/>
          <w:sz w:val="32"/>
          <w:szCs w:val="32"/>
          <w:u w:color="000000"/>
          <w:lang w:val="en-US" w:eastAsia="zh-CN" w:bidi="ar-SA"/>
        </w:rPr>
        <w:t>社会大局稳定做贡献。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中共三门峡市陕州区信访局党组</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hYzc2MmYwZjM4NTlhYmRkZjIxNTU0NDdlODY2MjgifQ=="/>
  </w:docVars>
  <w:rsids>
    <w:rsidRoot w:val="00000000"/>
    <w:rsid w:val="079C2AA3"/>
    <w:rsid w:val="0BB45EE3"/>
    <w:rsid w:val="0F900C16"/>
    <w:rsid w:val="10D61724"/>
    <w:rsid w:val="15735625"/>
    <w:rsid w:val="23932FBE"/>
    <w:rsid w:val="270C1651"/>
    <w:rsid w:val="2C367A9D"/>
    <w:rsid w:val="2D2645D3"/>
    <w:rsid w:val="33987145"/>
    <w:rsid w:val="33A106BD"/>
    <w:rsid w:val="3C9D3734"/>
    <w:rsid w:val="3D525B89"/>
    <w:rsid w:val="4E0B478F"/>
    <w:rsid w:val="57E03915"/>
    <w:rsid w:val="6A337606"/>
    <w:rsid w:val="6D682B3F"/>
    <w:rsid w:val="71283617"/>
    <w:rsid w:val="7A31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0" w:lineRule="atLeast"/>
    </w:pPr>
    <w:rPr>
      <w:rFonts w:eastAsia="小标宋" w:cs="Times New Roman"/>
      <w:sz w:val="44"/>
      <w:szCs w:val="32"/>
    </w:rPr>
  </w:style>
  <w:style w:type="paragraph" w:styleId="3">
    <w:name w:val="Body Text Indent"/>
    <w:basedOn w:val="1"/>
    <w:qFormat/>
    <w:uiPriority w:val="0"/>
    <w:pPr>
      <w:ind w:left="1497" w:leftChars="500" w:firstLine="599" w:firstLineChars="200"/>
    </w:pPr>
    <w:rPr>
      <w:rFonts w:eastAsia="楷体_GB2312"/>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Body Text First Indent 2"/>
    <w:basedOn w:val="3"/>
    <w:unhideWhenUsed/>
    <w:qFormat/>
    <w:uiPriority w:val="99"/>
    <w:pPr>
      <w:ind w:firstLine="420" w:firstLineChars="200"/>
    </w:pPr>
  </w:style>
  <w:style w:type="paragraph" w:customStyle="1" w:styleId="10">
    <w:name w:val="_Style 1"/>
    <w:basedOn w:val="1"/>
    <w:qFormat/>
    <w:uiPriority w:val="0"/>
    <w:pPr>
      <w:spacing w:line="481" w:lineRule="atLeast"/>
      <w:ind w:firstLine="623"/>
    </w:pPr>
    <w:rPr>
      <w:rFonts w:ascii="Times New Roman" w:eastAsia="仿宋_GB2312"/>
      <w:sz w:val="31"/>
    </w:rPr>
  </w:style>
  <w:style w:type="paragraph" w:customStyle="1" w:styleId="11">
    <w:name w:val="Body Text First Indent 21"/>
    <w:qFormat/>
    <w:uiPriority w:val="0"/>
    <w:pPr>
      <w:widowControl w:val="0"/>
      <w:ind w:left="420" w:leftChars="200" w:firstLine="420" w:firstLineChars="2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2023-12-22T00:48:00Z</dcterms:created>
  <dc:creator>Administrator</dc:creator>
  <cp:lastModifiedBy>Administrator</cp:lastModifiedBy>
  <cp:lastPrinted>2023-12-22T07:49:54Z</cp:lastPrinted>
  <dcterms:modified xsi:type="dcterms:W3CDTF">2023-12-22T07:49:56Z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FB45620BC51B4C96A945FE791B81B0F3_12</vt:lpwstr>
  </property>
</Properties>
</file>