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三门峡市陕州区总工会</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三门峡市陕州区总工会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三门峡市陕州区总工会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三门峡市陕州区总工会</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三门峡市陕州区总工会部门（单位）概况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一、三门峡市陕州区总工会部门（单位）主要职责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中共三门峡市陕州区委办公室关于印发&amp;lt;三门峡市陕州区总工会机关职能配置、内设机构和人员编制规定&amp;gt;的通知》(三陕办文〔2019〕64号)文件规定，三门峡市陕州区总工会为区政府工作部门，主要职责是：</w:t>
        <w:br/>
        <w:t xml:space="preserve">（一）根据党的基本理论、基本路线、基本纲领和工运方针，围绕区委、区政府工作大局，贯彻执行上级工会和本级工会代表大会确定的方针、任务和作出的决议。</w:t>
        <w:br/>
        <w:t xml:space="preserve">（二）依照《中华人民共和国工会法》和《中国工会章程》，组织和指导各基层工会坚定不移地贯彻落实党的全心全意依靠工人阶级的根本指导方针，进一步突出和履行维护职能。 </w:t>
        <w:br/>
        <w:t xml:space="preserve">（三）对有关职工合法权益的重大问题进行调查研究，向区委、区政府和上级工会反映职工群众的思想、愿望和要求，提出意见和建议；参与涉及职工切身利益的政策、措施、制度的拟定；参与职工重大伤亡事故的调查处理。 </w:t>
        <w:br/>
        <w:t xml:space="preserve">（四）负责工会理论政策研究，研究制定工会的组织制度和民主制度，监督检查《中国工会章程》的贯彻执行；研究指导工会自身改革和建设；指导各基层工会组织开展以职工代表大会为基本制度的民主选举、民主决策、民主管理和民主监督工作，推动建立平等协商、集体合同制度和监督保证机制的工作。 </w:t>
        <w:br/>
        <w:t xml:space="preserve">（五）协助区委和有关部门推荐系统、企、事业单位工会的主要领导人选，研究制定工会干部的管理制度和培训规划，负责全区各基层工会组织的换届、改选工作及任免事宜，组织工会主席的培训及工会干部的岗位培训。</w:t>
        <w:br/>
        <w:t xml:space="preserve">（六）协助区政府做好各级劳模的推荐、评选工作，负责全区劳模的管理工作；负责全区各级“五一”劳动奖章、奖状获得者的评选表彰和管理工作。 </w:t>
        <w:br/>
        <w:t xml:space="preserve">（七）负责工会经费和工会资产的管理、审查、审计工作；研究制定工会组织兴办职工劳动福利事业的有关制度和规定；负责对工会兴办职工劳动福利事业的指导、协调工作。 </w:t>
        <w:br/>
        <w:t xml:space="preserve">（八）负责开展我区同全国各地工会组织的友好关系和交流工作。</w:t>
        <w:br/>
        <w:t xml:space="preserve">（九）承担区委、区政府和上级工会交办的其他事项。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三门峡市陕州区总工会下设办公室、权益保障部（法律工作部）、组织宣传部、劳动和经济工作部、财务部（工会经费审查委员会办公室）。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三、三门峡市陕州区总工会预算单位构成情况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三门峡市陕州区总工会部门预算为机关本级预算，没有设立下属二级预算单位。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三门峡市陕州区总工会2024年部门（单位）预算情况说明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237.54</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237.54</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减少19.85万元，下降7.71%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2024年较2023年减少1人</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减少19.85万元，下降7.71%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2024年较2023年减少1人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237.54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一般公共预算237.54万元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237.54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基本支出189.54万元，占79.79%；项目支出48.00万元，占20.21%</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237.54</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减少19.85万元，下降7.71%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2024年较2023年减少1人</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237.54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基本支出189.54万元，占79.79%；项目支出48.00万元，占20.21%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一般公共服务支出155.84万元，占65.61%；社会保障和就业支出63.95万元，占26.92%；卫生健康支出7.45万元，占3.14%；住房保障支出10.30万元，占4.34%</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189.54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186.85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98.58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2.69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1.42</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没有支出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2.69</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减少2.79万元，下降50.91%</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平稳过渡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237.54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186.85</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2.69</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48.00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没有车辆</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没有专项转移支出项目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三门峡市陕州区总工会</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237.54</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155.84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237.54</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63.95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7.45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10.30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237.54</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237.54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237.54</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237.54</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237.54</w:t>
            </w:r>
          </w:p>
        </w:tc>
        <w:tc>
          <w:tcPr>
            <w:tcW w:w="660" w:type="dxa"/>
            <w:tcBorders/>
            <w:vAlign w:val="center"/>
          </w:tcPr>
          <w:p>
            <w:pPr>
              <w:jc w:val="right"/>
            </w:pPr>
            <w:r>
              <w:rPr>
                <w:rFonts w:ascii="宋体" w:eastAsia="宋体" w:hAnsi="宋体" w:cs="宋体"/>
                <w:b w:val="0"/>
                <w:i w:val="0"/>
                <w:color w:val="000000"/>
                <w:sz w:val="8"/>
              </w:rPr>
              <w:t xml:space="preserve">237.54</w:t>
            </w:r>
          </w:p>
        </w:tc>
        <w:tc>
          <w:tcPr>
            <w:tcW w:w="600" w:type="dxa"/>
            <w:tcBorders/>
            <w:vAlign w:val="center"/>
          </w:tcPr>
          <w:p>
            <w:pPr>
              <w:jc w:val="right"/>
            </w:pPr>
            <w:r>
              <w:rPr>
                <w:rFonts w:ascii="宋体" w:eastAsia="宋体" w:hAnsi="宋体" w:cs="宋体"/>
                <w:b w:val="0"/>
                <w:i w:val="0"/>
                <w:color w:val="000000"/>
                <w:sz w:val="8"/>
              </w:rPr>
              <w:t xml:space="preserve">237.54</w:t>
            </w:r>
          </w:p>
        </w:tc>
        <w:tc>
          <w:tcPr>
            <w:tcW w:w="720" w:type="dxa"/>
            <w:tcBorders/>
            <w:vAlign w:val="center"/>
          </w:tcPr>
          <w:p>
            <w:pPr>
              <w:jc w:val="right"/>
            </w:pPr>
            <w:r>
              <w:rPr>
                <w:rFonts w:ascii="宋体" w:eastAsia="宋体" w:hAnsi="宋体" w:cs="宋体"/>
                <w:b w:val="0"/>
                <w:i w:val="0"/>
                <w:color w:val="000000"/>
                <w:sz w:val="8"/>
              </w:rPr>
              <w:t xml:space="preserve">237.54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p>
        </w:tc>
        <w:tc>
          <w:tcPr>
            <w:tcW w:w="154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72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237.54</w:t>
            </w:r>
          </w:p>
        </w:tc>
        <w:tc>
          <w:tcPr>
            <w:tcW w:w="1060" w:type="dxa"/>
            <w:tcBorders/>
            <w:vAlign w:val="center"/>
          </w:tcPr>
          <w:p>
            <w:pPr>
              <w:jc w:val="right"/>
            </w:pPr>
            <w:r>
              <w:rPr>
                <w:rFonts w:ascii="宋体" w:eastAsia="宋体" w:hAnsi="宋体" w:cs="宋体"/>
                <w:b w:val="0"/>
                <w:i w:val="0"/>
                <w:color w:val="000000"/>
                <w:sz w:val="13"/>
              </w:rPr>
              <w:t xml:space="preserve">189.54</w:t>
            </w:r>
          </w:p>
        </w:tc>
        <w:tc>
          <w:tcPr>
            <w:tcW w:w="1140" w:type="dxa"/>
            <w:tcBorders/>
            <w:vAlign w:val="center"/>
          </w:tcPr>
          <w:p>
            <w:pPr>
              <w:jc w:val="right"/>
            </w:pPr>
            <w:r>
              <w:rPr>
                <w:rFonts w:ascii="宋体" w:eastAsia="宋体" w:hAnsi="宋体" w:cs="宋体"/>
                <w:b w:val="0"/>
                <w:i w:val="0"/>
                <w:color w:val="000000"/>
                <w:sz w:val="13"/>
              </w:rPr>
              <w:t xml:space="preserve">133.60</w:t>
            </w:r>
          </w:p>
        </w:tc>
        <w:tc>
          <w:tcPr>
            <w:tcW w:w="1140" w:type="dxa"/>
            <w:tcBorders/>
            <w:vAlign w:val="center"/>
          </w:tcPr>
          <w:p>
            <w:pPr>
              <w:jc w:val="right"/>
            </w:pPr>
            <w:r>
              <w:rPr>
                <w:rFonts w:ascii="宋体" w:eastAsia="宋体" w:hAnsi="宋体" w:cs="宋体"/>
                <w:b w:val="0"/>
                <w:i w:val="0"/>
                <w:color w:val="000000"/>
                <w:sz w:val="13"/>
              </w:rPr>
              <w:t xml:space="preserve">53.25</w:t>
            </w:r>
          </w:p>
        </w:tc>
        <w:tc>
          <w:tcPr>
            <w:tcW w:w="1140" w:type="dxa"/>
            <w:tcBorders/>
            <w:vAlign w:val="center"/>
          </w:tcPr>
          <w:p>
            <w:pPr>
              <w:jc w:val="right"/>
            </w:pPr>
            <w:r>
              <w:rPr>
                <w:rFonts w:ascii="宋体" w:eastAsia="宋体" w:hAnsi="宋体" w:cs="宋体"/>
                <w:b w:val="0"/>
                <w:i w:val="0"/>
                <w:color w:val="000000"/>
                <w:sz w:val="13"/>
              </w:rPr>
              <w:t xml:space="preserve">2.69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48.00</w:t>
            </w:r>
          </w:p>
        </w:tc>
        <w:tc>
          <w:tcPr>
            <w:tcW w:w="1140" w:type="dxa"/>
            <w:tcBorders/>
            <w:vAlign w:val="center"/>
          </w:tcPr>
          <w:p>
            <w:pPr>
              <w:jc w:val="right"/>
            </w:pPr>
            <w:r>
              <w:rPr>
                <w:rFonts w:ascii="宋体" w:eastAsia="宋体" w:hAnsi="宋体" w:cs="宋体"/>
                <w:b w:val="0"/>
                <w:i w:val="0"/>
                <w:color w:val="000000"/>
                <w:sz w:val="13"/>
              </w:rPr>
              <w:t xml:space="preserve">48.00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155.84</w:t>
            </w:r>
          </w:p>
        </w:tc>
        <w:tc>
          <w:tcPr>
            <w:tcW w:w="1380" w:type="dxa"/>
            <w:tcBorders/>
            <w:vAlign w:val="center"/>
          </w:tcPr>
          <w:p>
            <w:pPr>
              <w:jc w:val="right"/>
            </w:pPr>
            <w:r>
              <w:rPr>
                <w:rFonts w:ascii="宋体" w:eastAsia="宋体" w:hAnsi="宋体" w:cs="宋体"/>
                <w:b w:val="0"/>
                <w:i w:val="0"/>
                <w:color w:val="000000"/>
                <w:sz w:val="16"/>
              </w:rPr>
              <w:t xml:space="preserve">155.84</w:t>
            </w:r>
          </w:p>
        </w:tc>
        <w:tc>
          <w:tcPr>
            <w:tcW w:w="1380" w:type="dxa"/>
            <w:tcBorders/>
            <w:vAlign w:val="center"/>
          </w:tcPr>
          <w:p>
            <w:pPr>
              <w:jc w:val="right"/>
            </w:pPr>
            <w:r>
              <w:rPr>
                <w:rFonts w:ascii="宋体" w:eastAsia="宋体" w:hAnsi="宋体" w:cs="宋体"/>
                <w:b w:val="0"/>
                <w:i w:val="0"/>
                <w:color w:val="000000"/>
                <w:sz w:val="16"/>
              </w:rPr>
              <w:t xml:space="preserve">155.84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63.95</w:t>
            </w:r>
          </w:p>
        </w:tc>
        <w:tc>
          <w:tcPr>
            <w:tcW w:w="1380" w:type="dxa"/>
            <w:tcBorders/>
            <w:vAlign w:val="center"/>
          </w:tcPr>
          <w:p>
            <w:pPr>
              <w:jc w:val="right"/>
            </w:pPr>
            <w:r>
              <w:rPr>
                <w:rFonts w:ascii="宋体" w:eastAsia="宋体" w:hAnsi="宋体" w:cs="宋体"/>
                <w:b w:val="0"/>
                <w:i w:val="0"/>
                <w:color w:val="000000"/>
                <w:sz w:val="16"/>
              </w:rPr>
              <w:t xml:space="preserve">63.95</w:t>
            </w:r>
          </w:p>
        </w:tc>
        <w:tc>
          <w:tcPr>
            <w:tcW w:w="1380" w:type="dxa"/>
            <w:tcBorders/>
            <w:vAlign w:val="center"/>
          </w:tcPr>
          <w:p>
            <w:pPr>
              <w:jc w:val="right"/>
            </w:pPr>
            <w:r>
              <w:rPr>
                <w:rFonts w:ascii="宋体" w:eastAsia="宋体" w:hAnsi="宋体" w:cs="宋体"/>
                <w:b w:val="0"/>
                <w:i w:val="0"/>
                <w:color w:val="000000"/>
                <w:sz w:val="16"/>
              </w:rPr>
              <w:t xml:space="preserve">63.95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7.45</w:t>
            </w:r>
          </w:p>
        </w:tc>
        <w:tc>
          <w:tcPr>
            <w:tcW w:w="1380" w:type="dxa"/>
            <w:tcBorders/>
            <w:vAlign w:val="center"/>
          </w:tcPr>
          <w:p>
            <w:pPr>
              <w:jc w:val="right"/>
            </w:pPr>
            <w:r>
              <w:rPr>
                <w:rFonts w:ascii="宋体" w:eastAsia="宋体" w:hAnsi="宋体" w:cs="宋体"/>
                <w:b w:val="0"/>
                <w:i w:val="0"/>
                <w:color w:val="000000"/>
                <w:sz w:val="16"/>
              </w:rPr>
              <w:t xml:space="preserve">7.45</w:t>
            </w:r>
          </w:p>
        </w:tc>
        <w:tc>
          <w:tcPr>
            <w:tcW w:w="1380" w:type="dxa"/>
            <w:tcBorders/>
            <w:vAlign w:val="center"/>
          </w:tcPr>
          <w:p>
            <w:pPr>
              <w:jc w:val="right"/>
            </w:pPr>
            <w:r>
              <w:rPr>
                <w:rFonts w:ascii="宋体" w:eastAsia="宋体" w:hAnsi="宋体" w:cs="宋体"/>
                <w:b w:val="0"/>
                <w:i w:val="0"/>
                <w:color w:val="000000"/>
                <w:sz w:val="16"/>
              </w:rPr>
              <w:t xml:space="preserve">7.45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10.30</w:t>
            </w:r>
          </w:p>
        </w:tc>
        <w:tc>
          <w:tcPr>
            <w:tcW w:w="1380" w:type="dxa"/>
            <w:tcBorders/>
            <w:vAlign w:val="center"/>
          </w:tcPr>
          <w:p>
            <w:pPr>
              <w:jc w:val="right"/>
            </w:pPr>
            <w:r>
              <w:rPr>
                <w:rFonts w:ascii="宋体" w:eastAsia="宋体" w:hAnsi="宋体" w:cs="宋体"/>
                <w:b w:val="0"/>
                <w:i w:val="0"/>
                <w:color w:val="000000"/>
                <w:sz w:val="16"/>
              </w:rPr>
              <w:t xml:space="preserve">10.30</w:t>
            </w:r>
          </w:p>
        </w:tc>
        <w:tc>
          <w:tcPr>
            <w:tcW w:w="1380" w:type="dxa"/>
            <w:tcBorders/>
            <w:vAlign w:val="center"/>
          </w:tcPr>
          <w:p>
            <w:pPr>
              <w:jc w:val="right"/>
            </w:pPr>
            <w:r>
              <w:rPr>
                <w:rFonts w:ascii="宋体" w:eastAsia="宋体" w:hAnsi="宋体" w:cs="宋体"/>
                <w:b w:val="0"/>
                <w:i w:val="0"/>
                <w:color w:val="000000"/>
                <w:sz w:val="16"/>
              </w:rPr>
              <w:t xml:space="preserve">10.30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1380" w:type="dxa"/>
            <w:tcBorders/>
            <w:vAlign w:val="center"/>
          </w:tcPr>
          <w:p>
            <w:pPr>
              <w:jc w:val="right"/>
            </w:pPr>
            <w:r>
              <w:rPr>
                <w:rFonts w:ascii="宋体" w:eastAsia="宋体" w:hAnsi="宋体" w:cs="宋体"/>
                <w:b w:val="0"/>
                <w:i w:val="0"/>
                <w:color w:val="000000"/>
                <w:sz w:val="16"/>
              </w:rPr>
              <w:t xml:space="preserve">237.54</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237.54</w:t>
            </w:r>
          </w:p>
        </w:tc>
        <w:tc>
          <w:tcPr>
            <w:tcW w:w="1160" w:type="dxa"/>
            <w:tcBorders/>
            <w:vAlign w:val="center"/>
          </w:tcPr>
          <w:p>
            <w:pPr>
              <w:jc w:val="right"/>
            </w:pPr>
            <w:r>
              <w:rPr>
                <w:rFonts w:ascii="宋体" w:eastAsia="宋体" w:hAnsi="宋体" w:cs="宋体"/>
                <w:b w:val="0"/>
                <w:i w:val="0"/>
                <w:color w:val="000000"/>
                <w:sz w:val="14"/>
              </w:rPr>
              <w:t xml:space="preserve">189.54</w:t>
            </w:r>
          </w:p>
        </w:tc>
        <w:tc>
          <w:tcPr>
            <w:tcW w:w="1160" w:type="dxa"/>
            <w:tcBorders/>
            <w:vAlign w:val="center"/>
          </w:tcPr>
          <w:p>
            <w:pPr>
              <w:jc w:val="right"/>
            </w:pPr>
            <w:r>
              <w:rPr>
                <w:rFonts w:ascii="宋体" w:eastAsia="宋体" w:hAnsi="宋体" w:cs="宋体"/>
                <w:b w:val="0"/>
                <w:i w:val="0"/>
                <w:color w:val="000000"/>
                <w:sz w:val="14"/>
              </w:rPr>
              <w:t xml:space="preserve">133.60</w:t>
            </w:r>
          </w:p>
        </w:tc>
        <w:tc>
          <w:tcPr>
            <w:tcW w:w="1160" w:type="dxa"/>
            <w:tcBorders/>
            <w:vAlign w:val="center"/>
          </w:tcPr>
          <w:p>
            <w:pPr>
              <w:jc w:val="right"/>
            </w:pPr>
            <w:r>
              <w:rPr>
                <w:rFonts w:ascii="宋体" w:eastAsia="宋体" w:hAnsi="宋体" w:cs="宋体"/>
                <w:b w:val="0"/>
                <w:i w:val="0"/>
                <w:color w:val="000000"/>
                <w:sz w:val="14"/>
              </w:rPr>
              <w:t xml:space="preserve">53.25</w:t>
            </w:r>
          </w:p>
        </w:tc>
        <w:tc>
          <w:tcPr>
            <w:tcW w:w="1160" w:type="dxa"/>
            <w:tcBorders/>
            <w:vAlign w:val="center"/>
          </w:tcPr>
          <w:p>
            <w:pPr>
              <w:jc w:val="right"/>
            </w:pPr>
            <w:r>
              <w:rPr>
                <w:rFonts w:ascii="宋体" w:eastAsia="宋体" w:hAnsi="宋体" w:cs="宋体"/>
                <w:b w:val="0"/>
                <w:i w:val="0"/>
                <w:color w:val="000000"/>
                <w:sz w:val="14"/>
              </w:rPr>
              <w:t xml:space="preserve">2.69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48.00</w:t>
            </w:r>
          </w:p>
        </w:tc>
        <w:tc>
          <w:tcPr>
            <w:tcW w:w="1160" w:type="dxa"/>
            <w:tcBorders/>
            <w:vAlign w:val="center"/>
          </w:tcPr>
          <w:p>
            <w:pPr>
              <w:jc w:val="right"/>
            </w:pPr>
            <w:r>
              <w:rPr>
                <w:rFonts w:ascii="宋体" w:eastAsia="宋体" w:hAnsi="宋体" w:cs="宋体"/>
                <w:b w:val="0"/>
                <w:i w:val="0"/>
                <w:color w:val="000000"/>
                <w:sz w:val="14"/>
              </w:rPr>
              <w:t xml:space="preserve">48.00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189.54</w:t>
            </w:r>
          </w:p>
        </w:tc>
        <w:tc>
          <w:tcPr>
            <w:tcW w:w="1440" w:type="dxa"/>
            <w:tcBorders/>
            <w:vAlign w:val="center"/>
          </w:tcPr>
          <w:p>
            <w:pPr>
              <w:jc w:val="right"/>
            </w:pPr>
            <w:r>
              <w:rPr>
                <w:rFonts w:ascii="宋体" w:eastAsia="宋体" w:hAnsi="宋体" w:cs="宋体"/>
                <w:b w:val="0"/>
                <w:i w:val="0"/>
                <w:color w:val="000000"/>
                <w:sz w:val="17"/>
              </w:rPr>
              <w:t xml:space="preserve">186.85</w:t>
            </w:r>
          </w:p>
        </w:tc>
        <w:tc>
          <w:tcPr>
            <w:tcW w:w="1478" w:type="dxa"/>
            <w:tcBorders/>
            <w:vAlign w:val="center"/>
          </w:tcPr>
          <w:p>
            <w:pPr>
              <w:jc w:val="right"/>
            </w:pPr>
            <w:r>
              <w:rPr>
                <w:rFonts w:ascii="宋体" w:eastAsia="宋体" w:hAnsi="宋体" w:cs="宋体"/>
                <w:b w:val="0"/>
                <w:i w:val="0"/>
                <w:color w:val="000000"/>
                <w:sz w:val="17"/>
              </w:rPr>
              <w:t xml:space="preserve">2.69</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p>
        </w:tc>
        <w:tc>
          <w:tcPr>
            <w:tcW w:w="1440" w:type="dxa"/>
            <w:tcBorders/>
            <w:vAlign w:val="center"/>
          </w:tcPr>
          <w:p>
            <w:pP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237.54</w:t>
            </w:r>
          </w:p>
        </w:tc>
        <w:tc>
          <w:tcPr>
            <w:tcW w:w="920" w:type="dxa"/>
            <w:tcBorders/>
            <w:vAlign w:val="center"/>
          </w:tcPr>
          <w:p>
            <w:pPr>
              <w:jc w:val="right"/>
            </w:pPr>
            <w:r>
              <w:rPr>
                <w:rFonts w:ascii="宋体" w:eastAsia="宋体" w:hAnsi="宋体" w:cs="宋体"/>
                <w:b w:val="0"/>
                <w:i w:val="0"/>
                <w:color w:val="000000"/>
                <w:sz w:val="11"/>
              </w:rPr>
              <w:t xml:space="preserve">237.54</w:t>
            </w:r>
          </w:p>
        </w:tc>
        <w:tc>
          <w:tcPr>
            <w:tcW w:w="920" w:type="dxa"/>
            <w:tcBorders/>
            <w:vAlign w:val="center"/>
          </w:tcPr>
          <w:p>
            <w:pPr>
              <w:jc w:val="right"/>
            </w:pPr>
            <w:r>
              <w:rPr>
                <w:rFonts w:ascii="宋体" w:eastAsia="宋体" w:hAnsi="宋体" w:cs="宋体"/>
                <w:b w:val="0"/>
                <w:i w:val="0"/>
                <w:color w:val="000000"/>
                <w:sz w:val="11"/>
              </w:rPr>
              <w:t xml:space="preserve">237.54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48.00</w:t>
            </w:r>
          </w:p>
        </w:tc>
        <w:tc>
          <w:tcPr>
            <w:tcW w:w="1160" w:type="dxa"/>
            <w:tcBorders/>
            <w:vAlign w:val="center"/>
          </w:tcPr>
          <w:p>
            <w:pPr>
              <w:jc w:val="right"/>
            </w:pPr>
            <w:r>
              <w:rPr>
                <w:rFonts w:ascii="宋体" w:eastAsia="宋体" w:hAnsi="宋体" w:cs="宋体"/>
                <w:b w:val="0"/>
                <w:i w:val="0"/>
                <w:color w:val="000000"/>
                <w:sz w:val="14"/>
              </w:rPr>
              <w:t xml:space="preserve">48.00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部门：三门峡市陕州区总工会</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2.69</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51"/>
        <w:gridCol w:w="1449"/>
        <w:gridCol w:w="2198"/>
        <w:gridCol w:w="1172"/>
        <w:gridCol w:w="7581"/>
      </w:tblGrid>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nil"/>
              <w:left w:val="nil"/>
              <w:bottom w:val="nil"/>
              <w:right w:val="nil"/>
            </w:tcBorders>
            <w:shd w:val="clear" w:color="auto" w:fill="auto"/>
            <w:noWrap w:val="1"/>
            <w:vAlign w:val="center"/>
          </w:tcPr>
          <w:p>
            <w:pPr>
              <w:pStyle w:val="Normal_ed84c7e4-b851-4a72-b4fb-d04af3262521"/>
              <w:rPr>
                <w:rFonts w:ascii="宋体" w:eastAsia="宋体" w:hAnsi="宋体" w:cs="宋体" w:hint="eastAsia"/>
                <w:i w:val="0"/>
                <w:iCs w:val="0"/>
                <w:color w:val="000000"/>
                <w:sz w:val="22"/>
                <w:szCs w:val="22"/>
                <w:u w:val="none"/>
              </w:rPr>
            </w:pPr>
          </w:p>
        </w:tc>
        <w:tc>
          <w:tcPr>
            <w:tcW w:w="1449" w:type="dxa"/>
            <w:tcBorders>
              <w:top w:val="nil"/>
              <w:left w:val="nil"/>
              <w:bottom w:val="nil"/>
              <w:right w:val="nil"/>
            </w:tcBorders>
            <w:shd w:val="clear" w:color="auto" w:fill="auto"/>
            <w:noWrap w:val="1"/>
            <w:vAlign w:val="center"/>
          </w:tcPr>
          <w:p>
            <w:pPr>
              <w:pStyle w:val="Normal_ed84c7e4-b851-4a72-b4fb-d04af3262521"/>
              <w:rPr>
                <w:rFonts w:ascii="宋体" w:eastAsia="宋体" w:hAnsi="宋体" w:cs="宋体" w:hint="eastAsia"/>
                <w:i w:val="0"/>
                <w:iCs w:val="0"/>
                <w:color w:val="000000"/>
                <w:sz w:val="22"/>
                <w:szCs w:val="22"/>
                <w:u w:val="none"/>
              </w:rPr>
            </w:pPr>
          </w:p>
        </w:tc>
        <w:tc>
          <w:tcPr>
            <w:tcW w:w="2198" w:type="dxa"/>
            <w:tcBorders>
              <w:top w:val="nil"/>
              <w:left w:val="nil"/>
              <w:bottom w:val="nil"/>
              <w:right w:val="nil"/>
            </w:tcBorders>
            <w:shd w:val="clear" w:color="auto" w:fill="auto"/>
            <w:noWrap w:val="1"/>
            <w:vAlign w:val="center"/>
          </w:tcPr>
          <w:p>
            <w:pPr>
              <w:pStyle w:val="Normal_ed84c7e4-b851-4a72-b4fb-d04af3262521"/>
              <w:rPr>
                <w:rFonts w:ascii="宋体" w:eastAsia="宋体" w:hAnsi="宋体" w:cs="宋体" w:hint="eastAsia"/>
                <w:i w:val="0"/>
                <w:iCs w:val="0"/>
                <w:color w:val="000000"/>
                <w:sz w:val="22"/>
                <w:szCs w:val="22"/>
                <w:u w:val="none"/>
              </w:rPr>
            </w:pPr>
          </w:p>
        </w:tc>
        <w:tc>
          <w:tcPr>
            <w:tcW w:w="1172" w:type="dxa"/>
            <w:tcBorders>
              <w:top w:val="nil"/>
              <w:left w:val="nil"/>
              <w:bottom w:val="nil"/>
              <w:right w:val="nil"/>
            </w:tcBorders>
            <w:shd w:val="clear" w:color="auto" w:fill="auto"/>
            <w:noWrap w:val="1"/>
            <w:vAlign w:val="center"/>
          </w:tcPr>
          <w:p>
            <w:pPr>
              <w:pStyle w:val="Normal_ed84c7e4-b851-4a72-b4fb-d04af3262521"/>
              <w:rPr>
                <w:rFonts w:ascii="宋体" w:eastAsia="宋体" w:hAnsi="宋体" w:cs="宋体" w:hint="eastAsia"/>
                <w:i w:val="0"/>
                <w:iCs w:val="0"/>
                <w:color w:val="000000"/>
                <w:sz w:val="22"/>
                <w:szCs w:val="22"/>
                <w:u w:val="none"/>
              </w:rPr>
            </w:pPr>
          </w:p>
        </w:tc>
        <w:tc>
          <w:tcPr>
            <w:tcW w:w="7581" w:type="dxa"/>
            <w:tcBorders>
              <w:top w:val="nil"/>
              <w:left w:val="nil"/>
              <w:bottom w:val="nil"/>
              <w:right w:val="nil"/>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3751" w:type="dxa"/>
            <w:gridSpan w:val="5"/>
            <w:tcBorders>
              <w:top w:val="nil"/>
              <w:left w:val="nil"/>
              <w:bottom w:val="nil"/>
              <w:right w:val="nil"/>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751" w:type="dxa"/>
            <w:gridSpan w:val="5"/>
            <w:tcBorders>
              <w:top w:val="nil"/>
              <w:left w:val="nil"/>
              <w:bottom w:val="nil"/>
              <w:right w:val="nil"/>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7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部门名称：三门峡市陕州区总工会</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12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区总工会的主要职责是维护职工合法权益和民主权利，贴近职工需求做好服务工作，构建和发展和谐劳动关系，加强基层工会基础工作，积极推进工会阵地建设。依照规定做好工会经费收缴和应当由财政负担的工会经费拨缴工作，开展“五一系列活动”，实施送温暖工程—“春送岗位、夏送清凉、金秋助学、冬送温暖”，继续深入开展职工医疗互助活动，做好劳模服务工作。</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维护职工合法权益</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开展“春送岗位、夏送清凉、金秋助学、冬送温暖”等各类活动</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237.54</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237.54</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189.54</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ed84c7e4-b851-4a72-b4fb-d04af3262521"/>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48.00</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89"/>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7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2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7"/>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3"/>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“三公经费”控制率=本年度“三公经费”实际支出数/“三公经费”预算数*100%</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3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85"/>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5"/>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7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4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2198" w:type="dxa"/>
            <w:tcBorders>
              <w:top w:val="nil"/>
              <w:left w:val="nil"/>
              <w:bottom w:val="nil"/>
              <w:right w:val="nil"/>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2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部门（单位）按要求编制绩效目标的项目数量占应编制绩效目标项目总数的比重。部门目标编制完成率=已完成绩效目标编制项目数量/部门应编制绩效目标项目总数*100%</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35"/>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5"/>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31"/>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开展“春送岗位、夏送清凉、金秋助学、冬送温暖”等各类活动</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反映本部门负责的重点工作任务进展情况。分项具体列示本部门重点工作任务推进情况，相关情况应予以细化、量化表述。</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维护职工合法权益</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反映本部门负责的重点工作任务进展情况。分项具体列示本部门重点工作任务推进情况，相关情况应予以细化、量化表述。</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35"/>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年度履职目标实现率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反映本部门制定的年度工作目标达成情况。分项具体列示本部门年度工作目标达成情况，相关情况应予以细化、量化表述。</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1"/>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社会效益1</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加大力度</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反映部门履职对经济社会发展等所带来的直接或间接影响。可根据部门实际情况有选择的进行设置，并将三级指标细化为相应的个性化指标</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9"/>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社会效益2</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全面保障</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反映部门履职对经济社会发展等所带来的直接或间接影响。可根据部门实际情况有选择的进行设置，并将三级指标细化为相应的个性化指标</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7"/>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反映社会公众或服务对象在部门履职效果、解决民众关心的热点问题等方面的满意程度。可根据部门实际情况有选择的进行设置，并将三级指标细化为相应的个性化指标。</w:t>
            </w:r>
          </w:p>
        </w:tc>
      </w:tr>
      <w:tr>
        <w:tblPrEx>
          <w:tblW w:w="137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社会公众满意度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75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反映社会公众</w:t>
            </w:r>
            <w:r>
              <w:rPr>
                <w:rFonts w:ascii="宋体" w:eastAsia="宋体" w:hAnsi="宋体" w:cs="宋体"/>
                <w:i w:val="0"/>
                <w:iCs w:val="0"/>
                <w:color w:val="000000"/>
                <w:kern w:val="0"/>
                <w:sz w:val="18"/>
                <w:szCs w:val="18"/>
                <w:u w:val="none"/>
                <w:bdr w:val="none" w:sz="0" w:space="0" w:color="auto"/>
                <w:lang w:val="en-US" w:eastAsia="zh-CN"/>
              </w:rPr>
              <w:t xml:space="preserve">或服务对象在部门履职效果、解决民众关心的热点问题等方面的满意程度。可根据部门实际情况有选择的进行设置，并将三级指标细化为相应的个性化指标。</w:t>
            </w:r>
          </w:p>
        </w:tc>
      </w:tr>
    </w:tbl>
    <w:p>
      <w:pPr>
        <w:pStyle w:val="Normal_ed84c7e4-b851-4a72-b4fb-d04af3262521"/>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169"/>
        <w:gridCol w:w="792"/>
        <w:gridCol w:w="698"/>
        <w:gridCol w:w="967"/>
        <w:gridCol w:w="478"/>
        <w:gridCol w:w="537"/>
        <w:gridCol w:w="434"/>
        <w:gridCol w:w="1664"/>
        <w:gridCol w:w="922"/>
        <w:gridCol w:w="1298"/>
        <w:gridCol w:w="727"/>
        <w:gridCol w:w="1474"/>
        <w:gridCol w:w="924"/>
      </w:tblGrid>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190" w:type="dxa"/>
            <w:gridSpan w:val="14"/>
            <w:tcBorders>
              <w:top w:val="nil"/>
              <w:left w:val="nil"/>
              <w:bottom w:val="nil"/>
              <w:right w:val="nil"/>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预算12表</w:t>
            </w: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4190" w:type="dxa"/>
            <w:gridSpan w:val="14"/>
            <w:tcBorders>
              <w:top w:val="nil"/>
              <w:left w:val="nil"/>
              <w:bottom w:val="nil"/>
              <w:right w:val="nil"/>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2024年部门预算项目绩效目标汇总表</w:t>
            </w: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190" w:type="dxa"/>
            <w:gridSpan w:val="14"/>
            <w:tcBorders>
              <w:top w:val="nil"/>
              <w:left w:val="nil"/>
              <w:bottom w:val="nil"/>
              <w:right w:val="nil"/>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部门名称：三门峡市陕州区总工会</w:t>
            </w: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29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7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293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226</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left"/>
              <w:rPr>
                <w:rFonts w:ascii="宋体" w:eastAsia="宋体" w:hAnsi="宋体" w:cs="宋体" w:hint="eastAsia"/>
                <w:i w:val="0"/>
                <w:iCs w:val="0"/>
                <w:color w:val="000000"/>
                <w:sz w:val="18"/>
                <w:szCs w:val="18"/>
                <w:u w:val="none"/>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48.00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226001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三门峡市陕州区总工会</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48.00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411203240000000007670</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2024年度工会活动经费</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40.00</w: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40.00</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举办活动数量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&gt;8个</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干部职工权益保障</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已落实</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干部职工满意度</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活动完成进度</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已开展</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活动分布时间</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411203240000000008002</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2024年度送温暖活动</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举办活动数量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1个</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困难职工帮扶</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已落实</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困难职工满意度</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活动完成质量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r>
      <w:tr>
        <w:tblPrEx>
          <w:tblW w:w="1419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center"/>
              <w:rPr>
                <w:rFonts w:ascii="宋体" w:eastAsia="宋体" w:hAnsi="宋体" w:cs="宋体" w:hint="eastAsia"/>
                <w:i w:val="0"/>
                <w:iCs w:val="0"/>
                <w:color w:val="000000"/>
                <w:sz w:val="18"/>
                <w:szCs w:val="18"/>
                <w:u w:val="none"/>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jc w:val="right"/>
              <w:rPr>
                <w:rFonts w:ascii="宋体" w:eastAsia="宋体" w:hAnsi="宋体" w:cs="宋体" w:hint="eastAsia"/>
                <w:i w:val="0"/>
                <w:iCs w:val="0"/>
                <w:color w:val="000000"/>
                <w:sz w:val="18"/>
                <w:szCs w:val="18"/>
                <w:u w:val="none"/>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活动分布时间</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d84c7e4-b851-4a72-b4fb-d04af3262521"/>
              <w:rPr>
                <w:rFonts w:ascii="宋体" w:eastAsia="宋体" w:hAnsi="宋体" w:cs="宋体" w:hint="eastAsia"/>
                <w:i w:val="0"/>
                <w:iCs w:val="0"/>
                <w:color w:val="000000"/>
                <w:sz w:val="18"/>
                <w:szCs w:val="18"/>
                <w:u w:val="none"/>
              </w:rPr>
            </w:pPr>
          </w:p>
        </w:tc>
      </w:tr>
    </w:tbl>
    <w:p>
      <w:pPr>
        <w:pStyle w:val="Normal_ed84c7e4-b851-4a72-b4fb-d04af3262521"/>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96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ed84c7e4-b851-4a72-b4fb-d04af3262521">
    <w:name w:val="Normal_ed84c7e4-b851-4a72-b4fb-d04af3262521"/>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