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三门峡市陕州区审计局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三门峡市陕州区审计局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三门峡市陕州区审计局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三门峡市陕州区审计局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三门峡市陕州区审计局部门（单位）概况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一、三门峡市陕州区审计局部门（单位）主要职责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根据《中共三门峡市陕州区委办公室、陕州区人民政府办公室关于印发〈三门峡市陕州区审计局职能配置、内设机构和人员编制规定〉的通知》（三陕办文[2019]38号文件规定，本部门主要职责是：</w:t>
        <w:br/>
        <w:t xml:space="preserve">  （一）负责全区审计工作。负责对党中央、国务院及省 委、省政府、市委、市政府、区委、区政府有关重大政策措施贯彻落实情况进行跟踪审计，对全区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br/>
        <w:t xml:space="preserve">（二）参与起草审计、经济社会发展等方面的政策草案，拟定审计制度并监督执行。拟订并组织实施审计工作发展规 划和专业领域审计工作规划，拟订并组织实施年度审计计 划。对直接审计、调查和核查的事项依法进行审计评价，作出审计决定或提出审计建议。</w:t>
        <w:br/>
        <w:t xml:space="preserve">（三）向中共三门峡市陕州区委审计委员会提出年度区 级预算执行和其他财政收支情况审计报告、审计查出问题整 改情况报告和年度审计项目计划等审计重大事项。向区政府 提出年度区级预算执行和其他财政收支的审计结果报告和 审计查出问题整改情况报告。受区政府委托向区人大常委会 提出区级预算执行和其他财政收支情况的审计工作报告、审 计查出问题整改情况报告。向中共三门峡市陕州区委审计委 员会和区政府报告其他事项的审计和专项审计调查情况及 结果。依法向社会公布审计结果。向区委、区政府有关部门， 乡（镇）党委、政府通报审计情况和审计结果。</w:t>
        <w:br/>
        <w:t xml:space="preserve">（四）直接审计下列事项，出具审计报告，在法定职权 范围内作出审计决定或向有关主管机关提出有关处理处罚 建议：</w:t>
        <w:br/>
        <w:t xml:space="preserve">1、党中央、国务院及省委、省政府、市委、市政府、区 委、区政府有关重大政策措施贯彻落实情况。</w:t>
        <w:br/>
        <w:t xml:space="preserve">2、区级预算执行情况和其他财政收支，区委、区政府各 部门（含直属单位）预算执行情况、决算和其他财政收支。</w:t>
        <w:br/>
        <w:t xml:space="preserve">3、乡（镇）政府预算执行情况、决算和其他财政收支, 区级财政转移支付资金。</w:t>
        <w:br/>
        <w:t xml:space="preserve">4、使用区级财政资金的事业单位和社会团体的财务 收支。</w:t>
        <w:br/>
        <w:t xml:space="preserve">5、区级投资和以区级投资为主的建设项目的预算执行 情况和决算，区级重大公共工程项目的资金管理使用和建设 运营情况。</w:t>
        <w:br/>
        <w:t xml:space="preserve">6、自然资源管理、污染防治和生态保护与修复情况。</w:t>
        <w:br/>
        <w:t xml:space="preserve">7、区属国有企业和金融机构、区政府规定的区属国有资 本占控股或主导地位的企业和金融机构境内外资产、负债和 损益。</w:t>
        <w:br/>
        <w:t xml:space="preserve">8、区政府部门管理，其他单位受区政府及其部门委托管 理的社会保障基金、社会捐赠资金及其他有关基金、资金的 财务收支。</w:t>
        <w:br/>
        <w:t xml:space="preserve">9、国际组织和外国政府援助、贷款项目。</w:t>
        <w:br/>
        <w:t xml:space="preserve">10、法律、行政法规和地方性法规规定应由区级审计机 构审计的其他事项。</w:t>
        <w:br/>
        <w:t xml:space="preserve">（五）按规定对区管领导干部及依法属于审计监督对象 的其他单位主要负责人实施经济责任审计和自然资源资产 离任及任中审计。</w:t>
        <w:br/>
        <w:t xml:space="preserve">（六）组织实施对财经法律、法规、规章、政策和宏观 调控措施执行情况、财政预算管理及国有资产管理使用等与 区级财政收支有关的特定事项进行专项审计调查。</w:t>
        <w:br/>
        <w:t xml:space="preserve">（七）依法检查审计决定执行情况，督促整改审计查出 的问题。依法办理被审计单位对审计决定提请行政复议、行 政诉讼或区政府裁决的有关事项。协助配合有关部门查处相 关重大案件。</w:t>
        <w:br/>
        <w:t xml:space="preserve">（八）指导和监督内部审计工作，核查社会审计机构对 依法属于审计监督对象单位出具的相关审计报告。</w:t>
        <w:br/>
        <w:t xml:space="preserve">（九）完成区委、区政府交办的其他任务。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审计局内设八股一室两中心，包括办公室、法规股、财政金融审计股、行政事业审计股、经济贸易审计股、政策跟踪审计股、经济责任审计股、固定资产投资审计股、内部审计指导监督股、经济责任审计中心、基本建设投资审计中心。三门峡市陕州区审计局部门预算为局机关本级预算，没有设立下属二级预算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三、三门峡市陕州区审计局预算单位构成情况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三门峡市陕州区审计局部门预算为局机关本级预算，没有设立下属二级预算单位。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三门峡市陕州区审计局2024年部门（单位）预算情况说明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减少231.76万元，下降34.79%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一是月目标考核奖等津补贴改革；二是人员调出，退休，人员工资和各项社保基金预算均有减少。三是项目支出里的专项支出减少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减少231.76万元，下降34.79%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一是月目标考核奖等津补贴改革；二是人员调出，退休，人员工资和各项社保基金预算均有减少。三是项目支出里的专项支出减少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一般公共预算434.43万元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基本支出374.19万元，占86.13%；项目支出60.24万元，占13.87%</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减少231.76万元，下降34.79%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一是月目标考核奖等津补贴改革；二是人员调出，退休，人员工资和各项社保基金预算均有减少。三是项目支出里的专项支出减少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基本支出374.19万元，占86.13%；项目支出60.24万元，占13.87%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一般公共服务支出320.98万元，占73.89%；社会保障和就业支出69.88万元，占16.09%；卫生健康支出17.30万元，占3.98%；住房保障支出26.27万元，占6.05%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374.19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367.88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98.31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6.31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1.69</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2.72</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增加0.02万元，增长0.74%</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0.12</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增加0.02万元，增长20.00%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2024年上级审计项目增加，本年严格执行《党政机关国内公务接待管理规定》等办法，不断规范公务接待管理，严格接待审批控制，厉行勤俭节约，公务接待费支出少量增加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2.60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2.60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6.31</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减少18.05万元，下降74.10%</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压缩机构运行经费的开支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434.43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367.88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6.31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60.24</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三门峡市陕州区审计局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434.43</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320.98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434.43</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69.88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17.30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26.27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434.43</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434.43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434.43</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434.43</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434.43</w:t>
            </w:r>
          </w:p>
        </w:tc>
        <w:tc>
          <w:tcPr>
            <w:tcW w:w="660" w:type="dxa"/>
            <w:tcBorders/>
            <w:vAlign w:val="center"/>
          </w:tcPr>
          <w:p>
            <w:pPr>
              <w:jc w:val="right"/>
            </w:pPr>
            <w:r>
              <w:rPr>
                <w:rFonts w:ascii="宋体" w:eastAsia="宋体" w:hAnsi="宋体" w:cs="宋体"/>
                <w:b w:val="0"/>
                <w:i w:val="0"/>
                <w:color w:val="000000"/>
                <w:sz w:val="8"/>
              </w:rPr>
              <w:t xml:space="preserve">434.43</w:t>
            </w:r>
          </w:p>
        </w:tc>
        <w:tc>
          <w:tcPr>
            <w:tcW w:w="600" w:type="dxa"/>
            <w:tcBorders/>
            <w:vAlign w:val="center"/>
          </w:tcPr>
          <w:p>
            <w:pPr>
              <w:jc w:val="right"/>
            </w:pPr>
            <w:r>
              <w:rPr>
                <w:rFonts w:ascii="宋体" w:eastAsia="宋体" w:hAnsi="宋体" w:cs="宋体"/>
                <w:b w:val="0"/>
                <w:i w:val="0"/>
                <w:color w:val="000000"/>
                <w:sz w:val="8"/>
              </w:rPr>
              <w:t xml:space="preserve">434.43</w:t>
            </w:r>
          </w:p>
        </w:tc>
        <w:tc>
          <w:tcPr>
            <w:tcW w:w="720" w:type="dxa"/>
            <w:tcBorders/>
            <w:vAlign w:val="center"/>
          </w:tcPr>
          <w:p>
            <w:pPr>
              <w:jc w:val="right"/>
            </w:pPr>
            <w:r>
              <w:rPr>
                <w:rFonts w:ascii="宋体" w:eastAsia="宋体" w:hAnsi="宋体" w:cs="宋体"/>
                <w:b w:val="0"/>
                <w:i w:val="0"/>
                <w:color w:val="000000"/>
                <w:sz w:val="8"/>
              </w:rPr>
              <w:t xml:space="preserve">434.43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434.43</w:t>
            </w:r>
          </w:p>
        </w:tc>
        <w:tc>
          <w:tcPr>
            <w:tcW w:w="1060" w:type="dxa"/>
            <w:tcBorders/>
            <w:vAlign w:val="center"/>
          </w:tcPr>
          <w:p>
            <w:pPr>
              <w:jc w:val="right"/>
            </w:pPr>
            <w:r>
              <w:rPr>
                <w:rFonts w:ascii="宋体" w:eastAsia="宋体" w:hAnsi="宋体" w:cs="宋体"/>
                <w:b w:val="0"/>
                <w:i w:val="0"/>
                <w:color w:val="000000"/>
                <w:sz w:val="13"/>
              </w:rPr>
              <w:t xml:space="preserve">374.19</w:t>
            </w:r>
          </w:p>
        </w:tc>
        <w:tc>
          <w:tcPr>
            <w:tcW w:w="1140" w:type="dxa"/>
            <w:tcBorders/>
            <w:vAlign w:val="center"/>
          </w:tcPr>
          <w:p>
            <w:pPr>
              <w:jc w:val="right"/>
            </w:pPr>
            <w:r>
              <w:rPr>
                <w:rFonts w:ascii="宋体" w:eastAsia="宋体" w:hAnsi="宋体" w:cs="宋体"/>
                <w:b w:val="0"/>
                <w:i w:val="0"/>
                <w:color w:val="000000"/>
                <w:sz w:val="13"/>
              </w:rPr>
              <w:t xml:space="preserve">329.87</w:t>
            </w:r>
          </w:p>
        </w:tc>
        <w:tc>
          <w:tcPr>
            <w:tcW w:w="1140" w:type="dxa"/>
            <w:tcBorders/>
            <w:vAlign w:val="center"/>
          </w:tcPr>
          <w:p>
            <w:pPr>
              <w:jc w:val="right"/>
            </w:pPr>
            <w:r>
              <w:rPr>
                <w:rFonts w:ascii="宋体" w:eastAsia="宋体" w:hAnsi="宋体" w:cs="宋体"/>
                <w:b w:val="0"/>
                <w:i w:val="0"/>
                <w:color w:val="000000"/>
                <w:sz w:val="13"/>
              </w:rPr>
              <w:t xml:space="preserve">38.01</w:t>
            </w:r>
          </w:p>
        </w:tc>
        <w:tc>
          <w:tcPr>
            <w:tcW w:w="1140" w:type="dxa"/>
            <w:tcBorders/>
            <w:vAlign w:val="center"/>
          </w:tcPr>
          <w:p>
            <w:pPr>
              <w:jc w:val="right"/>
            </w:pPr>
            <w:r>
              <w:rPr>
                <w:rFonts w:ascii="宋体" w:eastAsia="宋体" w:hAnsi="宋体" w:cs="宋体"/>
                <w:b w:val="0"/>
                <w:i w:val="0"/>
                <w:color w:val="000000"/>
                <w:sz w:val="13"/>
              </w:rPr>
              <w:t xml:space="preserve">6.31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60.24</w:t>
            </w:r>
          </w:p>
        </w:tc>
        <w:tc>
          <w:tcPr>
            <w:tcW w:w="1140" w:type="dxa"/>
            <w:tcBorders/>
            <w:vAlign w:val="center"/>
          </w:tcPr>
          <w:p>
            <w:pPr>
              <w:jc w:val="right"/>
            </w:pPr>
            <w:r>
              <w:rPr>
                <w:rFonts w:ascii="宋体" w:eastAsia="宋体" w:hAnsi="宋体" w:cs="宋体"/>
                <w:b w:val="0"/>
                <w:i w:val="0"/>
                <w:color w:val="000000"/>
                <w:sz w:val="13"/>
              </w:rPr>
              <w:t xml:space="preserve">42.00</w:t>
            </w:r>
          </w:p>
        </w:tc>
        <w:tc>
          <w:tcPr>
            <w:tcW w:w="1158" w:type="dxa"/>
            <w:tcBorders/>
            <w:vAlign w:val="center"/>
          </w:tcPr>
          <w:p>
            <w:pPr>
              <w:jc w:val="right"/>
            </w:pPr>
            <w:r>
              <w:rPr>
                <w:rFonts w:ascii="宋体" w:eastAsia="宋体" w:hAnsi="宋体" w:cs="宋体"/>
                <w:b w:val="0"/>
                <w:i w:val="0"/>
                <w:color w:val="000000"/>
                <w:sz w:val="13"/>
              </w:rPr>
              <w:t xml:space="preserve">18.24</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320.98</w:t>
            </w:r>
          </w:p>
        </w:tc>
        <w:tc>
          <w:tcPr>
            <w:tcW w:w="1380" w:type="dxa"/>
            <w:tcBorders/>
            <w:vAlign w:val="center"/>
          </w:tcPr>
          <w:p>
            <w:pPr>
              <w:jc w:val="right"/>
            </w:pPr>
            <w:r>
              <w:rPr>
                <w:rFonts w:ascii="宋体" w:eastAsia="宋体" w:hAnsi="宋体" w:cs="宋体"/>
                <w:b w:val="0"/>
                <w:i w:val="0"/>
                <w:color w:val="000000"/>
                <w:sz w:val="16"/>
              </w:rPr>
              <w:t xml:space="preserve">320.98</w:t>
            </w:r>
          </w:p>
        </w:tc>
        <w:tc>
          <w:tcPr>
            <w:tcW w:w="1380" w:type="dxa"/>
            <w:tcBorders/>
            <w:vAlign w:val="center"/>
          </w:tcPr>
          <w:p>
            <w:pPr>
              <w:jc w:val="right"/>
            </w:pPr>
            <w:r>
              <w:rPr>
                <w:rFonts w:ascii="宋体" w:eastAsia="宋体" w:hAnsi="宋体" w:cs="宋体"/>
                <w:b w:val="0"/>
                <w:i w:val="0"/>
                <w:color w:val="000000"/>
                <w:sz w:val="16"/>
              </w:rPr>
              <w:t xml:space="preserve">320.98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69.88</w:t>
            </w:r>
          </w:p>
        </w:tc>
        <w:tc>
          <w:tcPr>
            <w:tcW w:w="1380" w:type="dxa"/>
            <w:tcBorders/>
            <w:vAlign w:val="center"/>
          </w:tcPr>
          <w:p>
            <w:pPr>
              <w:jc w:val="right"/>
            </w:pPr>
            <w:r>
              <w:rPr>
                <w:rFonts w:ascii="宋体" w:eastAsia="宋体" w:hAnsi="宋体" w:cs="宋体"/>
                <w:b w:val="0"/>
                <w:i w:val="0"/>
                <w:color w:val="000000"/>
                <w:sz w:val="16"/>
              </w:rPr>
              <w:t xml:space="preserve">69.88</w:t>
            </w:r>
          </w:p>
        </w:tc>
        <w:tc>
          <w:tcPr>
            <w:tcW w:w="1380" w:type="dxa"/>
            <w:tcBorders/>
            <w:vAlign w:val="center"/>
          </w:tcPr>
          <w:p>
            <w:pPr>
              <w:jc w:val="right"/>
            </w:pPr>
            <w:r>
              <w:rPr>
                <w:rFonts w:ascii="宋体" w:eastAsia="宋体" w:hAnsi="宋体" w:cs="宋体"/>
                <w:b w:val="0"/>
                <w:i w:val="0"/>
                <w:color w:val="000000"/>
                <w:sz w:val="16"/>
              </w:rPr>
              <w:t xml:space="preserve">69.88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17.30</w:t>
            </w:r>
          </w:p>
        </w:tc>
        <w:tc>
          <w:tcPr>
            <w:tcW w:w="1380" w:type="dxa"/>
            <w:tcBorders/>
            <w:vAlign w:val="center"/>
          </w:tcPr>
          <w:p>
            <w:pPr>
              <w:jc w:val="right"/>
            </w:pPr>
            <w:r>
              <w:rPr>
                <w:rFonts w:ascii="宋体" w:eastAsia="宋体" w:hAnsi="宋体" w:cs="宋体"/>
                <w:b w:val="0"/>
                <w:i w:val="0"/>
                <w:color w:val="000000"/>
                <w:sz w:val="16"/>
              </w:rPr>
              <w:t xml:space="preserve">17.30</w:t>
            </w:r>
          </w:p>
        </w:tc>
        <w:tc>
          <w:tcPr>
            <w:tcW w:w="1380" w:type="dxa"/>
            <w:tcBorders/>
            <w:vAlign w:val="center"/>
          </w:tcPr>
          <w:p>
            <w:pPr>
              <w:jc w:val="right"/>
            </w:pPr>
            <w:r>
              <w:rPr>
                <w:rFonts w:ascii="宋体" w:eastAsia="宋体" w:hAnsi="宋体" w:cs="宋体"/>
                <w:b w:val="0"/>
                <w:i w:val="0"/>
                <w:color w:val="000000"/>
                <w:sz w:val="16"/>
              </w:rPr>
              <w:t xml:space="preserve">17.30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26.27</w:t>
            </w:r>
          </w:p>
        </w:tc>
        <w:tc>
          <w:tcPr>
            <w:tcW w:w="1380" w:type="dxa"/>
            <w:tcBorders/>
            <w:vAlign w:val="center"/>
          </w:tcPr>
          <w:p>
            <w:pPr>
              <w:jc w:val="right"/>
            </w:pPr>
            <w:r>
              <w:rPr>
                <w:rFonts w:ascii="宋体" w:eastAsia="宋体" w:hAnsi="宋体" w:cs="宋体"/>
                <w:b w:val="0"/>
                <w:i w:val="0"/>
                <w:color w:val="000000"/>
                <w:sz w:val="16"/>
              </w:rPr>
              <w:t xml:space="preserve">26.27</w:t>
            </w:r>
          </w:p>
        </w:tc>
        <w:tc>
          <w:tcPr>
            <w:tcW w:w="1380" w:type="dxa"/>
            <w:tcBorders/>
            <w:vAlign w:val="center"/>
          </w:tcPr>
          <w:p>
            <w:pPr>
              <w:jc w:val="right"/>
            </w:pPr>
            <w:r>
              <w:rPr>
                <w:rFonts w:ascii="宋体" w:eastAsia="宋体" w:hAnsi="宋体" w:cs="宋体"/>
                <w:b w:val="0"/>
                <w:i w:val="0"/>
                <w:color w:val="000000"/>
                <w:sz w:val="16"/>
              </w:rPr>
              <w:t xml:space="preserve">26.27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1380" w:type="dxa"/>
            <w:tcBorders/>
            <w:vAlign w:val="center"/>
          </w:tcPr>
          <w:p>
            <w:pPr>
              <w:jc w:val="right"/>
            </w:pPr>
            <w:r>
              <w:rPr>
                <w:rFonts w:ascii="宋体" w:eastAsia="宋体" w:hAnsi="宋体" w:cs="宋体"/>
                <w:b w:val="0"/>
                <w:i w:val="0"/>
                <w:color w:val="000000"/>
                <w:sz w:val="16"/>
              </w:rPr>
              <w:t xml:space="preserve">434.43</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434.43</w:t>
            </w:r>
          </w:p>
        </w:tc>
        <w:tc>
          <w:tcPr>
            <w:tcW w:w="1160" w:type="dxa"/>
            <w:tcBorders/>
            <w:vAlign w:val="center"/>
          </w:tcPr>
          <w:p>
            <w:pPr>
              <w:jc w:val="right"/>
            </w:pPr>
            <w:r>
              <w:rPr>
                <w:rFonts w:ascii="宋体" w:eastAsia="宋体" w:hAnsi="宋体" w:cs="宋体"/>
                <w:b w:val="0"/>
                <w:i w:val="0"/>
                <w:color w:val="000000"/>
                <w:sz w:val="14"/>
              </w:rPr>
              <w:t xml:space="preserve">374.19</w:t>
            </w:r>
          </w:p>
        </w:tc>
        <w:tc>
          <w:tcPr>
            <w:tcW w:w="1160" w:type="dxa"/>
            <w:tcBorders/>
            <w:vAlign w:val="center"/>
          </w:tcPr>
          <w:p>
            <w:pPr>
              <w:jc w:val="right"/>
            </w:pPr>
            <w:r>
              <w:rPr>
                <w:rFonts w:ascii="宋体" w:eastAsia="宋体" w:hAnsi="宋体" w:cs="宋体"/>
                <w:b w:val="0"/>
                <w:i w:val="0"/>
                <w:color w:val="000000"/>
                <w:sz w:val="14"/>
              </w:rPr>
              <w:t xml:space="preserve">329.87</w:t>
            </w:r>
          </w:p>
        </w:tc>
        <w:tc>
          <w:tcPr>
            <w:tcW w:w="1160" w:type="dxa"/>
            <w:tcBorders/>
            <w:vAlign w:val="center"/>
          </w:tcPr>
          <w:p>
            <w:pPr>
              <w:jc w:val="right"/>
            </w:pPr>
            <w:r>
              <w:rPr>
                <w:rFonts w:ascii="宋体" w:eastAsia="宋体" w:hAnsi="宋体" w:cs="宋体"/>
                <w:b w:val="0"/>
                <w:i w:val="0"/>
                <w:color w:val="000000"/>
                <w:sz w:val="14"/>
              </w:rPr>
              <w:t xml:space="preserve">38.01</w:t>
            </w:r>
          </w:p>
        </w:tc>
        <w:tc>
          <w:tcPr>
            <w:tcW w:w="1160" w:type="dxa"/>
            <w:tcBorders/>
            <w:vAlign w:val="center"/>
          </w:tcPr>
          <w:p>
            <w:pPr>
              <w:jc w:val="right"/>
            </w:pPr>
            <w:r>
              <w:rPr>
                <w:rFonts w:ascii="宋体" w:eastAsia="宋体" w:hAnsi="宋体" w:cs="宋体"/>
                <w:b w:val="0"/>
                <w:i w:val="0"/>
                <w:color w:val="000000"/>
                <w:sz w:val="14"/>
              </w:rPr>
              <w:t xml:space="preserve">6.31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60.24</w:t>
            </w:r>
          </w:p>
        </w:tc>
        <w:tc>
          <w:tcPr>
            <w:tcW w:w="1160" w:type="dxa"/>
            <w:tcBorders/>
            <w:vAlign w:val="center"/>
          </w:tcPr>
          <w:p>
            <w:pPr>
              <w:jc w:val="right"/>
            </w:pPr>
            <w:r>
              <w:rPr>
                <w:rFonts w:ascii="宋体" w:eastAsia="宋体" w:hAnsi="宋体" w:cs="宋体"/>
                <w:b w:val="0"/>
                <w:i w:val="0"/>
                <w:color w:val="000000"/>
                <w:sz w:val="14"/>
              </w:rPr>
              <w:t xml:space="preserve">42.00</w:t>
            </w:r>
          </w:p>
        </w:tc>
        <w:tc>
          <w:tcPr>
            <w:tcW w:w="1218" w:type="dxa"/>
            <w:tcBorders/>
            <w:vAlign w:val="center"/>
          </w:tcPr>
          <w:p>
            <w:pPr>
              <w:jc w:val="right"/>
            </w:pPr>
            <w:r>
              <w:rPr>
                <w:rFonts w:ascii="宋体" w:eastAsia="宋体" w:hAnsi="宋体" w:cs="宋体"/>
                <w:b w:val="0"/>
                <w:i w:val="0"/>
                <w:color w:val="000000"/>
                <w:sz w:val="14"/>
              </w:rPr>
              <w:t xml:space="preserve">18.24</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374.19</w:t>
            </w:r>
          </w:p>
        </w:tc>
        <w:tc>
          <w:tcPr>
            <w:tcW w:w="1440" w:type="dxa"/>
            <w:tcBorders/>
            <w:vAlign w:val="center"/>
          </w:tcPr>
          <w:p>
            <w:pPr>
              <w:jc w:val="right"/>
            </w:pPr>
            <w:r>
              <w:rPr>
                <w:rFonts w:ascii="宋体" w:eastAsia="宋体" w:hAnsi="宋体" w:cs="宋体"/>
                <w:b w:val="0"/>
                <w:i w:val="0"/>
                <w:color w:val="000000"/>
                <w:sz w:val="17"/>
              </w:rPr>
              <w:t xml:space="preserve">367.88</w:t>
            </w:r>
          </w:p>
        </w:tc>
        <w:tc>
          <w:tcPr>
            <w:tcW w:w="1478" w:type="dxa"/>
            <w:tcBorders/>
            <w:vAlign w:val="center"/>
          </w:tcPr>
          <w:p>
            <w:pPr>
              <w:jc w:val="right"/>
            </w:pPr>
            <w:r>
              <w:rPr>
                <w:rFonts w:ascii="宋体" w:eastAsia="宋体" w:hAnsi="宋体" w:cs="宋体"/>
                <w:b w:val="0"/>
                <w:i w:val="0"/>
                <w:color w:val="000000"/>
                <w:sz w:val="17"/>
              </w:rPr>
              <w:t xml:space="preserve">6.31</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434.43</w:t>
            </w:r>
          </w:p>
        </w:tc>
        <w:tc>
          <w:tcPr>
            <w:tcW w:w="920" w:type="dxa"/>
            <w:tcBorders/>
            <w:vAlign w:val="center"/>
          </w:tcPr>
          <w:p>
            <w:pPr>
              <w:jc w:val="right"/>
            </w:pPr>
            <w:r>
              <w:rPr>
                <w:rFonts w:ascii="宋体" w:eastAsia="宋体" w:hAnsi="宋体" w:cs="宋体"/>
                <w:b w:val="0"/>
                <w:i w:val="0"/>
                <w:color w:val="000000"/>
                <w:sz w:val="11"/>
              </w:rPr>
              <w:t xml:space="preserve">434.43</w:t>
            </w:r>
          </w:p>
        </w:tc>
        <w:tc>
          <w:tcPr>
            <w:tcW w:w="920" w:type="dxa"/>
            <w:tcBorders/>
            <w:vAlign w:val="center"/>
          </w:tcPr>
          <w:p>
            <w:pPr>
              <w:jc w:val="right"/>
            </w:pPr>
            <w:r>
              <w:rPr>
                <w:rFonts w:ascii="宋体" w:eastAsia="宋体" w:hAnsi="宋体" w:cs="宋体"/>
                <w:b w:val="0"/>
                <w:i w:val="0"/>
                <w:color w:val="000000"/>
                <w:sz w:val="11"/>
              </w:rPr>
              <w:t xml:space="preserve">434.43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2.72</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2.60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2.60</w:t>
            </w:r>
          </w:p>
        </w:tc>
        <w:tc>
          <w:tcPr>
            <w:tcW w:w="2358" w:type="dxa"/>
            <w:tcBorders/>
            <w:vAlign w:val="center"/>
          </w:tcPr>
          <w:p>
            <w:pPr>
              <w:jc w:val="right"/>
            </w:pPr>
            <w:r>
              <w:rPr>
                <w:rFonts w:ascii="宋体" w:eastAsia="宋体" w:hAnsi="宋体" w:cs="宋体"/>
                <w:b w:val="0"/>
                <w:i w:val="0"/>
                <w:color w:val="000000"/>
                <w:sz w:val="27"/>
              </w:rPr>
              <w:t xml:space="preserve">0.12</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60.24</w:t>
            </w:r>
          </w:p>
        </w:tc>
        <w:tc>
          <w:tcPr>
            <w:tcW w:w="1160" w:type="dxa"/>
            <w:tcBorders/>
            <w:vAlign w:val="center"/>
          </w:tcPr>
          <w:p>
            <w:pPr>
              <w:jc w:val="right"/>
            </w:pPr>
            <w:r>
              <w:rPr>
                <w:rFonts w:ascii="宋体" w:eastAsia="宋体" w:hAnsi="宋体" w:cs="宋体"/>
                <w:b w:val="0"/>
                <w:i w:val="0"/>
                <w:color w:val="000000"/>
                <w:sz w:val="14"/>
              </w:rPr>
              <w:t xml:space="preserve">60.24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部门：三门峡市陕州区审计局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6.31</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Look w:firstRow="0" w:lastRow="0" w:firstColumn="0" w:lastColumn="0" w:noHBand="1" w:noVBand="1"/>
      </w:tblPr>
      <w:tblGrid>
        <w:gridCol w:w="1197"/>
        <w:gridCol w:w="1284"/>
        <w:gridCol w:w="1"/>
        <w:gridCol w:w="1947"/>
        <w:gridCol w:w="1"/>
        <w:gridCol w:w="1038"/>
        <w:gridCol w:w="1"/>
        <w:gridCol w:w="2867"/>
      </w:tblGrid>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22"/>
                <w:szCs w:val="22"/>
                <w:u w:val="none"/>
              </w:rPr>
            </w:pPr>
          </w:p>
        </w:tc>
        <w:tc>
          <w:tcPr>
            <w:tcW w:w="1285" w:type="dxa"/>
            <w:gridSpan w:val="2"/>
            <w:tcBorders>
              <w:top w:val="nil"/>
              <w:left w:val="nil"/>
              <w:bottom w:val="nil"/>
              <w:right w:val="nil"/>
            </w:tcBorders>
            <w:shd w:val="clear" w:color="auto" w:fill="auto"/>
            <w:noWrap w:val="1"/>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22"/>
                <w:szCs w:val="22"/>
                <w:u w:val="none"/>
              </w:rPr>
            </w:pPr>
          </w:p>
        </w:tc>
        <w:tc>
          <w:tcPr>
            <w:tcW w:w="1948" w:type="dxa"/>
            <w:gridSpan w:val="2"/>
            <w:tcBorders>
              <w:top w:val="nil"/>
              <w:left w:val="nil"/>
              <w:bottom w:val="nil"/>
              <w:right w:val="nil"/>
            </w:tcBorders>
            <w:shd w:val="clear" w:color="auto" w:fill="auto"/>
            <w:noWrap w:val="1"/>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22"/>
                <w:szCs w:val="22"/>
                <w:u w:val="none"/>
              </w:rPr>
            </w:pPr>
          </w:p>
        </w:tc>
        <w:tc>
          <w:tcPr>
            <w:tcW w:w="1039" w:type="dxa"/>
            <w:gridSpan w:val="2"/>
            <w:tcBorders>
              <w:top w:val="nil"/>
              <w:left w:val="nil"/>
              <w:bottom w:val="nil"/>
              <w:right w:val="nil"/>
            </w:tcBorders>
            <w:shd w:val="clear" w:color="auto" w:fill="auto"/>
            <w:noWrap w:val="1"/>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22"/>
                <w:szCs w:val="22"/>
                <w:u w:val="none"/>
              </w:rPr>
            </w:pPr>
          </w:p>
        </w:tc>
        <w:tc>
          <w:tcPr>
            <w:tcW w:w="2867" w:type="dxa"/>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预算11表</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8336" w:type="dxa"/>
            <w:gridSpan w:val="8"/>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部门（单位）整体绩效目标表</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8336" w:type="dxa"/>
            <w:gridSpan w:val="8"/>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b/>
                <w:i w:val="0"/>
                <w:color w:val="000000"/>
                <w:sz w:val="24"/>
                <w:szCs w:val="24"/>
                <w:u w:val="none"/>
              </w:rPr>
            </w:pPr>
            <w:r>
              <w:rPr>
                <w:rFonts w:ascii="宋体" w:eastAsia="宋体" w:hAnsi="宋体" w:cs="宋体"/>
                <w:b/>
                <w:i w:val="0"/>
                <w:color w:val="000000"/>
                <w:kern w:val="0"/>
                <w:sz w:val="24"/>
                <w:szCs w:val="24"/>
                <w:u w:val="none"/>
                <w:lang w:val="en-US" w:eastAsia="zh-CN"/>
              </w:rPr>
              <w:t xml:space="preserve">（2024年度）</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部门名称：三门峡市陕州区审计局</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854"/>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w:t>
            </w:r>
          </w:p>
        </w:tc>
        <w:tc>
          <w:tcPr>
            <w:tcW w:w="713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坚持履职尽责，全面完成各项审计工作；坚持聚焦重点，充分发挥审计监督职能；坚持依法审计，审计项目质量显著提升；坚持党建引领，塑造风清气正良好氛围；坚持文明审计，扩大审计工作社会影响。</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年度主要任务</w:t>
            </w:r>
          </w:p>
        </w:tc>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任务名称</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主要内容</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预算执行审计</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陕州区2023年本级财政预算执行审计\区教体局预算执行审计等</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经济责任审计</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陕州区城管局经济责任审计，张茅乡经济责任审计等</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政府投资审计</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计划内项目2个</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专项审计</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养老保险，农信社等专项审计</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预算情况  </w:t>
            </w:r>
          </w:p>
        </w:tc>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部门预算总额（万元）</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434.43</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1、资金来源：</w:t>
            </w:r>
          </w:p>
        </w:tc>
        <w:tc>
          <w:tcPr>
            <w:tcW w:w="1948"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（1）政府预算资金</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434.43</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948"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（2）财政专户管理资金</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948"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（3）单位资金</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2、资金结构：</w:t>
            </w:r>
          </w:p>
        </w:tc>
        <w:tc>
          <w:tcPr>
            <w:tcW w:w="1948"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（1）基本支出</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374.19</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3a4639f5-c11a-4afc-9b43-f9bc07bde255"/>
              <w:jc w:val="left"/>
              <w:rPr>
                <w:rFonts w:ascii="宋体" w:eastAsia="宋体" w:hAnsi="宋体" w:cs="宋体" w:hint="eastAsia"/>
                <w:i w:val="0"/>
                <w:color w:val="000000"/>
                <w:sz w:val="18"/>
                <w:szCs w:val="18"/>
                <w:u w:val="none"/>
              </w:rPr>
            </w:pPr>
          </w:p>
        </w:tc>
        <w:tc>
          <w:tcPr>
            <w:tcW w:w="1948"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（2）项目支出</w:t>
            </w:r>
          </w:p>
        </w:tc>
        <w:tc>
          <w:tcPr>
            <w:tcW w:w="3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60.24</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指标值说明</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809"/>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投入管理指标  </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工作目标管理  </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年度履职目标相关性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相关</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工作任务科学性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科学</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绩效指标合理性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合理</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预算和财务管理  </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预算编制完整性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完整</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1.部门所有收入是否全部纳入部门预算；2.部门支出预算是否统筹各类资金来源，全部纳入部门预算管理。</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专项资金细化率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专项资金细化率=（已细化到具体市县和承担单位的资金数/部门参与分配资金总数）×100%。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预算执行率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预算执行率=（预算完成数/预算数）×100%。预算完成数指部门实际执行的预算数；预算数指财政部门批复的本年度部门的（调整）预算数。</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预算调整率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结转结余率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结转结余率=结转结余总额/预算数*100%。结转结余总额是指部门本年度的结转结余资金之和。预算数是指财政部门批复的本年度部门的（调整）预算数。</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“三公经费”控制率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“三公经费”控制率=本年度“三公经费”实际支出数/“三公经费”预算数*100%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政府采购执行率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决算真实性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真实</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反映本部门决算工作情况。决算编制数据是否账表一致，即决算报表数据与会计账簿数据是否一致。</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939"/>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资金使用合规性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合规</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035"/>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管理制度健全性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健全</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预决算信息公开性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公开</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939"/>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资产管理规范性</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规范</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绩效管理  </w:t>
            </w:r>
          </w:p>
        </w:tc>
        <w:tc>
          <w:tcPr>
            <w:tcW w:w="1948" w:type="dxa"/>
            <w:gridSpan w:val="2"/>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绩效目标编制完成率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绩效目标项目总数的比重。部门目标编制完成率=已完成绩效目标编制项目数量/部门应编制绩效目标项目总数*100%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绩效监控完成率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部门（单位）按要求实施绩效监控的项目数量占应实施绩效监控项目总数的比重。部门绩效监控完成率=已完成绩效监控项目数量/部门项目总数*100%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绩效自评完成率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部门（单位）按要求实施绩效自评的项目数量占应实施绩效自评项目总数的比重。部门绩效自评完成率=已完成评价项目数量/部门项目总数*100%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部门绩效评价完成率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部门重点绩效评价项目评价完成情况。部门绩效评价完成率=已完成评价项目数量/部门重点绩效评价项目数*100%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评价结果应用率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绩效监控、单位自评、部门绩效评价、财政重点绩效评价结果应用情况。评价结果应用率=评价提出的意见建议采纳数/提出的意见建议总数*100%</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重点工作任务完成</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重点工作任务完成率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反映本部门负责的重点工作任务进展情况。分项具体列示本部门重点工作任务推进情况，相关情况应予以细化、量化表述。</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履职目标实现</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年度履职目标实现率</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反映本部门制定的年度工作目标达成情况。分项具体列示本部门年度工作目标达成情况，相关情况应予以细化、量化表述。</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履职效益</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反映部门履职对经济社会发展等所带来的直接或间接影响。可根据部门实际情况有选择的进行设置，并将三级指标细化为相应的个性化指标。</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社会公众满意度</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反映社会公众或服务对象在部门履职效果、解决民众关心的热点问题等方面的满意程度。可根据部门实际情况有选择的进行设置，并将三级指标细化为相应的个性化指标。</w:t>
            </w:r>
          </w:p>
        </w:tc>
      </w:tr>
      <w:tr>
        <w:tblPrEx>
          <w:tblW w:w="8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反映社会公众或服务对象在部门履职效果、解决民众关心的热点问题等方面的满意程度。可根据部门实际情况有选择的进行设置，并将三级指标细化为相应的个性化指标。</w:t>
            </w:r>
          </w:p>
        </w:tc>
      </w:tr>
    </w:tbl>
    <w:p>
      <w:pPr>
        <w:pStyle w:val="Normal_3a4639f5-c11a-4afc-9b43-f9bc07bde255"/>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Look w:firstRow="0" w:lastRow="0" w:firstColumn="0" w:lastColumn="0" w:noHBand="1" w:noVBand="1"/>
      </w:tblPr>
      <w:tblGrid>
        <w:gridCol w:w="1608"/>
        <w:gridCol w:w="888"/>
        <w:gridCol w:w="472"/>
        <w:gridCol w:w="601"/>
        <w:gridCol w:w="819"/>
        <w:gridCol w:w="820"/>
        <w:gridCol w:w="819"/>
        <w:gridCol w:w="927"/>
        <w:gridCol w:w="1853"/>
        <w:gridCol w:w="936"/>
        <w:gridCol w:w="1145"/>
        <w:gridCol w:w="1006"/>
        <w:gridCol w:w="831"/>
        <w:gridCol w:w="543"/>
      </w:tblGrid>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3268"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预算12表</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13268"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2024年部门预算项目绩效目标汇总表</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3268"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部门名称：三门峡市陕州区审计局</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5"/>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单位编码（项目编码）</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项目单位 （项目名称）</w:t>
            </w:r>
          </w:p>
        </w:tc>
        <w:tc>
          <w:tcPr>
            <w:tcW w:w="27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项目金额（万元）</w:t>
            </w:r>
          </w:p>
        </w:tc>
        <w:tc>
          <w:tcPr>
            <w:tcW w:w="806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39"/>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271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  </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  </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资金总额</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政府预算资金</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0"/>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219</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left"/>
              <w:rPr>
                <w:rFonts w:ascii="宋体" w:eastAsia="宋体" w:hAnsi="宋体" w:cs="宋体" w:hint="eastAsia"/>
                <w:i w:val="0"/>
                <w:color w:val="000000"/>
                <w:sz w:val="18"/>
                <w:szCs w:val="18"/>
                <w:u w:val="none"/>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60.24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60.24</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80"/>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219001</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三门峡市陕州区审计局</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60.24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60.24</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380"/>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411203240000000007656</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2024年度审计工作经费</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42.00</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42.00</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审计项目个数</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&gt;6个</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依法全面履行审计监督职责，做好常态化“经济体检”工作</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积极</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被审计单位满意度</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74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出具审计报告</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&gt;6个</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本单位相关工作正常开展</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得到有效保障</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4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出具审计报告办公运行正常运转率</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对审计工作提供有效保障</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正常运转</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工作开展及时性</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780"/>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411203240000000007665</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2024年度陕州区高校毕业生见习基地见习人员生活补贴</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18.24</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18.24</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人数</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8人</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提供就业岗位</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有保障</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见习人员满意度</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&gt;95%</w:t>
            </w: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见习工作完成</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r>
        <w:tblPrEx>
          <w:tblW w:w="132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center"/>
              <w:rPr>
                <w:rFonts w:ascii="宋体" w:eastAsia="宋体" w:hAnsi="宋体" w:cs="宋体" w:hint="eastAsia"/>
                <w:i w:val="0"/>
                <w:color w:val="000000"/>
                <w:sz w:val="18"/>
                <w:szCs w:val="18"/>
                <w:u w:val="none"/>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jc w:val="right"/>
              <w:rPr>
                <w:rFonts w:ascii="宋体" w:eastAsia="宋体" w:hAnsi="宋体" w:cs="宋体" w:hint="eastAsia"/>
                <w:i w:val="0"/>
                <w:color w:val="000000"/>
                <w:sz w:val="18"/>
                <w:szCs w:val="18"/>
                <w:u w:val="none"/>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生活补贴发放</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3a4639f5-c11a-4afc-9b43-f9bc07bde255"/>
              <w:rPr>
                <w:rFonts w:ascii="宋体" w:eastAsia="宋体" w:hAnsi="宋体" w:cs="宋体" w:hint="eastAsia"/>
                <w:i w:val="0"/>
                <w:color w:val="000000"/>
                <w:sz w:val="18"/>
                <w:szCs w:val="18"/>
                <w:u w:val="none"/>
              </w:rPr>
            </w:pPr>
          </w:p>
        </w:tc>
      </w:tr>
    </w:tbl>
    <w:p>
      <w:pPr>
        <w:pStyle w:val="Normal_3a4639f5-c11a-4afc-9b43-f9bc07bde255"/>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45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3a4639f5-c11a-4afc-9b43-f9bc07bde255">
    <w:name w:val="Normal_3a4639f5-c11a-4afc-9b43-f9bc07bde255"/>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