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中共三门峡市陕州区委巡察工作领导小组办公室</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中共三门峡市陕州区委巡察工作领导小组办公室</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中共三门峡市陕州区委巡察工作领导小组办公室</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中共三门峡市陕州区委巡察工作领导小组办公室</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中共三门峡市陕州区委巡察工作领导小组办公室部门（单位）概况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一、中共三门峡市陕州区委巡察工作领导小组办公室部门（单位）主要职责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中共三门峡市陕州区委巡察工作领导小组办公室</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1、承担综合协调、组织指导、政策研究、制度建设、监督管理、服务保障等工作；</w:t>
        <w:br/>
        <w:t xml:space="preserve">2、向巡察工作领导小组报告重要工作情况，贯彻落实区委和巡察工作领导小组作出的决策和部署；</w:t>
        <w:br/>
        <w:t xml:space="preserve">3、协调配合有关部门调配、培训、监督和管理巡察工作人员；</w:t>
        <w:br/>
        <w:t xml:space="preserve">4、督促检查上级党委巡视巡察反馈意见的整改落实；</w:t>
        <w:br/>
        <w:t xml:space="preserve">5、督促检查区委巡察反馈意见的整改落实；</w:t>
        <w:br/>
        <w:t xml:space="preserve">6、督办上级巡视巡察工作领导小组、区委和巡察工作领导小组决定的事项等。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关于设立中共陕县县委巡察工作办公室和巡察组的批复》（陕编﹝2015﹞11号），设立中共陕县县委巡察工作办公室（现为中共三门峡市陕州区委巡察工作办公室），机构规格为正科级，领导职数一正二副，设在区纪委，核定行政编制5名。设立中共三门峡市陕州区委第一、第二、第三、第四、第五巡察组，机构规格为正科级，每个巡察组领导职数一正一副。每组核定行政编制4名，共计行政编制20名。</w:t>
        <w:br/>
        <w:t xml:space="preserve">2019年4月，中共三门峡市陕州区委办公室关于印发《中共三门峡市陕州区委巡察工作领导小组办公室职能配置、内设机构和人员编制规定》的通知（三陕办文﹝2019﹞25号），核定巡察办行政编制6名，领导职数一正三副，内设机构三个：综合股、指导股、督查股。2019年10月，根据工作需要，设立三门峡市陕州区巡察数据管理中心，为巡察办所属事业单位，核定事业编制6名。</w:t>
        <w:br/>
        <w:t xml:space="preserve">截至目前，巡察办现有编制32名，其中行政编制26名，事业编制6名，内设机构三个：综合股、指导股、督查股，所属事业单位1个：三门峡市陕州区巡察数据管理中心。中共三门峡市陕州区委巡察工作领导小组办公室内设机构三个：综合股、指导股、督查股，所属事业单位1个：三门峡市陕州区巡察数据管理中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三、中共三门峡市陕州区委巡察工作领导小组办公室预算单位构成情况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中共三门峡市陕州区委巡察工作领导小组办公室部门预算为机关本级预算，没有设立下属二级预算单位。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中共三门峡市陕州区委巡察工作领导小组办公室2024年部门（单位）预算情况说明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中共三门峡市陕州区委巡察工作领导小组办公室</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385.86</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385.86</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减少23.91万元，下降5.83%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人员减少，工资、工作经费减少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减少23.91万元，下降5.83%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人员减少，工资、工作经费减少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中共三门峡市陕州区委巡察工作领导小组办公室</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385.86</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一般公共预算385.86万元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中共三门峡市陕州区委巡察工作领导小组办公室</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385.86</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基本支出276.46万元，占71.65%；项目支出109.40万元，占28.35%</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中共三门峡市陕州区委巡察工作领导小组办公室</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385.86</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减少23.91万元，下降5.83%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人员减少，工资、工作经费减少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中共三门峡市陕州区委巡察工作领导小组办公室</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385.86</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基本支出276.46万元，占71.65%；项目支出109.40万元，占28.35%</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一般公共服务支出322.21万元，占83.50%；社会保障和就业支出26.48万元，占6.86%；卫生健康支出15.00万元，占3.89%；住房保障支出22.17万元，占5.75%</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中共三门峡市陕州区委巡察工作领导小组办公室</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276.46</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274.07</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99.14</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2.39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0.86</w:t>
      </w:r>
      <w:r>
        <w:rPr>
          <w:rFonts w:ascii="仿宋" w:eastAsia="仿宋" w:hAnsi="仿宋" w:cs="仿宋" w:hint="eastAsia"/>
          <w:snapToGrid/>
          <w:kern w:val="2"/>
          <w:sz w:val="32"/>
          <w:szCs w:val="32"/>
          <w:lang w:val="en-US" w:eastAsia="zh-CN" w:bidi="ar-SA"/>
        </w:rPr>
        <w:t xml:space="preserve">%；主要包括：在职人员定额公用经费和公务用车补贴等。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中共三门峡市陕州区委巡察工作领导小组办公室</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4.80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减少1.10万元，下降18.64%</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0.30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增加0.30万元，增长0.00%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按规定列支各类公务接待预算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4.50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4.50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减少1.40万元，下降23.73%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压缩公务用车运行维护费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中共三门峡市陕州区委巡察工作领导小组办公室</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中共三门峡市陕州区委巡察工作领导小组办公室</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111.79</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增加5.37万元，增长5.05%</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保障机构正常运转及正常履职需要</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98.00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98.00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385.86</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274.07</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2.39</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109.40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万元。我部门（单位）2024年未开展重点项目预算的绩效目标。</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中共三门峡市陕州区委巡察工作领导小组办公室</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中共三门峡市陕州区委巡察工作领导小组办公室</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部门：中共三门峡市陕州区委巡察工作领导小组办公室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385.86</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jc w:val="right"/>
            </w:pPr>
            <w:r>
              <w:rPr>
                <w:rFonts w:ascii="宋体" w:eastAsia="宋体" w:hAnsi="宋体" w:cs="宋体"/>
                <w:b w:val="0"/>
                <w:i w:val="0"/>
                <w:color w:val="000000"/>
                <w:sz w:val="27"/>
              </w:rPr>
              <w:t xml:space="preserve">322.21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385.86</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26.48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15.00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22.17</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385.86</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385.86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385.86</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385.86</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部门：中共三门峡市陕州区委巡察工作领导小组办公室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385.86</w:t>
            </w:r>
          </w:p>
        </w:tc>
        <w:tc>
          <w:tcPr>
            <w:tcW w:w="660" w:type="dxa"/>
            <w:tcBorders/>
            <w:vAlign w:val="center"/>
          </w:tcPr>
          <w:p>
            <w:pPr>
              <w:jc w:val="right"/>
            </w:pPr>
            <w:r>
              <w:rPr>
                <w:rFonts w:ascii="宋体" w:eastAsia="宋体" w:hAnsi="宋体" w:cs="宋体"/>
                <w:b w:val="0"/>
                <w:i w:val="0"/>
                <w:color w:val="000000"/>
                <w:sz w:val="8"/>
              </w:rPr>
              <w:t xml:space="preserve">385.86</w:t>
            </w:r>
          </w:p>
        </w:tc>
        <w:tc>
          <w:tcPr>
            <w:tcW w:w="600" w:type="dxa"/>
            <w:tcBorders/>
            <w:vAlign w:val="center"/>
          </w:tcPr>
          <w:p>
            <w:pPr>
              <w:jc w:val="right"/>
            </w:pPr>
            <w:r>
              <w:rPr>
                <w:rFonts w:ascii="宋体" w:eastAsia="宋体" w:hAnsi="宋体" w:cs="宋体"/>
                <w:b w:val="0"/>
                <w:i w:val="0"/>
                <w:color w:val="000000"/>
                <w:sz w:val="8"/>
              </w:rPr>
              <w:t xml:space="preserve">385.86</w:t>
            </w:r>
          </w:p>
        </w:tc>
        <w:tc>
          <w:tcPr>
            <w:tcW w:w="720" w:type="dxa"/>
            <w:tcBorders/>
            <w:vAlign w:val="center"/>
          </w:tcPr>
          <w:p>
            <w:pPr>
              <w:jc w:val="right"/>
            </w:pPr>
            <w:r>
              <w:rPr>
                <w:rFonts w:ascii="宋体" w:eastAsia="宋体" w:hAnsi="宋体" w:cs="宋体"/>
                <w:b w:val="0"/>
                <w:i w:val="0"/>
                <w:color w:val="000000"/>
                <w:sz w:val="8"/>
              </w:rPr>
              <w:t xml:space="preserve">385.86</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p>
        </w:tc>
        <w:tc>
          <w:tcPr>
            <w:tcW w:w="154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72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部门：中共三门峡市陕州区委巡察工作领导小组办公室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385.86</w:t>
            </w:r>
          </w:p>
        </w:tc>
        <w:tc>
          <w:tcPr>
            <w:tcW w:w="1060" w:type="dxa"/>
            <w:tcBorders/>
            <w:vAlign w:val="center"/>
          </w:tcPr>
          <w:p>
            <w:pPr>
              <w:jc w:val="right"/>
            </w:pPr>
            <w:r>
              <w:rPr>
                <w:rFonts w:ascii="宋体" w:eastAsia="宋体" w:hAnsi="宋体" w:cs="宋体"/>
                <w:b w:val="0"/>
                <w:i w:val="0"/>
                <w:color w:val="000000"/>
                <w:sz w:val="13"/>
              </w:rPr>
              <w:t xml:space="preserve">276.46</w:t>
            </w:r>
          </w:p>
        </w:tc>
        <w:tc>
          <w:tcPr>
            <w:tcW w:w="1140" w:type="dxa"/>
            <w:tcBorders/>
            <w:vAlign w:val="center"/>
          </w:tcPr>
          <w:p>
            <w:pPr>
              <w:jc w:val="right"/>
            </w:pPr>
            <w:r>
              <w:rPr>
                <w:rFonts w:ascii="宋体" w:eastAsia="宋体" w:hAnsi="宋体" w:cs="宋体"/>
                <w:b w:val="0"/>
                <w:i w:val="0"/>
                <w:color w:val="000000"/>
                <w:sz w:val="13"/>
              </w:rPr>
              <w:t xml:space="preserve">274.07</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2.39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109.40</w:t>
            </w:r>
          </w:p>
        </w:tc>
        <w:tc>
          <w:tcPr>
            <w:tcW w:w="1140" w:type="dxa"/>
            <w:tcBorders/>
            <w:vAlign w:val="center"/>
          </w:tcPr>
          <w:p>
            <w:pPr>
              <w:jc w:val="right"/>
            </w:pPr>
            <w:r>
              <w:rPr>
                <w:rFonts w:ascii="宋体" w:eastAsia="宋体" w:hAnsi="宋体" w:cs="宋体"/>
                <w:b w:val="0"/>
                <w:i w:val="0"/>
                <w:color w:val="000000"/>
                <w:sz w:val="13"/>
              </w:rPr>
              <w:t xml:space="preserve">109.40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部门：中共三门峡市陕州区委巡察工作领导小组办公室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385.86</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385.86</w:t>
            </w:r>
          </w:p>
        </w:tc>
        <w:tc>
          <w:tcPr>
            <w:tcW w:w="1380" w:type="dxa"/>
            <w:tcBorders/>
            <w:vAlign w:val="center"/>
          </w:tcPr>
          <w:p>
            <w:pPr>
              <w:jc w:val="right"/>
            </w:pPr>
            <w:r>
              <w:rPr>
                <w:rFonts w:ascii="宋体" w:eastAsia="宋体" w:hAnsi="宋体" w:cs="宋体"/>
                <w:b w:val="0"/>
                <w:i w:val="0"/>
                <w:color w:val="000000"/>
                <w:sz w:val="16"/>
              </w:rPr>
              <w:t xml:space="preserve">385.86</w:t>
            </w:r>
          </w:p>
        </w:tc>
        <w:tc>
          <w:tcPr>
            <w:tcW w:w="1380" w:type="dxa"/>
            <w:tcBorders/>
            <w:vAlign w:val="center"/>
          </w:tcPr>
          <w:p>
            <w:pPr>
              <w:jc w:val="right"/>
            </w:pPr>
            <w:r>
              <w:rPr>
                <w:rFonts w:ascii="宋体" w:eastAsia="宋体" w:hAnsi="宋体" w:cs="宋体"/>
                <w:b w:val="0"/>
                <w:i w:val="0"/>
                <w:color w:val="000000"/>
                <w:sz w:val="16"/>
              </w:rPr>
              <w:t xml:space="preserve">385.86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385.86</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jc w:val="right"/>
            </w:pPr>
            <w:r>
              <w:rPr>
                <w:rFonts w:ascii="宋体" w:eastAsia="宋体" w:hAnsi="宋体" w:cs="宋体"/>
                <w:b w:val="0"/>
                <w:i w:val="0"/>
                <w:color w:val="000000"/>
                <w:sz w:val="16"/>
              </w:rPr>
              <w:t xml:space="preserve">322.21</w:t>
            </w:r>
          </w:p>
        </w:tc>
        <w:tc>
          <w:tcPr>
            <w:tcW w:w="1380" w:type="dxa"/>
            <w:tcBorders/>
            <w:vAlign w:val="center"/>
          </w:tcPr>
          <w:p>
            <w:pPr>
              <w:jc w:val="right"/>
            </w:pPr>
            <w:r>
              <w:rPr>
                <w:rFonts w:ascii="宋体" w:eastAsia="宋体" w:hAnsi="宋体" w:cs="宋体"/>
                <w:b w:val="0"/>
                <w:i w:val="0"/>
                <w:color w:val="000000"/>
                <w:sz w:val="16"/>
              </w:rPr>
              <w:t xml:space="preserve">322.21</w:t>
            </w:r>
          </w:p>
        </w:tc>
        <w:tc>
          <w:tcPr>
            <w:tcW w:w="1380" w:type="dxa"/>
            <w:tcBorders/>
            <w:vAlign w:val="center"/>
          </w:tcPr>
          <w:p>
            <w:pPr>
              <w:jc w:val="right"/>
            </w:pPr>
            <w:r>
              <w:rPr>
                <w:rFonts w:ascii="宋体" w:eastAsia="宋体" w:hAnsi="宋体" w:cs="宋体"/>
                <w:b w:val="0"/>
                <w:i w:val="0"/>
                <w:color w:val="000000"/>
                <w:sz w:val="16"/>
              </w:rPr>
              <w:t xml:space="preserve">322.21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385.86</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26.48</w:t>
            </w:r>
          </w:p>
        </w:tc>
        <w:tc>
          <w:tcPr>
            <w:tcW w:w="1380" w:type="dxa"/>
            <w:tcBorders/>
            <w:vAlign w:val="center"/>
          </w:tcPr>
          <w:p>
            <w:pPr>
              <w:jc w:val="right"/>
            </w:pPr>
            <w:r>
              <w:rPr>
                <w:rFonts w:ascii="宋体" w:eastAsia="宋体" w:hAnsi="宋体" w:cs="宋体"/>
                <w:b w:val="0"/>
                <w:i w:val="0"/>
                <w:color w:val="000000"/>
                <w:sz w:val="16"/>
              </w:rPr>
              <w:t xml:space="preserve">26.48</w:t>
            </w:r>
          </w:p>
        </w:tc>
        <w:tc>
          <w:tcPr>
            <w:tcW w:w="1380" w:type="dxa"/>
            <w:tcBorders/>
            <w:vAlign w:val="center"/>
          </w:tcPr>
          <w:p>
            <w:pPr>
              <w:jc w:val="right"/>
            </w:pPr>
            <w:r>
              <w:rPr>
                <w:rFonts w:ascii="宋体" w:eastAsia="宋体" w:hAnsi="宋体" w:cs="宋体"/>
                <w:b w:val="0"/>
                <w:i w:val="0"/>
                <w:color w:val="000000"/>
                <w:sz w:val="16"/>
              </w:rPr>
              <w:t xml:space="preserve">26.48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15.00</w:t>
            </w:r>
          </w:p>
        </w:tc>
        <w:tc>
          <w:tcPr>
            <w:tcW w:w="1380" w:type="dxa"/>
            <w:tcBorders/>
            <w:vAlign w:val="center"/>
          </w:tcPr>
          <w:p>
            <w:pPr>
              <w:jc w:val="right"/>
            </w:pPr>
            <w:r>
              <w:rPr>
                <w:rFonts w:ascii="宋体" w:eastAsia="宋体" w:hAnsi="宋体" w:cs="宋体"/>
                <w:b w:val="0"/>
                <w:i w:val="0"/>
                <w:color w:val="000000"/>
                <w:sz w:val="16"/>
              </w:rPr>
              <w:t xml:space="preserve">15.00</w:t>
            </w:r>
          </w:p>
        </w:tc>
        <w:tc>
          <w:tcPr>
            <w:tcW w:w="1380" w:type="dxa"/>
            <w:tcBorders/>
            <w:vAlign w:val="center"/>
          </w:tcPr>
          <w:p>
            <w:pPr>
              <w:jc w:val="right"/>
            </w:pPr>
            <w:r>
              <w:rPr>
                <w:rFonts w:ascii="宋体" w:eastAsia="宋体" w:hAnsi="宋体" w:cs="宋体"/>
                <w:b w:val="0"/>
                <w:i w:val="0"/>
                <w:color w:val="000000"/>
                <w:sz w:val="16"/>
              </w:rPr>
              <w:t xml:space="preserve">15.00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22.17</w:t>
            </w:r>
          </w:p>
        </w:tc>
        <w:tc>
          <w:tcPr>
            <w:tcW w:w="1380" w:type="dxa"/>
            <w:tcBorders/>
            <w:vAlign w:val="center"/>
          </w:tcPr>
          <w:p>
            <w:pPr>
              <w:jc w:val="right"/>
            </w:pPr>
            <w:r>
              <w:rPr>
                <w:rFonts w:ascii="宋体" w:eastAsia="宋体" w:hAnsi="宋体" w:cs="宋体"/>
                <w:b w:val="0"/>
                <w:i w:val="0"/>
                <w:color w:val="000000"/>
                <w:sz w:val="16"/>
              </w:rPr>
              <w:t xml:space="preserve">22.17</w:t>
            </w:r>
          </w:p>
        </w:tc>
        <w:tc>
          <w:tcPr>
            <w:tcW w:w="1380" w:type="dxa"/>
            <w:tcBorders/>
            <w:vAlign w:val="center"/>
          </w:tcPr>
          <w:p>
            <w:pPr>
              <w:jc w:val="right"/>
            </w:pPr>
            <w:r>
              <w:rPr>
                <w:rFonts w:ascii="宋体" w:eastAsia="宋体" w:hAnsi="宋体" w:cs="宋体"/>
                <w:b w:val="0"/>
                <w:i w:val="0"/>
                <w:color w:val="000000"/>
                <w:sz w:val="16"/>
              </w:rPr>
              <w:t xml:space="preserve">22.17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385.86</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385.86</w:t>
            </w:r>
          </w:p>
        </w:tc>
        <w:tc>
          <w:tcPr>
            <w:tcW w:w="1380" w:type="dxa"/>
            <w:tcBorders/>
            <w:vAlign w:val="center"/>
          </w:tcPr>
          <w:p>
            <w:pPr>
              <w:jc w:val="right"/>
            </w:pPr>
            <w:r>
              <w:rPr>
                <w:rFonts w:ascii="宋体" w:eastAsia="宋体" w:hAnsi="宋体" w:cs="宋体"/>
                <w:b w:val="0"/>
                <w:i w:val="0"/>
                <w:color w:val="000000"/>
                <w:sz w:val="16"/>
              </w:rPr>
              <w:t xml:space="preserve">385.86</w:t>
            </w:r>
          </w:p>
        </w:tc>
        <w:tc>
          <w:tcPr>
            <w:tcW w:w="1380" w:type="dxa"/>
            <w:tcBorders/>
            <w:vAlign w:val="center"/>
          </w:tcPr>
          <w:p>
            <w:pPr>
              <w:jc w:val="right"/>
            </w:pPr>
            <w:r>
              <w:rPr>
                <w:rFonts w:ascii="宋体" w:eastAsia="宋体" w:hAnsi="宋体" w:cs="宋体"/>
                <w:b w:val="0"/>
                <w:i w:val="0"/>
                <w:color w:val="000000"/>
                <w:sz w:val="16"/>
              </w:rPr>
              <w:t xml:space="preserve">385.86</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部门：中共三门峡市陕州区委巡察工作领导小组办公室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385.86</w:t>
            </w:r>
          </w:p>
        </w:tc>
        <w:tc>
          <w:tcPr>
            <w:tcW w:w="1160" w:type="dxa"/>
            <w:tcBorders/>
            <w:vAlign w:val="center"/>
          </w:tcPr>
          <w:p>
            <w:pPr>
              <w:jc w:val="right"/>
            </w:pPr>
            <w:r>
              <w:rPr>
                <w:rFonts w:ascii="宋体" w:eastAsia="宋体" w:hAnsi="宋体" w:cs="宋体"/>
                <w:b w:val="0"/>
                <w:i w:val="0"/>
                <w:color w:val="000000"/>
                <w:sz w:val="14"/>
              </w:rPr>
              <w:t xml:space="preserve">276.46</w:t>
            </w:r>
          </w:p>
        </w:tc>
        <w:tc>
          <w:tcPr>
            <w:tcW w:w="1160" w:type="dxa"/>
            <w:tcBorders/>
            <w:vAlign w:val="center"/>
          </w:tcPr>
          <w:p>
            <w:pPr>
              <w:jc w:val="right"/>
            </w:pPr>
            <w:r>
              <w:rPr>
                <w:rFonts w:ascii="宋体" w:eastAsia="宋体" w:hAnsi="宋体" w:cs="宋体"/>
                <w:b w:val="0"/>
                <w:i w:val="0"/>
                <w:color w:val="000000"/>
                <w:sz w:val="14"/>
              </w:rPr>
              <w:t xml:space="preserve">274.07</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2.39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109.40</w:t>
            </w:r>
          </w:p>
        </w:tc>
        <w:tc>
          <w:tcPr>
            <w:tcW w:w="1160" w:type="dxa"/>
            <w:tcBorders/>
            <w:vAlign w:val="center"/>
          </w:tcPr>
          <w:p>
            <w:pPr>
              <w:jc w:val="right"/>
            </w:pPr>
            <w:r>
              <w:rPr>
                <w:rFonts w:ascii="宋体" w:eastAsia="宋体" w:hAnsi="宋体" w:cs="宋体"/>
                <w:b w:val="0"/>
                <w:i w:val="0"/>
                <w:color w:val="000000"/>
                <w:sz w:val="14"/>
              </w:rPr>
              <w:t xml:space="preserve">109.40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部门：中共三门峡市陕州区委巡察工作领导小组办公室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276.46</w:t>
            </w:r>
          </w:p>
        </w:tc>
        <w:tc>
          <w:tcPr>
            <w:tcW w:w="1440" w:type="dxa"/>
            <w:tcBorders/>
            <w:vAlign w:val="center"/>
          </w:tcPr>
          <w:p>
            <w:pPr>
              <w:jc w:val="right"/>
            </w:pPr>
            <w:r>
              <w:rPr>
                <w:rFonts w:ascii="宋体" w:eastAsia="宋体" w:hAnsi="宋体" w:cs="宋体"/>
                <w:b w:val="0"/>
                <w:i w:val="0"/>
                <w:color w:val="000000"/>
                <w:sz w:val="17"/>
              </w:rPr>
              <w:t xml:space="preserve">274.07</w:t>
            </w:r>
          </w:p>
        </w:tc>
        <w:tc>
          <w:tcPr>
            <w:tcW w:w="1478" w:type="dxa"/>
            <w:tcBorders/>
            <w:vAlign w:val="center"/>
          </w:tcPr>
          <w:p>
            <w:pPr>
              <w:jc w:val="right"/>
            </w:pPr>
            <w:r>
              <w:rPr>
                <w:rFonts w:ascii="宋体" w:eastAsia="宋体" w:hAnsi="宋体" w:cs="宋体"/>
                <w:b w:val="0"/>
                <w:i w:val="0"/>
                <w:color w:val="000000"/>
                <w:sz w:val="17"/>
              </w:rPr>
              <w:t xml:space="preserve">2.39</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p>
        </w:tc>
        <w:tc>
          <w:tcPr>
            <w:tcW w:w="1440" w:type="dxa"/>
            <w:tcBorders/>
            <w:vAlign w:val="center"/>
          </w:tcPr>
          <w:p>
            <w:pP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部门：中共三门峡市陕州区委巡察工作领导小组办公室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385.86</w:t>
            </w:r>
          </w:p>
        </w:tc>
        <w:tc>
          <w:tcPr>
            <w:tcW w:w="920" w:type="dxa"/>
            <w:tcBorders/>
            <w:vAlign w:val="center"/>
          </w:tcPr>
          <w:p>
            <w:pPr>
              <w:jc w:val="right"/>
            </w:pPr>
            <w:r>
              <w:rPr>
                <w:rFonts w:ascii="宋体" w:eastAsia="宋体" w:hAnsi="宋体" w:cs="宋体"/>
                <w:b w:val="0"/>
                <w:i w:val="0"/>
                <w:color w:val="000000"/>
                <w:sz w:val="11"/>
              </w:rPr>
              <w:t xml:space="preserve">385.86</w:t>
            </w:r>
          </w:p>
        </w:tc>
        <w:tc>
          <w:tcPr>
            <w:tcW w:w="920" w:type="dxa"/>
            <w:tcBorders/>
            <w:vAlign w:val="center"/>
          </w:tcPr>
          <w:p>
            <w:pPr>
              <w:jc w:val="right"/>
            </w:pPr>
            <w:r>
              <w:rPr>
                <w:rFonts w:ascii="宋体" w:eastAsia="宋体" w:hAnsi="宋体" w:cs="宋体"/>
                <w:b w:val="0"/>
                <w:i w:val="0"/>
                <w:color w:val="000000"/>
                <w:sz w:val="11"/>
              </w:rPr>
              <w:t xml:space="preserve">385.86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部门：中共三门峡市陕州区委巡察工作领导小组办公室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4.80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4.50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4.50</w:t>
            </w:r>
          </w:p>
        </w:tc>
        <w:tc>
          <w:tcPr>
            <w:tcW w:w="2358" w:type="dxa"/>
            <w:tcBorders/>
            <w:vAlign w:val="center"/>
          </w:tcPr>
          <w:p>
            <w:pPr>
              <w:jc w:val="right"/>
            </w:pPr>
            <w:r>
              <w:rPr>
                <w:rFonts w:ascii="宋体" w:eastAsia="宋体" w:hAnsi="宋体" w:cs="宋体"/>
                <w:b w:val="0"/>
                <w:i w:val="0"/>
                <w:color w:val="000000"/>
                <w:sz w:val="27"/>
              </w:rPr>
              <w:t xml:space="preserve">0.30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部门：中共三门峡市陕州区委巡察工作领导小组办公室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部门：中共三门峡市陕州区委巡察工作领导小组办公室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109.40</w:t>
            </w:r>
          </w:p>
        </w:tc>
        <w:tc>
          <w:tcPr>
            <w:tcW w:w="1160" w:type="dxa"/>
            <w:tcBorders/>
            <w:vAlign w:val="center"/>
          </w:tcPr>
          <w:p>
            <w:pPr>
              <w:jc w:val="right"/>
            </w:pPr>
            <w:r>
              <w:rPr>
                <w:rFonts w:ascii="宋体" w:eastAsia="宋体" w:hAnsi="宋体" w:cs="宋体"/>
                <w:b w:val="0"/>
                <w:i w:val="0"/>
                <w:color w:val="000000"/>
                <w:sz w:val="14"/>
              </w:rPr>
              <w:t xml:space="preserve">109.40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部门：中共三门峡市陕州区委巡察工作领导小组办公室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部门：中共三门峡市陕州区委巡察工作领导小组办公室</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111.79</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94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351"/>
        <w:gridCol w:w="1449"/>
        <w:gridCol w:w="2198"/>
        <w:gridCol w:w="1172"/>
        <w:gridCol w:w="3235"/>
      </w:tblGrid>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tcBorders>
              <w:top w:val="nil"/>
              <w:left w:val="nil"/>
              <w:bottom w:val="nil"/>
              <w:right w:val="nil"/>
            </w:tcBorders>
            <w:shd w:val="clear" w:color="auto" w:fill="auto"/>
            <w:noWrap w:val="1"/>
            <w:vAlign w:val="center"/>
          </w:tcPr>
          <w:p>
            <w:pPr>
              <w:pStyle w:val="Normal_3de88ed3-61dc-4381-ab02-564e473d6b1a"/>
              <w:rPr>
                <w:rFonts w:ascii="宋体" w:eastAsia="宋体" w:hAnsi="宋体" w:cs="宋体" w:hint="eastAsia"/>
                <w:i w:val="0"/>
                <w:iCs w:val="0"/>
                <w:color w:val="000000"/>
                <w:sz w:val="22"/>
                <w:szCs w:val="22"/>
                <w:u w:val="none"/>
              </w:rPr>
            </w:pPr>
          </w:p>
        </w:tc>
        <w:tc>
          <w:tcPr>
            <w:tcW w:w="1449" w:type="dxa"/>
            <w:tcBorders>
              <w:top w:val="nil"/>
              <w:left w:val="nil"/>
              <w:bottom w:val="nil"/>
              <w:right w:val="nil"/>
            </w:tcBorders>
            <w:shd w:val="clear" w:color="auto" w:fill="auto"/>
            <w:noWrap w:val="1"/>
            <w:vAlign w:val="center"/>
          </w:tcPr>
          <w:p>
            <w:pPr>
              <w:pStyle w:val="Normal_3de88ed3-61dc-4381-ab02-564e473d6b1a"/>
              <w:rPr>
                <w:rFonts w:ascii="宋体" w:eastAsia="宋体" w:hAnsi="宋体" w:cs="宋体" w:hint="eastAsia"/>
                <w:i w:val="0"/>
                <w:iCs w:val="0"/>
                <w:color w:val="000000"/>
                <w:sz w:val="22"/>
                <w:szCs w:val="22"/>
                <w:u w:val="none"/>
              </w:rPr>
            </w:pPr>
          </w:p>
        </w:tc>
        <w:tc>
          <w:tcPr>
            <w:tcW w:w="2198" w:type="dxa"/>
            <w:tcBorders>
              <w:top w:val="nil"/>
              <w:left w:val="nil"/>
              <w:bottom w:val="nil"/>
              <w:right w:val="nil"/>
            </w:tcBorders>
            <w:shd w:val="clear" w:color="auto" w:fill="auto"/>
            <w:noWrap w:val="1"/>
            <w:vAlign w:val="center"/>
          </w:tcPr>
          <w:p>
            <w:pPr>
              <w:pStyle w:val="Normal_3de88ed3-61dc-4381-ab02-564e473d6b1a"/>
              <w:rPr>
                <w:rFonts w:ascii="宋体" w:eastAsia="宋体" w:hAnsi="宋体" w:cs="宋体" w:hint="eastAsia"/>
                <w:i w:val="0"/>
                <w:iCs w:val="0"/>
                <w:color w:val="000000"/>
                <w:sz w:val="22"/>
                <w:szCs w:val="22"/>
                <w:u w:val="none"/>
              </w:rPr>
            </w:pPr>
          </w:p>
        </w:tc>
        <w:tc>
          <w:tcPr>
            <w:tcW w:w="1172" w:type="dxa"/>
            <w:tcBorders>
              <w:top w:val="nil"/>
              <w:left w:val="nil"/>
              <w:bottom w:val="nil"/>
              <w:right w:val="nil"/>
            </w:tcBorders>
            <w:shd w:val="clear" w:color="auto" w:fill="auto"/>
            <w:noWrap w:val="1"/>
            <w:vAlign w:val="center"/>
          </w:tcPr>
          <w:p>
            <w:pPr>
              <w:pStyle w:val="Normal_3de88ed3-61dc-4381-ab02-564e473d6b1a"/>
              <w:rPr>
                <w:rFonts w:ascii="宋体" w:eastAsia="宋体" w:hAnsi="宋体" w:cs="宋体" w:hint="eastAsia"/>
                <w:i w:val="0"/>
                <w:iCs w:val="0"/>
                <w:color w:val="000000"/>
                <w:sz w:val="22"/>
                <w:szCs w:val="22"/>
                <w:u w:val="none"/>
              </w:rPr>
            </w:pPr>
          </w:p>
        </w:tc>
        <w:tc>
          <w:tcPr>
            <w:tcW w:w="3240" w:type="dxa"/>
            <w:tcBorders>
              <w:top w:val="nil"/>
              <w:left w:val="nil"/>
              <w:bottom w:val="nil"/>
              <w:right w:val="nil"/>
            </w:tcBorders>
            <w:shd w:val="clear" w:color="auto" w:fill="auto"/>
            <w:vAlign w:val="center"/>
          </w:tcPr>
          <w:p>
            <w:pPr>
              <w:pStyle w:val="Normal_3de88ed3-61dc-4381-ab02-564e473d6b1a"/>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jc w:val="center"/>
        </w:trPr>
        <w:tc>
          <w:tcPr>
            <w:tcW w:w="9410" w:type="dxa"/>
            <w:gridSpan w:val="5"/>
            <w:tcBorders>
              <w:top w:val="nil"/>
              <w:left w:val="nil"/>
              <w:bottom w:val="nil"/>
              <w:right w:val="nil"/>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部门（单位）整体绩效目标表</w:t>
            </w: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9410" w:type="dxa"/>
            <w:gridSpan w:val="5"/>
            <w:tcBorders>
              <w:top w:val="nil"/>
              <w:left w:val="nil"/>
              <w:bottom w:val="nil"/>
              <w:right w:val="nil"/>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rPr>
              <w:t xml:space="preserve">（2024年度）</w:t>
            </w: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94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部门名称：中共三门峡市陕州区委巡察工作领导小组办公室</w:t>
            </w: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jc w:val="center"/>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80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385.86</w:t>
            </w: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w:t>
            </w: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（1）政府预算资金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385.86</w:t>
            </w: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（2）财政专户管理资金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（3）单位资金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w:t>
            </w: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（1）基本支出</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276.46</w:t>
            </w: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（2）项目支出</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109.40</w:t>
            </w: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2198" w:type="dxa"/>
            <w:tcBorders>
              <w:top w:val="nil"/>
              <w:left w:val="nil"/>
              <w:bottom w:val="nil"/>
              <w:right w:val="nil"/>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jc w:val="center"/>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jc w:val="center"/>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bl>
    <w:p>
      <w:pPr>
        <w:pStyle w:val="Normal_3de88ed3-61dc-4381-ab02-564e473d6b1a"/>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106"/>
        <w:gridCol w:w="1046"/>
        <w:gridCol w:w="756"/>
        <w:gridCol w:w="756"/>
        <w:gridCol w:w="506"/>
        <w:gridCol w:w="506"/>
        <w:gridCol w:w="1057"/>
        <w:gridCol w:w="506"/>
        <w:gridCol w:w="1124"/>
        <w:gridCol w:w="507"/>
        <w:gridCol w:w="1066"/>
        <w:gridCol w:w="1151"/>
        <w:gridCol w:w="1066"/>
        <w:gridCol w:w="1159"/>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3de88ed3-61dc-4381-ab02-564e473d6b1a"/>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预算12表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2024年部门预算项目绩效目标汇总表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部门名称：中共三门峡市陕州区委巡察工作领导小组办公室</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916"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6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6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9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309</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lef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109.40</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109.40</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309001</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中共三门峡市陕州区委巡察工作领导小组办公室</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109.40</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109.40</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411203240000000005215</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2024年巡察工作经费</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79.40</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79.40</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显著</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年度履职目标实现率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显著</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年度重点工作任务完成率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显著</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全年工作任务完成率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411203240000000005216</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2024年村居巡察工作经费</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30.00</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30.00</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年度履职目标实现率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是否完成</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vt群众满意度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年度重点工作任务完成率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是否完成</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center"/>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年度任务完成率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是否完成</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de88ed3-61dc-4381-ab02-564e473d6b1a"/>
              <w:rPr>
                <w:rFonts w:ascii="宋体" w:eastAsia="宋体" w:hAnsi="宋体" w:cs="宋体" w:hint="eastAsia"/>
                <w:i w:val="0"/>
                <w:iCs w:val="0"/>
                <w:color w:val="000000"/>
                <w:sz w:val="18"/>
                <w:szCs w:val="18"/>
                <w:u w:val="none"/>
              </w:rPr>
            </w:pPr>
          </w:p>
        </w:tc>
      </w:tr>
    </w:tbl>
    <w:p>
      <w:pPr>
        <w:pStyle w:val="Normal_3de88ed3-61dc-4381-ab02-564e473d6b1a"/>
      </w:pPr>
    </w:p>
    <w:p>
      <w:pPr>
        <w:jc w:val="left"/>
        <w:rPr>
          <w:rFonts w:hint="eastAsia"/>
          <w:lang w:val="en-US" w:eastAsia="zh-CN"/>
        </w:rPr>
      </w:pPr>
      <w:bookmarkStart w:id="0" w:name="_GoBack"/>
      <w:bookmarkEnd w:id="0"/>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62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3de88ed3-61dc-4381-ab02-564e473d6b1a">
    <w:name w:val="Normal_3de88ed3-61dc-4381-ab02-564e473d6b1a"/>
    <w:autoRedefine/>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2024-03-29T01:48:59Z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5</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5</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2024-03-29T01:48:59Z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