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三门峡市市场监督管理局陕州分局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法治政府建设工作报告</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outlineLvl w:val="9"/>
        <w:rPr>
          <w:rFonts w:hint="eastAsia" w:ascii="Times New Roman" w:hAnsi="Times New Roman" w:eastAsia="仿宋_GB2312" w:cs="宋体"/>
          <w:b w:val="0"/>
          <w:bCs w:val="0"/>
          <w:kern w:val="0"/>
          <w:sz w:val="32"/>
          <w:szCs w:val="32"/>
          <w:lang w:val="en-US" w:eastAsia="zh-CN" w:bidi="ar-SA"/>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方正仿宋_GB2312" w:hAnsi="方正仿宋_GB2312" w:eastAsia="方正仿宋_GB2312" w:cs="方正仿宋_GB2312"/>
          <w:b w:val="0"/>
          <w:bCs w:val="0"/>
          <w:color w:val="auto"/>
          <w:kern w:val="0"/>
          <w:sz w:val="32"/>
          <w:szCs w:val="32"/>
          <w:lang w:val="en-US" w:eastAsia="zh-CN" w:bidi="ar-SA"/>
        </w:rPr>
        <w:t>2023年以来，陕州分局以习近平新时代中国特色社会主义思想为指引，认真贯彻落实省、市、区和市局关于建设法治政府的决策部署，紧紧围绕我局党组确定的各项中心工作，加强统筹谋划，聚力攻坚克难，抓重点、补短板、强弱项，全面加强法治市场监管建设并取得明显成效，报告如下：</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一、建章立制，筑牢法治工作基础</w:t>
      </w: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600" w:lineRule="exact"/>
        <w:ind w:left="0" w:right="0" w:rightChars="0" w:firstLine="643" w:firstLineChars="200"/>
        <w:jc w:val="left"/>
        <w:textAlignment w:val="auto"/>
        <w:rPr>
          <w:rFonts w:hint="eastAsia" w:ascii="方正仿宋_GB2312" w:hAnsi="方正仿宋_GB2312" w:eastAsia="方正仿宋_GB2312" w:cs="方正仿宋_GB2312"/>
          <w:b w:val="0"/>
          <w:bCs w:val="0"/>
          <w:color w:val="auto"/>
          <w:kern w:val="0"/>
          <w:sz w:val="32"/>
          <w:szCs w:val="32"/>
          <w:lang w:val="en-US" w:eastAsia="zh-CN" w:bidi="ar-SA"/>
        </w:rPr>
      </w:pPr>
      <w:r>
        <w:rPr>
          <w:rFonts w:hint="eastAsia" w:ascii="楷体_GB2312" w:hAnsi="楷体_GB2312" w:eastAsia="楷体_GB2312" w:cs="楷体_GB2312"/>
          <w:b/>
          <w:color w:val="auto"/>
          <w:sz w:val="32"/>
          <w:szCs w:val="32"/>
          <w:lang w:val="en-US" w:eastAsia="zh-CN"/>
        </w:rPr>
        <w:t>（一）</w:t>
      </w:r>
      <w:r>
        <w:rPr>
          <w:rFonts w:hint="eastAsia" w:ascii="楷体_GB2312" w:hAnsi="楷体_GB2312" w:eastAsia="楷体_GB2312" w:cs="楷体_GB2312"/>
          <w:b/>
          <w:color w:val="auto"/>
          <w:sz w:val="32"/>
          <w:szCs w:val="32"/>
          <w:lang w:eastAsia="zh-CN"/>
        </w:rPr>
        <w:t>强化政治统领，</w:t>
      </w:r>
      <w:r>
        <w:rPr>
          <w:rFonts w:hint="eastAsia" w:ascii="楷体_GB2312" w:hAnsi="楷体_GB2312" w:eastAsia="楷体_GB2312" w:cs="楷体_GB2312"/>
          <w:b/>
          <w:color w:val="auto"/>
          <w:sz w:val="32"/>
          <w:szCs w:val="32"/>
          <w:lang w:val="en-US" w:eastAsia="zh-CN"/>
        </w:rPr>
        <w:t>认真履行“第一责任”</w:t>
      </w:r>
      <w:r>
        <w:rPr>
          <w:rFonts w:hint="eastAsia" w:ascii="楷体_GB2312" w:hAnsi="楷体_GB2312" w:eastAsia="楷体_GB2312" w:cs="楷体_GB2312"/>
          <w:b/>
          <w:color w:val="auto"/>
          <w:sz w:val="32"/>
          <w:szCs w:val="32"/>
          <w:lang w:eastAsia="zh-CN"/>
        </w:rPr>
        <w:t>。</w:t>
      </w:r>
      <w:r>
        <w:rPr>
          <w:rFonts w:hint="eastAsia" w:ascii="方正仿宋_GB2312" w:hAnsi="方正仿宋_GB2312" w:eastAsia="方正仿宋_GB2312" w:cs="方正仿宋_GB2312"/>
          <w:b w:val="0"/>
          <w:bCs w:val="0"/>
          <w:color w:val="auto"/>
          <w:kern w:val="0"/>
          <w:sz w:val="32"/>
          <w:szCs w:val="32"/>
          <w:lang w:val="en-US" w:eastAsia="zh-CN" w:bidi="ar-SA"/>
        </w:rPr>
        <w:t>深入落实“第一议题”制度，认真学习党的二十大精神和习近平法治思想，始终把依法行政作为“一把手”工程，坚持对法治建设重要工作亲自部署、重大问题亲自过问、重点环节亲自协调、重要任务亲自督办，督促领导班子其他成员依法行政，全面贯彻落实中央、省、市、区关于法治建设的重大决策部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600" w:lineRule="exact"/>
        <w:ind w:left="0" w:right="0" w:rightChars="0" w:firstLine="643"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b/>
          <w:color w:val="auto"/>
          <w:sz w:val="32"/>
          <w:szCs w:val="32"/>
          <w:lang w:val="en-US" w:eastAsia="zh-CN"/>
        </w:rPr>
        <w:t>（二）健全工作机制，充分发挥党组核心作用。</w:t>
      </w:r>
      <w:r>
        <w:rPr>
          <w:rFonts w:hint="eastAsia" w:ascii="方正仿宋_GB2312" w:hAnsi="方正仿宋_GB2312" w:eastAsia="方正仿宋_GB2312" w:cs="方正仿宋_GB2312"/>
          <w:color w:val="auto"/>
          <w:kern w:val="2"/>
          <w:sz w:val="32"/>
          <w:szCs w:val="32"/>
          <w:lang w:val="en-US" w:eastAsia="zh-CN" w:bidi="ar-SA"/>
        </w:rPr>
        <w:t>成立依法行政工作领导小组，将依法行政工作纳入全年工作要点，列入局党组会议的重要议事日程，</w:t>
      </w:r>
      <w:r>
        <w:rPr>
          <w:rFonts w:hint="eastAsia" w:ascii="方正仿宋_GB2312" w:hAnsi="方正仿宋_GB2312" w:eastAsia="方正仿宋_GB2312" w:cs="方正仿宋_GB2312"/>
          <w:color w:val="auto"/>
          <w:sz w:val="32"/>
          <w:szCs w:val="32"/>
          <w:lang w:eastAsia="zh-CN"/>
        </w:rPr>
        <w:t>与全局重点工作同部署、同落实；</w:t>
      </w:r>
      <w:r>
        <w:rPr>
          <w:rFonts w:hint="eastAsia" w:ascii="方正仿宋_GB2312" w:hAnsi="方正仿宋_GB2312" w:eastAsia="方正仿宋_GB2312" w:cs="方正仿宋_GB2312"/>
          <w:color w:val="auto"/>
          <w:sz w:val="32"/>
          <w:szCs w:val="32"/>
        </w:rPr>
        <w:t>坚持每月听取依法行政工作</w:t>
      </w:r>
      <w:r>
        <w:rPr>
          <w:rFonts w:hint="eastAsia" w:ascii="方正仿宋_GB2312" w:hAnsi="方正仿宋_GB2312" w:eastAsia="方正仿宋_GB2312" w:cs="方正仿宋_GB2312"/>
          <w:color w:val="auto"/>
          <w:sz w:val="32"/>
          <w:szCs w:val="32"/>
          <w:lang w:eastAsia="zh-CN"/>
        </w:rPr>
        <w:t>专题</w:t>
      </w:r>
      <w:r>
        <w:rPr>
          <w:rFonts w:hint="eastAsia" w:ascii="方正仿宋_GB2312" w:hAnsi="方正仿宋_GB2312" w:eastAsia="方正仿宋_GB2312" w:cs="方正仿宋_GB2312"/>
          <w:color w:val="auto"/>
          <w:sz w:val="32"/>
          <w:szCs w:val="32"/>
        </w:rPr>
        <w:t>汇报，解决法治建设重大问题</w:t>
      </w:r>
      <w:r>
        <w:rPr>
          <w:rFonts w:hint="eastAsia" w:ascii="方正仿宋_GB2312" w:hAnsi="方正仿宋_GB2312" w:eastAsia="方正仿宋_GB2312" w:cs="方正仿宋_GB2312"/>
          <w:color w:val="auto"/>
          <w:sz w:val="32"/>
          <w:szCs w:val="32"/>
          <w:lang w:eastAsia="zh-CN"/>
        </w:rPr>
        <w:t>，形成了党组牵头、部门负责、全员推进的法治全局化工作格局。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600" w:lineRule="exact"/>
        <w:ind w:left="0" w:right="0" w:rightChars="0" w:firstLine="643" w:firstLineChars="200"/>
        <w:jc w:val="left"/>
        <w:textAlignment w:val="auto"/>
        <w:rPr>
          <w:rFonts w:hint="eastAsia" w:ascii="方正仿宋_GB2312" w:hAnsi="方正仿宋_GB2312" w:eastAsia="方正仿宋_GB2312" w:cs="方正仿宋_GB2312"/>
          <w:b w:val="0"/>
          <w:bCs w:val="0"/>
          <w:color w:val="auto"/>
          <w:kern w:val="2"/>
          <w:sz w:val="32"/>
          <w:szCs w:val="32"/>
          <w:shd w:val="clear" w:color="auto" w:fill="auto"/>
          <w:lang w:val="en-US" w:eastAsia="zh-CN" w:bidi="ar-SA"/>
        </w:rPr>
      </w:pPr>
      <w:r>
        <w:rPr>
          <w:rFonts w:hint="eastAsia" w:ascii="楷体_GB2312" w:hAnsi="楷体_GB2312" w:eastAsia="楷体_GB2312" w:cs="楷体_GB2312"/>
          <w:b/>
          <w:color w:val="auto"/>
          <w:sz w:val="32"/>
          <w:szCs w:val="32"/>
          <w:lang w:val="en-US" w:eastAsia="zh-CN"/>
        </w:rPr>
        <w:t>（三）持续提升科学决策能力。</w:t>
      </w:r>
      <w:r>
        <w:rPr>
          <w:rFonts w:hint="eastAsia" w:ascii="方正仿宋_GB2312" w:hAnsi="方正仿宋_GB2312" w:eastAsia="方正仿宋_GB2312" w:cs="方正仿宋_GB2312"/>
          <w:color w:val="auto"/>
          <w:sz w:val="32"/>
          <w:szCs w:val="32"/>
        </w:rPr>
        <w:t>带头履行民主集中制，认真落实局党组议事制度，严格执行“三重一大”决策制度和重大决策合法合规性审核机制，</w:t>
      </w:r>
      <w:r>
        <w:rPr>
          <w:rFonts w:hint="eastAsia" w:ascii="方正仿宋_GB2312" w:hAnsi="方正仿宋_GB2312" w:eastAsia="方正仿宋_GB2312" w:cs="方正仿宋_GB2312"/>
          <w:color w:val="auto"/>
          <w:sz w:val="32"/>
          <w:szCs w:val="32"/>
          <w:lang w:eastAsia="zh-CN"/>
        </w:rPr>
        <w:t>确保各项决策于法有据，局党组整体</w:t>
      </w:r>
      <w:r>
        <w:rPr>
          <w:rFonts w:hint="eastAsia" w:ascii="方正仿宋_GB2312" w:hAnsi="方正仿宋_GB2312" w:eastAsia="方正仿宋_GB2312" w:cs="方正仿宋_GB2312"/>
          <w:color w:val="auto"/>
          <w:sz w:val="32"/>
          <w:szCs w:val="32"/>
        </w:rPr>
        <w:t>依法决策</w:t>
      </w:r>
      <w:r>
        <w:rPr>
          <w:rFonts w:hint="eastAsia" w:ascii="方正仿宋_GB2312" w:hAnsi="方正仿宋_GB2312" w:eastAsia="方正仿宋_GB2312" w:cs="方正仿宋_GB2312"/>
          <w:color w:val="auto"/>
          <w:sz w:val="32"/>
          <w:szCs w:val="32"/>
          <w:lang w:eastAsia="zh-CN"/>
        </w:rPr>
        <w:t>、科学决策</w:t>
      </w:r>
      <w:r>
        <w:rPr>
          <w:rFonts w:hint="eastAsia" w:ascii="方正仿宋_GB2312" w:hAnsi="方正仿宋_GB2312" w:eastAsia="方正仿宋_GB2312" w:cs="方正仿宋_GB2312"/>
          <w:color w:val="auto"/>
          <w:sz w:val="32"/>
          <w:szCs w:val="32"/>
        </w:rPr>
        <w:t>水平不断提高</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b/>
          <w:color w:val="auto"/>
          <w:kern w:val="0"/>
          <w:sz w:val="32"/>
          <w:szCs w:val="32"/>
          <w:lang w:val="en-US" w:eastAsia="zh-CN" w:bidi="ar-SA"/>
        </w:rPr>
        <w:t>（四）扎实落实法律顾问制度。</w:t>
      </w:r>
      <w:r>
        <w:rPr>
          <w:rFonts w:hint="eastAsia" w:ascii="方正仿宋_GB2312" w:hAnsi="方正仿宋_GB2312" w:eastAsia="方正仿宋_GB2312" w:cs="方正仿宋_GB2312"/>
          <w:color w:val="auto"/>
          <w:sz w:val="32"/>
          <w:szCs w:val="32"/>
          <w:lang w:eastAsia="zh-CN"/>
        </w:rPr>
        <w:t>聘用河南东方律师事务所作为我局的法律顾问团队，</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充分发挥法律顾问在重大行政决策合法性审查、开展重大建设项目、处理复杂的非诉讼纠纷、处理疑难行政复议案件、代理行政诉讼、规范性文件法律审核等方面的作用。</w:t>
      </w:r>
      <w:r>
        <w:rPr>
          <w:rFonts w:hint="eastAsia" w:ascii="方正仿宋_GB2312" w:hAnsi="方正仿宋_GB2312" w:eastAsia="方正仿宋_GB2312" w:cs="方正仿宋_GB2312"/>
          <w:color w:val="auto"/>
          <w:sz w:val="32"/>
          <w:szCs w:val="32"/>
          <w:lang w:eastAsia="zh-CN"/>
        </w:rPr>
        <w:t>凡重大执法决定、重要合同、重大纠纷先由法制股会同法律顾问把关审查，提出法律建议后报机关负责人集体讨论决定。</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二、履职尽责，带动法治工作全面提升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600" w:lineRule="exact"/>
        <w:ind w:left="0" w:right="0"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b/>
          <w:color w:val="auto"/>
          <w:sz w:val="32"/>
          <w:szCs w:val="32"/>
          <w:lang w:eastAsia="zh-CN"/>
        </w:rPr>
        <w:t>（一）严格落实市场准入负面清单。</w:t>
      </w:r>
      <w:r>
        <w:rPr>
          <w:rFonts w:hint="eastAsia" w:ascii="方正仿宋_GB2312" w:hAnsi="方正仿宋_GB2312" w:eastAsia="方正仿宋_GB2312" w:cs="方正仿宋_GB2312"/>
          <w:color w:val="auto"/>
          <w:sz w:val="32"/>
          <w:szCs w:val="32"/>
        </w:rPr>
        <w:t>全面实施国家《市场准入负面清单》，全面清理在市场准入方面设置的各类不合理条件，清单以外各类市场主体皆可依法平等进入。各类市场主体在本行政区域内依法享有平等的市场准入权利，优化新业态发展环境，放宽新兴行业企业名称登记限制。在法律法规范围内及总局、省局政策指导下，不断深化企业名称自主申报、住所（经营场所）申报承诺制、经营范围规范化等商事制度改革。创新举措，在全区范围内打破区域限制，积极推行市场主体注册登记“全区通办”。名称自主申报</w:t>
      </w:r>
      <w:r>
        <w:rPr>
          <w:rFonts w:hint="eastAsia" w:ascii="方正仿宋_GB2312" w:hAnsi="方正仿宋_GB2312" w:eastAsia="方正仿宋_GB2312" w:cs="方正仿宋_GB2312"/>
          <w:color w:val="auto"/>
          <w:sz w:val="32"/>
          <w:szCs w:val="32"/>
          <w:lang w:val="en-US" w:eastAsia="zh-CN"/>
        </w:rPr>
        <w:t>12901</w:t>
      </w:r>
      <w:r>
        <w:rPr>
          <w:rFonts w:hint="eastAsia" w:ascii="方正仿宋_GB2312" w:hAnsi="方正仿宋_GB2312" w:eastAsia="方正仿宋_GB2312" w:cs="方正仿宋_GB2312"/>
          <w:color w:val="auto"/>
          <w:sz w:val="32"/>
          <w:szCs w:val="32"/>
        </w:rPr>
        <w:t>户，全区通办15户。</w:t>
      </w:r>
    </w:p>
    <w:p>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kern w:val="0"/>
          <w:sz w:val="32"/>
          <w:szCs w:val="32"/>
          <w:lang w:val="en-US" w:eastAsia="zh-CN" w:bidi="ar-SA"/>
        </w:rPr>
        <w:t>（二）严格落实市场主体“证照分离”。</w:t>
      </w:r>
      <w:r>
        <w:rPr>
          <w:rFonts w:hint="eastAsia" w:ascii="方正仿宋_GB2312" w:hAnsi="方正仿宋_GB2312" w:eastAsia="方正仿宋_GB2312" w:cs="方正仿宋_GB2312"/>
          <w:color w:val="auto"/>
          <w:kern w:val="2"/>
          <w:sz w:val="32"/>
          <w:szCs w:val="32"/>
          <w:lang w:val="en-US" w:eastAsia="zh-CN" w:bidi="ar-SA"/>
        </w:rPr>
        <w:t>按照省、市局“证照分离”工作要求，将报关企业注册登记、食品经营许可由审批改为备案，纳入“多证合一”。认真履行“双告知”职责，将市场主体登记注册信息通过部门协同监管平台及时推送至同级相关审批和主管部门，由其认领并根据职责做好后续监管工作。</w:t>
      </w:r>
      <w:r>
        <w:rPr>
          <w:rFonts w:hint="eastAsia" w:ascii="方正仿宋_GB2312" w:hAnsi="方正仿宋_GB2312" w:eastAsia="方正仿宋_GB2312" w:cs="方正仿宋_GB2312"/>
          <w:b w:val="0"/>
          <w:bCs w:val="0"/>
          <w:color w:val="auto"/>
          <w:sz w:val="32"/>
          <w:szCs w:val="32"/>
          <w:lang w:eastAsia="zh-CN"/>
        </w:rPr>
        <w:t>目前营业执照已载入</w:t>
      </w:r>
      <w:r>
        <w:rPr>
          <w:rFonts w:hint="eastAsia" w:ascii="方正仿宋_GB2312" w:hAnsi="方正仿宋_GB2312" w:eastAsia="方正仿宋_GB2312" w:cs="方正仿宋_GB2312"/>
          <w:b w:val="0"/>
          <w:bCs w:val="0"/>
          <w:color w:val="auto"/>
          <w:sz w:val="32"/>
          <w:szCs w:val="32"/>
          <w:lang w:val="en-US" w:eastAsia="zh-CN"/>
        </w:rPr>
        <w:t>552项行政许可、备案信息</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实现了企业注册登记“一网通办”、“最多跑一次”。</w:t>
      </w:r>
    </w:p>
    <w:p>
      <w:pPr>
        <w:keepNext w:val="0"/>
        <w:keepLines w:val="0"/>
        <w:pageBreakBefore w:val="0"/>
        <w:widowControl w:val="0"/>
        <w:shd w:val="clear"/>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kern w:val="0"/>
          <w:sz w:val="32"/>
          <w:szCs w:val="32"/>
          <w:lang w:val="en-US" w:eastAsia="zh-CN" w:bidi="ar-SA"/>
        </w:rPr>
        <w:t>（三）深入推行“双随机、一公开”监管和“互联网+监管”工作。</w:t>
      </w:r>
      <w:r>
        <w:rPr>
          <w:rFonts w:hint="eastAsia" w:ascii="方正仿宋_GB2312" w:hAnsi="方正仿宋_GB2312" w:eastAsia="方正仿宋_GB2312" w:cs="方正仿宋_GB2312"/>
          <w:color w:val="auto"/>
          <w:sz w:val="32"/>
          <w:szCs w:val="32"/>
        </w:rPr>
        <w:t>坚持将加强事中事后监管作为优化营商环境的重要举措，做到监管市场主体既“无事不扰”又“无处不在”，实现“进一次门、查多项事”，避免多头执法，减少重复检查，减少对企业的干扰，减轻企业负担。202</w:t>
      </w:r>
      <w:r>
        <w:rPr>
          <w:rFonts w:hint="eastAsia" w:ascii="方正仿宋_GB2312" w:hAnsi="方正仿宋_GB2312" w:eastAsia="方正仿宋_GB2312" w:cs="方正仿宋_GB2312"/>
          <w:color w:val="auto"/>
          <w:sz w:val="32"/>
          <w:szCs w:val="32"/>
          <w:lang w:val="en-US" w:eastAsia="zh-CN"/>
        </w:rPr>
        <w:t>3以来</w:t>
      </w:r>
      <w:r>
        <w:rPr>
          <w:rFonts w:hint="eastAsia" w:ascii="方正仿宋_GB2312" w:hAnsi="方正仿宋_GB2312" w:eastAsia="方正仿宋_GB2312" w:cs="方正仿宋_GB2312"/>
          <w:color w:val="auto"/>
          <w:sz w:val="32"/>
          <w:szCs w:val="32"/>
        </w:rPr>
        <w:t>年共完成抽查任务</w:t>
      </w:r>
      <w:r>
        <w:rPr>
          <w:rFonts w:hint="eastAsia" w:ascii="方正仿宋_GB2312" w:hAnsi="方正仿宋_GB2312" w:eastAsia="方正仿宋_GB2312" w:cs="方正仿宋_GB2312"/>
          <w:color w:val="auto"/>
          <w:sz w:val="32"/>
          <w:szCs w:val="32"/>
          <w:lang w:val="en-US" w:eastAsia="zh-CN"/>
        </w:rPr>
        <w:t>41</w:t>
      </w:r>
      <w:r>
        <w:rPr>
          <w:rFonts w:hint="eastAsia" w:ascii="方正仿宋_GB2312" w:hAnsi="方正仿宋_GB2312" w:eastAsia="方正仿宋_GB2312" w:cs="方正仿宋_GB2312"/>
          <w:color w:val="auto"/>
          <w:sz w:val="32"/>
          <w:szCs w:val="32"/>
        </w:rPr>
        <w:t>次，较全省平均值（17次）多</w:t>
      </w:r>
      <w:r>
        <w:rPr>
          <w:rFonts w:hint="eastAsia" w:ascii="方正仿宋_GB2312" w:hAnsi="方正仿宋_GB2312" w:eastAsia="方正仿宋_GB2312" w:cs="方正仿宋_GB2312"/>
          <w:color w:val="auto"/>
          <w:sz w:val="32"/>
          <w:szCs w:val="32"/>
          <w:lang w:val="en-US" w:eastAsia="zh-CN"/>
        </w:rPr>
        <w:t>24</w:t>
      </w:r>
      <w:r>
        <w:rPr>
          <w:rFonts w:hint="eastAsia" w:ascii="方正仿宋_GB2312" w:hAnsi="方正仿宋_GB2312" w:eastAsia="方正仿宋_GB2312" w:cs="方正仿宋_GB2312"/>
          <w:color w:val="auto"/>
          <w:sz w:val="32"/>
          <w:szCs w:val="32"/>
        </w:rPr>
        <w:t>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全区抽查工作细则覆盖本级部门2</w:t>
      </w: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个，覆盖率为100%</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“互联网+监管”监管事项信息覆盖率完成100%，较全省平均（70.28%）高29.72%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为</w:t>
      </w:r>
      <w:r>
        <w:rPr>
          <w:rFonts w:hint="eastAsia" w:ascii="方正仿宋_GB2312" w:hAnsi="方正仿宋_GB2312" w:eastAsia="方正仿宋_GB2312" w:cs="方正仿宋_GB2312"/>
          <w:color w:val="auto"/>
          <w:sz w:val="32"/>
          <w:szCs w:val="32"/>
          <w:lang w:val="en-US" w:eastAsia="zh-CN"/>
        </w:rPr>
        <w:t>4226</w:t>
      </w:r>
      <w:r>
        <w:rPr>
          <w:rFonts w:hint="eastAsia" w:ascii="方正仿宋_GB2312" w:hAnsi="方正仿宋_GB2312" w:eastAsia="方正仿宋_GB2312" w:cs="方正仿宋_GB2312"/>
          <w:color w:val="auto"/>
          <w:sz w:val="32"/>
          <w:szCs w:val="32"/>
        </w:rPr>
        <w:t>户市场主体开展了信用修复工作</w:t>
      </w:r>
      <w:r>
        <w:rPr>
          <w:rFonts w:hint="eastAsia" w:ascii="方正仿宋_GB2312" w:hAnsi="方正仿宋_GB2312" w:eastAsia="方正仿宋_GB2312" w:cs="方正仿宋_GB2312"/>
          <w:color w:val="auto"/>
          <w:sz w:val="32"/>
          <w:szCs w:val="32"/>
          <w:lang w:eastAsia="zh-CN"/>
        </w:rPr>
        <w:t>，其中</w:t>
      </w:r>
      <w:r>
        <w:rPr>
          <w:rFonts w:hint="eastAsia" w:ascii="方正仿宋_GB2312" w:hAnsi="方正仿宋_GB2312" w:eastAsia="方正仿宋_GB2312" w:cs="方正仿宋_GB2312"/>
          <w:color w:val="auto"/>
          <w:sz w:val="32"/>
          <w:szCs w:val="32"/>
        </w:rPr>
        <w:t>移出异常名录</w:t>
      </w:r>
      <w:r>
        <w:rPr>
          <w:rFonts w:hint="eastAsia" w:ascii="方正仿宋_GB2312" w:hAnsi="方正仿宋_GB2312" w:eastAsia="方正仿宋_GB2312" w:cs="方正仿宋_GB2312"/>
          <w:color w:val="auto"/>
          <w:sz w:val="32"/>
          <w:szCs w:val="32"/>
          <w:lang w:val="en-US" w:eastAsia="zh-CN"/>
        </w:rPr>
        <w:t>3985</w:t>
      </w:r>
      <w:r>
        <w:rPr>
          <w:rFonts w:hint="eastAsia" w:ascii="方正仿宋_GB2312" w:hAnsi="方正仿宋_GB2312" w:eastAsia="方正仿宋_GB2312" w:cs="方正仿宋_GB2312"/>
          <w:color w:val="auto"/>
          <w:sz w:val="32"/>
          <w:szCs w:val="32"/>
        </w:rPr>
        <w:t>户，移出严重违法</w:t>
      </w:r>
      <w:r>
        <w:rPr>
          <w:rFonts w:hint="eastAsia" w:ascii="方正仿宋_GB2312" w:hAnsi="方正仿宋_GB2312" w:eastAsia="方正仿宋_GB2312" w:cs="方正仿宋_GB2312"/>
          <w:color w:val="auto"/>
          <w:sz w:val="32"/>
          <w:szCs w:val="32"/>
          <w:lang w:val="en-US" w:eastAsia="zh-CN"/>
        </w:rPr>
        <w:t>241</w:t>
      </w:r>
      <w:r>
        <w:rPr>
          <w:rFonts w:hint="eastAsia" w:ascii="方正仿宋_GB2312" w:hAnsi="方正仿宋_GB2312" w:eastAsia="方正仿宋_GB2312" w:cs="方正仿宋_GB2312"/>
          <w:color w:val="auto"/>
          <w:sz w:val="32"/>
          <w:szCs w:val="32"/>
        </w:rPr>
        <w:t>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600" w:lineRule="exact"/>
        <w:ind w:right="0" w:firstLine="643" w:firstLineChars="200"/>
        <w:jc w:val="left"/>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kern w:val="0"/>
          <w:sz w:val="32"/>
          <w:szCs w:val="32"/>
          <w:lang w:val="en-US" w:eastAsia="zh-CN" w:bidi="ar-SA"/>
        </w:rPr>
        <w:t>（四）加强公平竞争审查工作。</w:t>
      </w:r>
      <w:r>
        <w:rPr>
          <w:rFonts w:hint="eastAsia" w:ascii="方正仿宋_GB2312" w:hAnsi="方正仿宋_GB2312" w:eastAsia="方正仿宋_GB2312" w:cs="方正仿宋_GB2312"/>
          <w:color w:val="auto"/>
          <w:sz w:val="32"/>
          <w:szCs w:val="32"/>
          <w:lang w:eastAsia="zh-CN"/>
        </w:rPr>
        <w:t>牵头</w:t>
      </w:r>
      <w:r>
        <w:rPr>
          <w:rFonts w:hint="eastAsia" w:ascii="方正仿宋_GB2312" w:hAnsi="方正仿宋_GB2312" w:eastAsia="方正仿宋_GB2312" w:cs="方正仿宋_GB2312"/>
          <w:color w:val="auto"/>
          <w:sz w:val="32"/>
          <w:szCs w:val="32"/>
        </w:rPr>
        <w:t>成立了公平竞争审查工作领导小组，统筹协调我</w:t>
      </w: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公平竞争审查的各项工作。按照“谁起草、谁审查”的原则，</w:t>
      </w:r>
      <w:r>
        <w:rPr>
          <w:rFonts w:hint="eastAsia" w:ascii="方正仿宋_GB2312" w:hAnsi="方正仿宋_GB2312" w:eastAsia="方正仿宋_GB2312" w:cs="方正仿宋_GB2312"/>
          <w:color w:val="auto"/>
          <w:sz w:val="32"/>
          <w:szCs w:val="32"/>
          <w:lang w:val="en-US" w:eastAsia="zh-CN"/>
        </w:rPr>
        <w:t>要求各成员单位对本单位出台的政策措施进行审查。对不符合《公平竞争审查制度实施细则》规定的内容进行修改、删除。对需调整或需废止的文件，及时与相关部门沟通协调后进行调整完善或废止，并将调整或废止情况按照《政府信息公开条例》的要求及时向社会公开，</w:t>
      </w:r>
      <w:r>
        <w:rPr>
          <w:rFonts w:hint="eastAsia" w:ascii="方正仿宋_GB2312" w:hAnsi="方正仿宋_GB2312" w:eastAsia="方正仿宋_GB2312" w:cs="方正仿宋_GB2312"/>
          <w:color w:val="auto"/>
          <w:sz w:val="32"/>
          <w:szCs w:val="32"/>
          <w:lang w:eastAsia="zh-CN"/>
        </w:rPr>
        <w:t>进一步强化</w:t>
      </w:r>
      <w:r>
        <w:rPr>
          <w:rFonts w:hint="eastAsia" w:ascii="方正仿宋_GB2312" w:hAnsi="方正仿宋_GB2312" w:eastAsia="方正仿宋_GB2312" w:cs="方正仿宋_GB2312"/>
          <w:color w:val="auto"/>
          <w:sz w:val="32"/>
          <w:szCs w:val="32"/>
        </w:rPr>
        <w:t>公平竞争审查制度刚性约束</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600" w:lineRule="exact"/>
        <w:ind w:left="0" w:right="0" w:firstLine="643"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楷体_GB2312" w:hAnsi="楷体_GB2312" w:eastAsia="楷体_GB2312" w:cs="楷体_GB2312"/>
          <w:b/>
          <w:color w:val="auto"/>
          <w:sz w:val="32"/>
          <w:szCs w:val="32"/>
          <w:lang w:val="en-US" w:eastAsia="zh-CN"/>
        </w:rPr>
        <w:t>（五）严格规范性文件管理。</w:t>
      </w:r>
      <w:r>
        <w:rPr>
          <w:rFonts w:hint="eastAsia" w:ascii="方正仿宋_GB2312" w:hAnsi="方正仿宋_GB2312" w:eastAsia="方正仿宋_GB2312" w:cs="方正仿宋_GB2312"/>
          <w:color w:val="auto"/>
          <w:kern w:val="2"/>
          <w:sz w:val="32"/>
          <w:szCs w:val="32"/>
          <w:lang w:val="en-US" w:eastAsia="zh-CN" w:bidi="ar-SA"/>
        </w:rPr>
        <w:t>加强对规范性文件的审查清理，实现执法依据的系统化和规范化。对分局出台的各类文件进行合法性审查。积极组织参与政府规范性文件的清理工作，对与法律法规等相抵触的、已过有效期的、不符合“放管服”“优化营商环境”等政策要求的规范性文件及时进行清理。2023年以来，我局共进行发文合法性审查58件，备案率达100%。</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三、强化风险防范，规范行政权力运行</w:t>
      </w:r>
    </w:p>
    <w:p>
      <w:pPr>
        <w:pStyle w:val="9"/>
        <w:keepNext w:val="0"/>
        <w:keepLines w:val="0"/>
        <w:pageBreakBefore w:val="0"/>
        <w:shd w:val="clear" w:color="auto"/>
        <w:kinsoku/>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楷体_GB2312" w:hAnsi="楷体_GB2312" w:eastAsia="楷体_GB2312" w:cs="楷体_GB2312"/>
          <w:b/>
          <w:color w:val="auto"/>
          <w:sz w:val="32"/>
          <w:szCs w:val="32"/>
          <w:lang w:val="en-US" w:eastAsia="zh-CN"/>
        </w:rPr>
        <w:t>（一）完善法治监督机制。一是健全机构。</w:t>
      </w:r>
      <w:r>
        <w:rPr>
          <w:rFonts w:hint="eastAsia" w:ascii="方正仿宋_GB2312" w:hAnsi="方正仿宋_GB2312" w:eastAsia="方正仿宋_GB2312" w:cs="方正仿宋_GB2312"/>
          <w:b w:val="0"/>
          <w:bCs w:val="0"/>
          <w:color w:val="auto"/>
          <w:kern w:val="2"/>
          <w:sz w:val="32"/>
          <w:szCs w:val="32"/>
          <w:lang w:val="en-US" w:eastAsia="zh-CN" w:bidi="ar-SA"/>
        </w:rPr>
        <w:t>设立独立的法制室，配备法制人员3人，</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对普通程序的行政处罚案件进行案件审核，对重大执法决定进行法制审核，</w:t>
      </w:r>
      <w:r>
        <w:rPr>
          <w:rFonts w:hint="eastAsia" w:ascii="方正仿宋_GB2312" w:hAnsi="方正仿宋_GB2312" w:eastAsia="方正仿宋_GB2312" w:cs="方正仿宋_GB2312"/>
          <w:b w:val="0"/>
          <w:bCs w:val="0"/>
          <w:color w:val="auto"/>
          <w:kern w:val="2"/>
          <w:sz w:val="32"/>
          <w:szCs w:val="32"/>
          <w:lang w:val="en-US" w:eastAsia="zh-CN" w:bidi="ar-SA"/>
        </w:rPr>
        <w:t>全面落实行政执法责任制。</w:t>
      </w:r>
      <w:r>
        <w:rPr>
          <w:rFonts w:hint="eastAsia" w:ascii="方正仿宋_GB2312" w:hAnsi="方正仿宋_GB2312" w:eastAsia="方正仿宋_GB2312" w:cs="方正仿宋_GB2312"/>
          <w:b/>
          <w:bCs/>
          <w:color w:val="auto"/>
          <w:kern w:val="2"/>
          <w:sz w:val="32"/>
          <w:szCs w:val="32"/>
          <w:lang w:val="en-US" w:eastAsia="zh-CN" w:bidi="ar-SA"/>
        </w:rPr>
        <w:t>二是严格管理。</w:t>
      </w:r>
      <w:r>
        <w:rPr>
          <w:rFonts w:hint="eastAsia" w:ascii="方正仿宋_GB2312" w:hAnsi="方正仿宋_GB2312" w:eastAsia="方正仿宋_GB2312" w:cs="方正仿宋_GB2312"/>
          <w:b w:val="0"/>
          <w:bCs w:val="0"/>
          <w:color w:val="auto"/>
          <w:kern w:val="2"/>
          <w:sz w:val="32"/>
          <w:szCs w:val="32"/>
          <w:lang w:val="en-US" w:eastAsia="zh-CN" w:bidi="ar-SA"/>
        </w:rPr>
        <w:t>严格执法人员持证上岗和资格管理，分局在编在职且在行政执法岗位的157人全部通过了行政执法资格考试，保障市场监管执法工作程序化、规范化、法制化；</w:t>
      </w:r>
      <w:r>
        <w:rPr>
          <w:rFonts w:hint="eastAsia" w:ascii="方正仿宋_GB2312" w:hAnsi="方正仿宋_GB2312" w:eastAsia="方正仿宋_GB2312" w:cs="方正仿宋_GB2312"/>
          <w:b/>
          <w:bCs/>
          <w:color w:val="auto"/>
          <w:kern w:val="2"/>
          <w:sz w:val="32"/>
          <w:szCs w:val="32"/>
          <w:lang w:val="en-US" w:eastAsia="zh-CN" w:bidi="ar-SA"/>
        </w:rPr>
        <w:t>三是强化监督。</w:t>
      </w:r>
      <w:r>
        <w:rPr>
          <w:rFonts w:hint="eastAsia" w:ascii="方正仿宋_GB2312" w:hAnsi="方正仿宋_GB2312" w:eastAsia="方正仿宋_GB2312" w:cs="方正仿宋_GB2312"/>
          <w:b w:val="0"/>
          <w:bCs w:val="0"/>
          <w:color w:val="auto"/>
          <w:kern w:val="2"/>
          <w:sz w:val="32"/>
          <w:szCs w:val="32"/>
          <w:lang w:val="en-US" w:eastAsia="zh-CN" w:bidi="ar-SA"/>
        </w:rPr>
        <w:t>聚焦行政执法源头、过程、结果等关键环节，严格按照法定程序，规范自由裁量，加强检查督导，对行政执法实施全链条、多角度、系统性的法治监督。2023年以来，分局</w:t>
      </w:r>
      <w:r>
        <w:rPr>
          <w:rFonts w:hint="eastAsia" w:ascii="方正仿宋_GB2312" w:hAnsi="方正仿宋_GB2312" w:eastAsia="方正仿宋_GB2312" w:cs="方正仿宋_GB2312"/>
          <w:color w:val="auto"/>
          <w:sz w:val="32"/>
          <w:szCs w:val="32"/>
        </w:rPr>
        <w:t>共查办各类违法违章案件</w:t>
      </w:r>
      <w:r>
        <w:rPr>
          <w:rFonts w:hint="eastAsia" w:ascii="方正仿宋_GB2312" w:hAnsi="方正仿宋_GB2312" w:eastAsia="方正仿宋_GB2312" w:cs="方正仿宋_GB2312"/>
          <w:color w:val="auto"/>
          <w:sz w:val="32"/>
          <w:szCs w:val="32"/>
          <w:lang w:val="en-US" w:eastAsia="zh-CN"/>
        </w:rPr>
        <w:t>371</w:t>
      </w:r>
      <w:r>
        <w:rPr>
          <w:rFonts w:hint="eastAsia" w:ascii="方正仿宋_GB2312" w:hAnsi="方正仿宋_GB2312" w:eastAsia="方正仿宋_GB2312" w:cs="方正仿宋_GB2312"/>
          <w:color w:val="auto"/>
          <w:sz w:val="32"/>
          <w:szCs w:val="32"/>
        </w:rPr>
        <w:t>件，其中简易程序案件</w:t>
      </w:r>
      <w:r>
        <w:rPr>
          <w:rFonts w:hint="eastAsia" w:ascii="方正仿宋_GB2312" w:hAnsi="方正仿宋_GB2312" w:eastAsia="方正仿宋_GB2312" w:cs="方正仿宋_GB2312"/>
          <w:color w:val="auto"/>
          <w:sz w:val="32"/>
          <w:szCs w:val="32"/>
          <w:lang w:val="en-US" w:eastAsia="zh-CN"/>
        </w:rPr>
        <w:t>46</w:t>
      </w:r>
      <w:r>
        <w:rPr>
          <w:rFonts w:hint="eastAsia" w:ascii="方正仿宋_GB2312" w:hAnsi="方正仿宋_GB2312" w:eastAsia="方正仿宋_GB2312" w:cs="方正仿宋_GB2312"/>
          <w:color w:val="auto"/>
          <w:sz w:val="32"/>
          <w:szCs w:val="32"/>
        </w:rPr>
        <w:t>件，普通程序案件</w:t>
      </w:r>
      <w:r>
        <w:rPr>
          <w:rFonts w:hint="eastAsia" w:ascii="方正仿宋_GB2312" w:hAnsi="方正仿宋_GB2312" w:eastAsia="方正仿宋_GB2312" w:cs="方正仿宋_GB2312"/>
          <w:color w:val="auto"/>
          <w:sz w:val="32"/>
          <w:szCs w:val="32"/>
          <w:lang w:val="en-US" w:eastAsia="zh-CN"/>
        </w:rPr>
        <w:t>325</w:t>
      </w:r>
      <w:r>
        <w:rPr>
          <w:rFonts w:hint="eastAsia" w:ascii="方正仿宋_GB2312" w:hAnsi="方正仿宋_GB2312" w:eastAsia="方正仿宋_GB2312" w:cs="方正仿宋_GB2312"/>
          <w:color w:val="auto"/>
          <w:sz w:val="32"/>
          <w:szCs w:val="32"/>
        </w:rPr>
        <w:t>件，</w:t>
      </w:r>
      <w:r>
        <w:rPr>
          <w:rFonts w:hint="eastAsia" w:ascii="方正仿宋_GB2312" w:hAnsi="方正仿宋_GB2312" w:eastAsia="方正仿宋_GB2312" w:cs="方正仿宋_GB2312"/>
          <w:color w:val="auto"/>
          <w:sz w:val="32"/>
          <w:szCs w:val="32"/>
          <w:lang w:eastAsia="zh-CN"/>
        </w:rPr>
        <w:t>截至目前已办结</w:t>
      </w:r>
      <w:r>
        <w:rPr>
          <w:rFonts w:hint="eastAsia" w:ascii="方正仿宋_GB2312" w:hAnsi="方正仿宋_GB2312" w:eastAsia="方正仿宋_GB2312" w:cs="方正仿宋_GB2312"/>
          <w:color w:val="auto"/>
          <w:sz w:val="32"/>
          <w:szCs w:val="32"/>
          <w:lang w:val="en-US" w:eastAsia="zh-CN"/>
        </w:rPr>
        <w:t>288件，</w:t>
      </w:r>
      <w:r>
        <w:rPr>
          <w:rFonts w:hint="eastAsia" w:ascii="方正仿宋_GB2312" w:hAnsi="方正仿宋_GB2312" w:eastAsia="方正仿宋_GB2312" w:cs="方正仿宋_GB2312"/>
          <w:b w:val="0"/>
          <w:bCs w:val="0"/>
          <w:color w:val="auto"/>
          <w:kern w:val="2"/>
          <w:sz w:val="32"/>
          <w:szCs w:val="32"/>
          <w:lang w:val="en-US" w:eastAsia="zh-CN" w:bidi="ar-SA"/>
        </w:rPr>
        <w:t>通过法制机构审核288件，</w:t>
      </w:r>
      <w:r>
        <w:rPr>
          <w:rFonts w:hint="eastAsia" w:ascii="方正仿宋_GB2312" w:hAnsi="方正仿宋_GB2312" w:eastAsia="方正仿宋_GB2312" w:cs="方正仿宋_GB2312"/>
          <w:color w:val="auto"/>
          <w:sz w:val="32"/>
          <w:szCs w:val="32"/>
        </w:rPr>
        <w:t>审核率达100%，无一例引起行政诉讼</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行政复议。</w:t>
      </w:r>
    </w:p>
    <w:p>
      <w:pPr>
        <w:pStyle w:val="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pPr>
      <w:r>
        <w:rPr>
          <w:rFonts w:hint="eastAsia" w:ascii="楷体_GB2312" w:hAnsi="楷体_GB2312" w:eastAsia="楷体_GB2312" w:cs="楷体_GB2312"/>
          <w:b/>
          <w:color w:val="auto"/>
          <w:sz w:val="32"/>
          <w:szCs w:val="32"/>
          <w:lang w:val="en-US" w:eastAsia="zh-CN"/>
        </w:rPr>
        <w:t>（二）强化“三项制度”落实。一是严格落实行政执法公示制度。</w:t>
      </w:r>
      <w:r>
        <w:rPr>
          <w:rFonts w:hint="eastAsia" w:ascii="方正仿宋_GB2312" w:hAnsi="方正仿宋_GB2312" w:eastAsia="方正仿宋_GB2312" w:cs="方正仿宋_GB2312"/>
          <w:b w:val="0"/>
          <w:bCs w:val="0"/>
          <w:color w:val="auto"/>
          <w:sz w:val="32"/>
          <w:szCs w:val="32"/>
          <w:lang w:val="en-US" w:eastAsia="zh-CN"/>
        </w:rPr>
        <w:t>利用国家企业信用信息公示系统，建立完善了“双随机、一公开”监管检查对象名录库、执法检查人员名录库、随机抽查事项清单，</w:t>
      </w:r>
      <w:r>
        <w:rPr>
          <w:rFonts w:hint="eastAsia" w:ascii="方正仿宋_GB2312" w:hAnsi="方正仿宋_GB2312" w:eastAsia="方正仿宋_GB2312" w:cs="方正仿宋_GB2312"/>
          <w:i w:val="0"/>
          <w:caps w:val="0"/>
          <w:color w:val="auto"/>
          <w:spacing w:val="0"/>
          <w:sz w:val="32"/>
          <w:szCs w:val="32"/>
          <w:lang w:val="en-US" w:eastAsia="zh-CN"/>
        </w:rPr>
        <w:t>累计</w:t>
      </w:r>
      <w:r>
        <w:rPr>
          <w:rFonts w:hint="eastAsia" w:ascii="方正仿宋_GB2312" w:hAnsi="方正仿宋_GB2312" w:eastAsia="方正仿宋_GB2312" w:cs="方正仿宋_GB2312"/>
          <w:color w:val="auto"/>
          <w:sz w:val="32"/>
          <w:szCs w:val="32"/>
        </w:rPr>
        <w:t>录入</w:t>
      </w:r>
      <w:r>
        <w:rPr>
          <w:rFonts w:hint="eastAsia" w:ascii="方正仿宋_GB2312" w:hAnsi="方正仿宋_GB2312" w:eastAsia="方正仿宋_GB2312" w:cs="方正仿宋_GB2312"/>
          <w:color w:val="auto"/>
          <w:sz w:val="32"/>
          <w:szCs w:val="32"/>
          <w:lang w:eastAsia="zh-CN"/>
        </w:rPr>
        <w:t>公示各类企业</w:t>
      </w:r>
      <w:r>
        <w:rPr>
          <w:rFonts w:hint="eastAsia" w:ascii="方正仿宋_GB2312" w:hAnsi="方正仿宋_GB2312" w:eastAsia="方正仿宋_GB2312" w:cs="方正仿宋_GB2312"/>
          <w:color w:val="auto"/>
          <w:sz w:val="32"/>
          <w:szCs w:val="32"/>
          <w:lang w:bidi="ar"/>
        </w:rPr>
        <w:t>归集</w:t>
      </w:r>
      <w:r>
        <w:rPr>
          <w:rFonts w:hint="eastAsia" w:ascii="方正仿宋_GB2312" w:hAnsi="方正仿宋_GB2312" w:eastAsia="方正仿宋_GB2312" w:cs="方正仿宋_GB2312"/>
          <w:color w:val="auto"/>
          <w:sz w:val="32"/>
          <w:szCs w:val="32"/>
          <w:lang w:eastAsia="zh-CN" w:bidi="ar"/>
        </w:rPr>
        <w:t>信息</w:t>
      </w:r>
      <w:r>
        <w:rPr>
          <w:rFonts w:hint="eastAsia" w:ascii="方正仿宋_GB2312" w:hAnsi="方正仿宋_GB2312" w:eastAsia="方正仿宋_GB2312" w:cs="方正仿宋_GB2312"/>
          <w:i w:val="0"/>
          <w:caps w:val="0"/>
          <w:color w:val="auto"/>
          <w:spacing w:val="0"/>
          <w:sz w:val="32"/>
          <w:szCs w:val="32"/>
          <w:lang w:val="en-US" w:eastAsia="zh-CN"/>
        </w:rPr>
        <w:t>61266条，</w:t>
      </w:r>
      <w:r>
        <w:rPr>
          <w:rFonts w:hint="eastAsia" w:ascii="方正仿宋_GB2312" w:hAnsi="方正仿宋_GB2312" w:eastAsia="方正仿宋_GB2312" w:cs="方正仿宋_GB2312"/>
          <w:color w:val="auto"/>
          <w:sz w:val="32"/>
          <w:szCs w:val="32"/>
        </w:rPr>
        <w:t>行政处罚信息772条，</w:t>
      </w:r>
      <w:r>
        <w:rPr>
          <w:rFonts w:hint="eastAsia" w:ascii="方正仿宋_GB2312" w:hAnsi="方正仿宋_GB2312" w:eastAsia="方正仿宋_GB2312" w:cs="方正仿宋_GB2312"/>
          <w:i w:val="0"/>
          <w:caps w:val="0"/>
          <w:color w:val="auto"/>
          <w:spacing w:val="0"/>
          <w:sz w:val="32"/>
          <w:szCs w:val="32"/>
          <w:lang w:val="en-US" w:eastAsia="zh-CN"/>
        </w:rPr>
        <w:t>行政许可38518条，</w:t>
      </w:r>
      <w:r>
        <w:rPr>
          <w:rFonts w:hint="eastAsia" w:ascii="方正仿宋_GB2312" w:hAnsi="方正仿宋_GB2312" w:eastAsia="方正仿宋_GB2312" w:cs="方正仿宋_GB2312"/>
          <w:color w:val="auto"/>
          <w:sz w:val="32"/>
          <w:szCs w:val="32"/>
        </w:rPr>
        <w:t>抽查检查结果1008条，小微企业扶持200条，荣誉信息114条</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b/>
          <w:bCs/>
          <w:color w:val="auto"/>
          <w:sz w:val="32"/>
          <w:szCs w:val="32"/>
          <w:lang w:val="en-US" w:eastAsia="zh-CN"/>
        </w:rPr>
        <w:t>二是严格落实执法全过程记录制度。</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一方面规范文字记录，把行政执法文书作为全过程记录的基本形式，根据执法行为的种类、性质、流程等规范执法文书的制作，明确执法案卷标准，确保执法文书和案卷完整准确。另一方面采取照相、录音、录像等合法、适当、有效的方式和手段对随机抽查、现场检查、调查取证、证据保全、行政强制、送达等容易引发争议的行政执法过程以及直接涉及生命健康、重大财产权益的现场执法活动和执法场所，进行全过程音像记录。提高执法效率和规范化水平，实现全过程留痕和可回溯管理；</w:t>
      </w:r>
      <w:r>
        <w:rPr>
          <w:rFonts w:hint="eastAsia" w:ascii="方正仿宋_GB2312" w:hAnsi="方正仿宋_GB2312" w:eastAsia="方正仿宋_GB2312" w:cs="方正仿宋_GB2312"/>
          <w:b/>
          <w:bCs/>
          <w:color w:val="auto"/>
          <w:sz w:val="32"/>
          <w:szCs w:val="32"/>
          <w:lang w:eastAsia="zh-CN"/>
        </w:rPr>
        <w:t>三是严格</w:t>
      </w:r>
      <w:r>
        <w:rPr>
          <w:rFonts w:hint="eastAsia" w:ascii="方正仿宋_GB2312" w:hAnsi="方正仿宋_GB2312" w:eastAsia="方正仿宋_GB2312" w:cs="方正仿宋_GB2312"/>
          <w:b/>
          <w:bCs/>
          <w:color w:val="auto"/>
          <w:sz w:val="32"/>
          <w:szCs w:val="32"/>
          <w:lang w:val="en-US" w:eastAsia="zh-CN"/>
        </w:rPr>
        <w:t>落实重大执法决定法制审核制度</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分局严格执行市局制定的《重大执法决定法制审核目录清单》, 2023年以来共办理重大行政处罚案件7件，全部通过法制审核并经市局负责人集体讨论通过，确保透明执法、阳光用法。</w:t>
      </w:r>
    </w:p>
    <w:p>
      <w:pPr>
        <w:pStyle w:val="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sz w:val="32"/>
          <w:szCs w:val="32"/>
          <w:lang w:val="en-US" w:eastAsia="zh-CN"/>
        </w:rPr>
        <w:t>（三）规范行政应讼工作。</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认真执行行政机关负责人依法出庭应诉制度，支持人民法院依法受理和审理行政案件，切实履行生效裁判。机关负责人出庭做到出声、出效，能将庭审中发现的问题带回并及时予以规范。2023年以来，陕州分局组织参加行政应诉案件2场（次），机关负责人出庭应诉2场（次），组织参加行政诉讼再审听证1场（次），组织行政机关领导干部旁听庭审活动3场（次）。</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四、坚持包容审慎监管，推进服务型行政执法。</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kern w:val="0"/>
          <w:sz w:val="32"/>
          <w:szCs w:val="32"/>
          <w:lang w:val="en-US" w:eastAsia="zh-CN" w:bidi="ar-SA"/>
        </w:rPr>
        <w:t>（一）实现从强制性行政执法向以说理、教育为主的柔性执法转变。</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深入推进服务型行政执法建设，创新推行“说理式行政执法文书”，将“首次不罚”“无主观故意不罚”等原则作为裁量权基准的基本原则。坚持处罚与教育相结合的原则，对符合“从轻”“减轻”“免罚”情形的，通过行政指导、行政告诫、行政建议、行政约谈等非强制手段，组织违法行为人就地接受教育，实地实时普及市场监管法律法规，引导市场主体自觉守法、自我纠错，有力解决重罚轻管、以罚代管、“一罚了之”等问题，实现违法处罚、教育劝导和文明宣传三重社会效应。2023年以来共开展行政指导290余次，其中行政约谈6次，下达各类行政指导文书110余份，通过电话或面对面行政指导180余次；共办结普通程序案件288件，其中从轻处罚122件、不予行政处罚4件、免于行政处罚13件、警告117件，使柔性执法成为基层推进服务型行政执法 、优化营商环境的着力点和突破口，努力让企业、群众在执法中感受到公平正义。</w:t>
      </w:r>
    </w:p>
    <w:p>
      <w:pPr>
        <w:pStyle w:val="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pPr>
      <w:r>
        <w:rPr>
          <w:rFonts w:hint="eastAsia" w:ascii="楷体_GB2312" w:hAnsi="楷体_GB2312" w:eastAsia="楷体_GB2312" w:cs="楷体_GB2312"/>
          <w:b/>
          <w:color w:val="auto"/>
          <w:sz w:val="32"/>
          <w:szCs w:val="32"/>
          <w:lang w:val="en-US" w:eastAsia="zh-CN"/>
        </w:rPr>
        <w:t>（二）落实行政相对人风险防控制度。</w:t>
      </w:r>
      <w:r>
        <w:rPr>
          <w:rFonts w:hint="eastAsia" w:ascii="方正仿宋_GB2312" w:hAnsi="方正仿宋_GB2312" w:eastAsia="方正仿宋_GB2312" w:cs="方正仿宋_GB2312"/>
          <w:b w:val="0"/>
          <w:bCs w:val="0"/>
          <w:i w:val="0"/>
          <w:iCs w:val="0"/>
          <w:caps w:val="0"/>
          <w:color w:val="auto"/>
          <w:spacing w:val="0"/>
          <w:kern w:val="0"/>
          <w:sz w:val="32"/>
          <w:szCs w:val="32"/>
          <w:lang w:val="en-US" w:eastAsia="zh-CN" w:bidi="ar"/>
        </w:rPr>
        <w:t>通过集中宣传、线上宣传、上门宣传《河南省市场监督管理局行政相对人违法风险防控清单》，进一步提高了市场监管领域行政相对人对风险点的普及率及知晓率，提升了行政相对人法律风险防控意识，不少行政相对人了解违法风险点后，能够预防、及时纠正自身违法行为，主动消除或者减轻其违法行为后果，做到知法守法。</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五、加强法治队伍建设，推进普法宣传教育</w:t>
      </w:r>
    </w:p>
    <w:p>
      <w:pPr>
        <w:pStyle w:val="9"/>
        <w:keepNext w:val="0"/>
        <w:keepLines w:val="0"/>
        <w:pageBreakBefore w:val="0"/>
        <w:widowControl/>
        <w:suppressLineNumbers w:val="0"/>
        <w:shd w:val="clear"/>
        <w:kinsoku/>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sz w:val="32"/>
          <w:szCs w:val="32"/>
        </w:rPr>
        <w:t>1、</w:t>
      </w:r>
      <w:r>
        <w:rPr>
          <w:rFonts w:hint="eastAsia" w:ascii="楷体_GB2312" w:hAnsi="楷体_GB2312" w:eastAsia="楷体_GB2312" w:cs="楷体_GB2312"/>
          <w:b/>
          <w:color w:val="auto"/>
          <w:sz w:val="32"/>
          <w:szCs w:val="32"/>
          <w:lang w:val="en-US" w:eastAsia="zh-CN"/>
        </w:rPr>
        <w:t>多渠道开展法治教育，加强法治</w:t>
      </w:r>
      <w:r>
        <w:rPr>
          <w:rFonts w:hint="eastAsia" w:ascii="楷体_GB2312" w:hAnsi="楷体_GB2312" w:eastAsia="楷体_GB2312" w:cs="楷体_GB2312"/>
          <w:b/>
          <w:color w:val="auto"/>
          <w:sz w:val="32"/>
          <w:szCs w:val="32"/>
        </w:rPr>
        <w:t>能力建设。</w:t>
      </w:r>
      <w:r>
        <w:rPr>
          <w:rFonts w:hint="eastAsia" w:ascii="方正仿宋_GB2312" w:hAnsi="方正仿宋_GB2312" w:eastAsia="方正仿宋_GB2312" w:cs="方正仿宋_GB2312"/>
          <w:color w:val="auto"/>
          <w:sz w:val="32"/>
          <w:szCs w:val="32"/>
        </w:rPr>
        <w:t>一是党委每个季度开展法治专题学习；二是坚持“一周一法”学法用法制度，</w:t>
      </w:r>
      <w:r>
        <w:rPr>
          <w:rFonts w:hint="eastAsia" w:ascii="方正仿宋_GB2312" w:hAnsi="方正仿宋_GB2312" w:eastAsia="方正仿宋_GB2312" w:cs="方正仿宋_GB2312"/>
          <w:color w:val="auto"/>
          <w:sz w:val="32"/>
          <w:szCs w:val="32"/>
          <w:lang w:eastAsia="zh-CN"/>
        </w:rPr>
        <w:t>采取集中学、创新学、及时学的方式，开展丰富多样的法治教育，做到组织有保障、普法有平台、学法有制度、执法有监督、服务有程序、解决问题有措施。</w:t>
      </w:r>
      <w:r>
        <w:rPr>
          <w:rFonts w:hint="eastAsia" w:ascii="方正仿宋_GB2312" w:hAnsi="方正仿宋_GB2312" w:eastAsia="方正仿宋_GB2312" w:cs="方正仿宋_GB2312"/>
          <w:color w:val="auto"/>
          <w:sz w:val="32"/>
          <w:szCs w:val="32"/>
          <w:lang w:val="en-US" w:eastAsia="zh-CN"/>
        </w:rPr>
        <w:t>2023年以来共组织基层所执法人员参加市局培训40余次余次，局系统组织培训10余次，提高了全体执法人员法治意识。</w:t>
      </w:r>
      <w:r>
        <w:rPr>
          <w:rFonts w:hint="eastAsia" w:ascii="方正仿宋_GB2312" w:hAnsi="方正仿宋_GB2312" w:eastAsia="方正仿宋_GB2312" w:cs="方正仿宋_GB2312"/>
          <w:color w:val="auto"/>
          <w:sz w:val="32"/>
          <w:szCs w:val="32"/>
        </w:rPr>
        <w:t>三是按照市局的安排部署，积极开展市场监管法治下基层活动，在全系统营造“人人学法、人人懂法、 严格依法、事事用法”的良好氛围。</w:t>
      </w:r>
    </w:p>
    <w:p>
      <w:pPr>
        <w:pStyle w:val="9"/>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b/>
          <w:color w:val="auto"/>
          <w:sz w:val="32"/>
          <w:szCs w:val="32"/>
        </w:rPr>
        <w:t>2、创新普法方式，提高普法效果。</w:t>
      </w:r>
      <w:r>
        <w:rPr>
          <w:rFonts w:hint="eastAsia" w:ascii="方正仿宋_GB2312" w:hAnsi="方正仿宋_GB2312" w:eastAsia="方正仿宋_GB2312" w:cs="方正仿宋_GB2312"/>
          <w:color w:val="auto"/>
          <w:sz w:val="32"/>
          <w:szCs w:val="32"/>
          <w:lang w:eastAsia="zh-CN"/>
        </w:rPr>
        <w:t>一是全面落实“谁执法谁普法”普法责任制，开展多种形式普法工作。按照《三门峡市市市场监管系统法治宣传教育第八个五年规划（2021—2025年）》，</w:t>
      </w:r>
      <w:r>
        <w:rPr>
          <w:rFonts w:hint="eastAsia" w:ascii="方正仿宋_GB2312" w:hAnsi="方正仿宋_GB2312" w:eastAsia="方正仿宋_GB2312" w:cs="方正仿宋_GB2312"/>
          <w:color w:val="auto"/>
          <w:sz w:val="32"/>
          <w:szCs w:val="32"/>
        </w:rPr>
        <w:t>开展以宪法为核心，以市场监管法律法规为主体</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动员和引导社会各界关注产品质量、食品安全、科学依法维权</w:t>
      </w:r>
      <w:r>
        <w:rPr>
          <w:rFonts w:hint="eastAsia" w:ascii="方正仿宋_GB2312" w:hAnsi="方正仿宋_GB2312" w:eastAsia="方正仿宋_GB2312" w:cs="方正仿宋_GB2312"/>
          <w:color w:val="auto"/>
          <w:sz w:val="32"/>
          <w:szCs w:val="32"/>
          <w:lang w:eastAsia="zh-CN"/>
        </w:rPr>
        <w:t>等；二是</w:t>
      </w:r>
      <w:r>
        <w:rPr>
          <w:rFonts w:hint="eastAsia" w:ascii="方正仿宋_GB2312" w:hAnsi="方正仿宋_GB2312" w:eastAsia="方正仿宋_GB2312" w:cs="方正仿宋_GB2312"/>
          <w:color w:val="auto"/>
          <w:sz w:val="32"/>
          <w:szCs w:val="32"/>
        </w:rPr>
        <w:t>充分利用单位门户网站、广播电视、网络、报刊、短信等媒体深入开展市场监管领域法律法规</w:t>
      </w:r>
      <w:r>
        <w:rPr>
          <w:rFonts w:hint="eastAsia" w:ascii="方正仿宋_GB2312" w:hAnsi="方正仿宋_GB2312" w:eastAsia="方正仿宋_GB2312" w:cs="方正仿宋_GB2312"/>
          <w:color w:val="auto"/>
          <w:sz w:val="32"/>
          <w:szCs w:val="32"/>
          <w:lang w:eastAsia="zh-CN"/>
        </w:rPr>
        <w:t>宣传，把普法与执法等法治实践有机融合，同时，分局市场监管人员活跃在企业、群众身边，是一支随时找得着、用得上的普法队伍，打通了企业、群众法律需求的“最后一公里”；</w:t>
      </w:r>
      <w:r>
        <w:rPr>
          <w:rFonts w:hint="eastAsia" w:ascii="方正仿宋_GB2312" w:hAnsi="方正仿宋_GB2312" w:eastAsia="方正仿宋_GB2312" w:cs="方正仿宋_GB2312"/>
          <w:color w:val="auto"/>
          <w:sz w:val="32"/>
          <w:szCs w:val="32"/>
        </w:rPr>
        <w:t>三是对接基层需求，走出去、请进来，沉下去，开展面对面的普法活动，进企业进社区开展食品药品、特种设备安全管理人员及相关从业人员的培训工作，强化相关安全意识，在全系统全行业形成尊法学法守法用法的良好氛围</w:t>
      </w:r>
      <w:r>
        <w:rPr>
          <w:rFonts w:hint="eastAsia" w:ascii="方正仿宋_GB2312" w:hAnsi="方正仿宋_GB2312" w:eastAsia="方正仿宋_GB2312" w:cs="方正仿宋_GB2312"/>
          <w:color w:val="auto"/>
          <w:sz w:val="32"/>
          <w:szCs w:val="32"/>
          <w:lang w:eastAsia="zh-CN"/>
        </w:rPr>
        <w:t>；四是利用“12.4”国家宪法日、“3.15”消费者权益日、质量月、知识产权宣传周、计量日、标准化日、特种设备安全宣传月等各类活动日、纪念日等时间节点，把宣传贯彻习近平法治思想和《宪法》《民法典》《行政处罚法》等法律法规作为普法重点，面向社会公众广泛开展法治宣传，促进全社会自觉尊法、主动守法、严格依法，取得良好社会效果。</w:t>
      </w:r>
    </w:p>
    <w:p>
      <w:pPr>
        <w:pStyle w:val="2"/>
        <w:keepNext w:val="0"/>
        <w:keepLines w:val="0"/>
        <w:pageBreakBefore w:val="0"/>
        <w:widowControl w:val="0"/>
        <w:shd w:val="clear"/>
        <w:kinsoku/>
        <w:wordWrap/>
        <w:overflowPunct/>
        <w:topLinePunct w:val="0"/>
        <w:autoSpaceDE/>
        <w:autoSpaceDN/>
        <w:bidi w:val="0"/>
        <w:adjustRightInd w:val="0"/>
        <w:snapToGrid w:val="0"/>
        <w:spacing w:after="0" w:line="60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六、存在的问题</w:t>
      </w:r>
    </w:p>
    <w:p>
      <w:pPr>
        <w:pStyle w:val="9"/>
        <w:keepNext w:val="0"/>
        <w:keepLines w:val="0"/>
        <w:pageBreakBefore w:val="0"/>
        <w:widowControl/>
        <w:numPr>
          <w:ilvl w:val="0"/>
          <w:numId w:val="0"/>
        </w:numPr>
        <w:suppressLineNumbers w:val="0"/>
        <w:shd w:val="clear"/>
        <w:kinsoku/>
        <w:wordWrap w:val="0"/>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sz w:val="32"/>
          <w:szCs w:val="32"/>
        </w:rPr>
        <w:t>1、</w:t>
      </w:r>
      <w:r>
        <w:rPr>
          <w:rFonts w:hint="eastAsia" w:ascii="楷体_GB2312" w:hAnsi="楷体_GB2312" w:eastAsia="楷体_GB2312" w:cs="楷体_GB2312"/>
          <w:b/>
          <w:color w:val="auto"/>
          <w:sz w:val="32"/>
          <w:szCs w:val="32"/>
          <w:lang w:val="en-US" w:eastAsia="zh-CN"/>
        </w:rPr>
        <w:t>执法力量与监管任务不匹配。</w:t>
      </w:r>
      <w:r>
        <w:rPr>
          <w:rFonts w:hint="eastAsia" w:ascii="方正仿宋_GB2312" w:hAnsi="方正仿宋_GB2312" w:eastAsia="方正仿宋_GB2312" w:cs="方正仿宋_GB2312"/>
          <w:color w:val="auto"/>
          <w:kern w:val="2"/>
          <w:sz w:val="32"/>
          <w:szCs w:val="32"/>
          <w:lang w:val="en-US" w:eastAsia="zh-CN" w:bidi="ar-SA"/>
        </w:rPr>
        <w:t>20</w:t>
      </w:r>
      <w:r>
        <w:rPr>
          <w:rFonts w:hint="eastAsia" w:ascii="方正仿宋_GB2312" w:hAnsi="方正仿宋_GB2312" w:eastAsia="方正仿宋_GB2312" w:cs="方正仿宋_GB2312"/>
          <w:b w:val="0"/>
          <w:bCs w:val="0"/>
          <w:color w:val="auto"/>
          <w:sz w:val="32"/>
          <w:szCs w:val="32"/>
          <w:u w:val="none" w:color="auto"/>
          <w:lang w:val="en-US" w:eastAsia="zh-CN"/>
        </w:rPr>
        <w:t>23年以来，我局总体行政执法队伍的法治意识和执法素质有了明显的提高，但机构改革后工作融合尚未完全到位，能够履行目前市场监管职能的全能型人才不多；与全面深入推进市场监管高质量还有一定的差距。监管任务繁重、专业知识严重欠缺、专业性设备不配套、人员的知识结构还不能适应当前的市场监管形势，尤其是在法律、特种设备、食品、药品、保健食品、化妆品等方面的专业执法人员力量不足。</w:t>
      </w:r>
    </w:p>
    <w:p>
      <w:pPr>
        <w:keepNext w:val="0"/>
        <w:keepLines w:val="0"/>
        <w:pageBreakBefore w:val="0"/>
        <w:shd w:val="clear"/>
        <w:kinsoku/>
        <w:overflowPunct/>
        <w:topLinePunct w:val="0"/>
        <w:autoSpaceDE/>
        <w:autoSpaceDN/>
        <w:bidi w:val="0"/>
        <w:adjustRightInd w:val="0"/>
        <w:snapToGrid w:val="0"/>
        <w:spacing w:line="600" w:lineRule="exact"/>
        <w:ind w:firstLine="643" w:firstLineChars="200"/>
        <w:jc w:val="both"/>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b/>
          <w:color w:val="auto"/>
          <w:kern w:val="0"/>
          <w:sz w:val="32"/>
          <w:szCs w:val="32"/>
          <w:lang w:val="en-US" w:eastAsia="zh-CN" w:bidi="ar-SA"/>
        </w:rPr>
        <w:t>2、监管执法装备有待进一步提升。</w:t>
      </w:r>
      <w:r>
        <w:rPr>
          <w:rFonts w:hint="eastAsia" w:ascii="方正仿宋_GB2312" w:hAnsi="方正仿宋_GB2312" w:eastAsia="方正仿宋_GB2312" w:cs="方正仿宋_GB2312"/>
          <w:color w:val="auto"/>
          <w:sz w:val="32"/>
          <w:szCs w:val="32"/>
        </w:rPr>
        <w:t>基层市场监管部门执法装备配备滞后，硬件设施配备不足，对涉及违法财物实施强制措施时，对全程视频记录的音像材料无法进行分类保管，尚未建立音像记录管理系统或者政务云存储。</w:t>
      </w:r>
    </w:p>
    <w:p>
      <w:pPr>
        <w:pStyle w:val="9"/>
        <w:keepNext w:val="0"/>
        <w:keepLines w:val="0"/>
        <w:pageBreakBefore w:val="0"/>
        <w:widowControl/>
        <w:numPr>
          <w:ilvl w:val="0"/>
          <w:numId w:val="0"/>
        </w:numPr>
        <w:suppressLineNumbers w:val="0"/>
        <w:shd w:val="clear"/>
        <w:kinsoku/>
        <w:wordWrap w:val="0"/>
        <w:overflowPunct/>
        <w:topLinePunct w:val="0"/>
        <w:autoSpaceDE/>
        <w:autoSpaceDN/>
        <w:bidi w:val="0"/>
        <w:adjustRightInd w:val="0"/>
        <w:snapToGrid w:val="0"/>
        <w:spacing w:before="0" w:beforeAutospacing="0" w:after="0" w:afterAutospacing="0" w:line="600" w:lineRule="exact"/>
        <w:ind w:right="0" w:rightChars="0" w:firstLine="643" w:firstLineChars="200"/>
        <w:jc w:val="both"/>
        <w:textAlignment w:val="auto"/>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b/>
          <w:color w:val="auto"/>
          <w:sz w:val="32"/>
          <w:szCs w:val="32"/>
        </w:rPr>
        <w:t>3、</w:t>
      </w:r>
      <w:r>
        <w:rPr>
          <w:rFonts w:hint="eastAsia" w:ascii="楷体_GB2312" w:hAnsi="楷体_GB2312" w:eastAsia="楷体_GB2312" w:cs="楷体_GB2312"/>
          <w:b/>
          <w:color w:val="auto"/>
          <w:kern w:val="2"/>
          <w:sz w:val="32"/>
          <w:szCs w:val="32"/>
          <w:lang w:val="en-US" w:eastAsia="zh-CN" w:bidi="ar-SA"/>
        </w:rPr>
        <w:t>行政执法监督有待进一步加强。</w:t>
      </w:r>
      <w:r>
        <w:rPr>
          <w:rFonts w:hint="eastAsia" w:ascii="方正仿宋_GB2312" w:hAnsi="方正仿宋_GB2312" w:eastAsia="方正仿宋_GB2312" w:cs="方正仿宋_GB2312"/>
          <w:color w:val="auto"/>
          <w:kern w:val="2"/>
          <w:sz w:val="32"/>
          <w:szCs w:val="32"/>
          <w:lang w:val="en-US" w:eastAsia="zh-CN" w:bidi="ar-SA"/>
        </w:rPr>
        <w:t>督促指导的形式、内容不够丰富；执法监督力量较为薄弱，法制机构人员配备力量不强，专业人员缺乏。</w:t>
      </w:r>
    </w:p>
    <w:p>
      <w:pPr>
        <w:pStyle w:val="9"/>
        <w:keepNext w:val="0"/>
        <w:keepLines w:val="0"/>
        <w:pageBreakBefore w:val="0"/>
        <w:widowControl/>
        <w:suppressLineNumbers w:val="0"/>
        <w:shd w:val="clea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kern w:val="2"/>
          <w:sz w:val="32"/>
          <w:szCs w:val="32"/>
          <w:lang w:val="en-US" w:eastAsia="zh-CN" w:bidi="ar-SA"/>
        </w:rPr>
        <w:t>在今后工作中，我局将在市局的正确领导下，继续以习近平法治思想为指引，全面贯彻落实党的二十大关于法治建设的重大战略部署，把全面推进法治建设作为系统性、全局性工作来抓。继续坚持以服务经济发展为主线，以维护市场经济秩序、保障民生安全、助推高质量发展为主责，深入实施《优化营商环境条例》，打造法治化营商环境，以提升市场监管依法治理水平为重点，以大力开展法制监督为手段，进一步规范行政执法行为，全面推进法治建设工作，夯实市场监管法治基础，聚焦案件与纠纷频发领域，着力打击不正当竞争、侵犯知识产权、从事假冒伪劣商品销售、互联网违规广告等违法犯罪行为。加强法治教育培训，不断提升监管执法综合能力。落实“谁执法、谁普法”责任制，加强普法阵地建设，坚持法治宣传教育与市场监管工作相结合，教育引导全社会增强法治观念，推动市场监管体系与能力现代化、法治化，继续为陕州区经济高质量发展贡献力量，奋力开创法治建设工作新局面。</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FAE449-770C-4073-B341-DDB8F49EB1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E647C7A-09A2-4A3E-8CF7-E652F817E42D}"/>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embedRegular r:id="rId3" w:fontKey="{099FE2D2-C630-4285-B760-64C53BBEF92C}"/>
  </w:font>
  <w:font w:name="方正仿宋_GB2312">
    <w:panose1 w:val="02000000000000000000"/>
    <w:charset w:val="86"/>
    <w:family w:val="auto"/>
    <w:pitch w:val="default"/>
    <w:sig w:usb0="A00002BF" w:usb1="184F6CFA" w:usb2="00000012" w:usb3="00000000" w:csb0="00040001" w:csb1="00000000"/>
    <w:embedRegular r:id="rId4" w:fontKey="{2373080F-3950-441F-A26C-6498F2C30586}"/>
  </w:font>
  <w:font w:name="楷体_GB2312">
    <w:panose1 w:val="02010609030101010101"/>
    <w:charset w:val="86"/>
    <w:family w:val="auto"/>
    <w:pitch w:val="default"/>
    <w:sig w:usb0="00000001" w:usb1="080E0000" w:usb2="00000000" w:usb3="00000000" w:csb0="00040000" w:csb1="00000000"/>
    <w:embedRegular r:id="rId5" w:fontKey="{712637AC-C171-4DEA-BAD2-BF426F0F35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bidi w:val="0"/>
                            <w:adjustRightInd/>
                            <w:snapToGrid w:val="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WYxNjUyOGUwZGNiMjFhMjg0NGY3MmJjNTZiMWUifQ=="/>
  </w:docVars>
  <w:rsids>
    <w:rsidRoot w:val="00000000"/>
    <w:rsid w:val="00606498"/>
    <w:rsid w:val="05BB6053"/>
    <w:rsid w:val="06524B0C"/>
    <w:rsid w:val="075F5104"/>
    <w:rsid w:val="079E79DA"/>
    <w:rsid w:val="081128A2"/>
    <w:rsid w:val="08EB7817"/>
    <w:rsid w:val="0A8D598B"/>
    <w:rsid w:val="0AC94BF5"/>
    <w:rsid w:val="0B472EAA"/>
    <w:rsid w:val="0C0B13B7"/>
    <w:rsid w:val="0D89631C"/>
    <w:rsid w:val="0DD423A8"/>
    <w:rsid w:val="0E002722"/>
    <w:rsid w:val="0E636910"/>
    <w:rsid w:val="0E666D78"/>
    <w:rsid w:val="0F1C1C29"/>
    <w:rsid w:val="104650B3"/>
    <w:rsid w:val="11915258"/>
    <w:rsid w:val="121A67F7"/>
    <w:rsid w:val="129D5E80"/>
    <w:rsid w:val="13196AAF"/>
    <w:rsid w:val="143C3817"/>
    <w:rsid w:val="14D64C58"/>
    <w:rsid w:val="158B33E1"/>
    <w:rsid w:val="162D4996"/>
    <w:rsid w:val="171750B3"/>
    <w:rsid w:val="184F44D2"/>
    <w:rsid w:val="19923A79"/>
    <w:rsid w:val="19A3205B"/>
    <w:rsid w:val="1ADD71EB"/>
    <w:rsid w:val="1BF65BDF"/>
    <w:rsid w:val="1CEF1288"/>
    <w:rsid w:val="1D491E39"/>
    <w:rsid w:val="1E4E6D62"/>
    <w:rsid w:val="1F4719FE"/>
    <w:rsid w:val="20DE6492"/>
    <w:rsid w:val="21A1774D"/>
    <w:rsid w:val="22CE51C0"/>
    <w:rsid w:val="22D11C9F"/>
    <w:rsid w:val="24577437"/>
    <w:rsid w:val="268564DD"/>
    <w:rsid w:val="268B33C8"/>
    <w:rsid w:val="26CD4AA3"/>
    <w:rsid w:val="27DF6347"/>
    <w:rsid w:val="27EC67A3"/>
    <w:rsid w:val="2B85096E"/>
    <w:rsid w:val="2BF437BD"/>
    <w:rsid w:val="2D253F8B"/>
    <w:rsid w:val="2D783BCF"/>
    <w:rsid w:val="31771119"/>
    <w:rsid w:val="31B71515"/>
    <w:rsid w:val="32900C7E"/>
    <w:rsid w:val="33527747"/>
    <w:rsid w:val="36483143"/>
    <w:rsid w:val="36ED0D1D"/>
    <w:rsid w:val="389B393F"/>
    <w:rsid w:val="39A37CB1"/>
    <w:rsid w:val="39D76E15"/>
    <w:rsid w:val="39F257E0"/>
    <w:rsid w:val="3A1E0D3F"/>
    <w:rsid w:val="3A59760D"/>
    <w:rsid w:val="3C7822C6"/>
    <w:rsid w:val="3C8D17F0"/>
    <w:rsid w:val="3D532A3A"/>
    <w:rsid w:val="3E4F6FFF"/>
    <w:rsid w:val="3E761459"/>
    <w:rsid w:val="3E9926CE"/>
    <w:rsid w:val="3FF10D1C"/>
    <w:rsid w:val="437445E4"/>
    <w:rsid w:val="44313282"/>
    <w:rsid w:val="45884BEE"/>
    <w:rsid w:val="45CF4C28"/>
    <w:rsid w:val="47A125F4"/>
    <w:rsid w:val="483F3823"/>
    <w:rsid w:val="4D554104"/>
    <w:rsid w:val="4DBE3EFF"/>
    <w:rsid w:val="4E695C37"/>
    <w:rsid w:val="4FC47FE1"/>
    <w:rsid w:val="500E27F0"/>
    <w:rsid w:val="50210776"/>
    <w:rsid w:val="50B96C00"/>
    <w:rsid w:val="51C92E73"/>
    <w:rsid w:val="54C971E7"/>
    <w:rsid w:val="55AC288F"/>
    <w:rsid w:val="55DF0EB7"/>
    <w:rsid w:val="56A33042"/>
    <w:rsid w:val="578B5F23"/>
    <w:rsid w:val="57E50AB9"/>
    <w:rsid w:val="587D786F"/>
    <w:rsid w:val="588B70D4"/>
    <w:rsid w:val="58B3563B"/>
    <w:rsid w:val="59284923"/>
    <w:rsid w:val="5A416A4A"/>
    <w:rsid w:val="5E5B62CD"/>
    <w:rsid w:val="62F26093"/>
    <w:rsid w:val="652E32C1"/>
    <w:rsid w:val="65CF322C"/>
    <w:rsid w:val="65D568BE"/>
    <w:rsid w:val="69AA4EE0"/>
    <w:rsid w:val="6A330C68"/>
    <w:rsid w:val="6A5D655E"/>
    <w:rsid w:val="6B120F8F"/>
    <w:rsid w:val="6B1B6095"/>
    <w:rsid w:val="6BBA6179"/>
    <w:rsid w:val="6EBB266C"/>
    <w:rsid w:val="6EF07839"/>
    <w:rsid w:val="6F9957DB"/>
    <w:rsid w:val="70090F11"/>
    <w:rsid w:val="70812E3F"/>
    <w:rsid w:val="711710AD"/>
    <w:rsid w:val="71453E6C"/>
    <w:rsid w:val="71EA0570"/>
    <w:rsid w:val="735317AF"/>
    <w:rsid w:val="74416E34"/>
    <w:rsid w:val="74423EF8"/>
    <w:rsid w:val="750556C0"/>
    <w:rsid w:val="75241FEA"/>
    <w:rsid w:val="76FB321F"/>
    <w:rsid w:val="77B57CE6"/>
    <w:rsid w:val="78E21FA1"/>
    <w:rsid w:val="794E0985"/>
    <w:rsid w:val="7A7F65E3"/>
    <w:rsid w:val="7CB65C1E"/>
    <w:rsid w:val="7D90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spacing w:after="0" w:line="600" w:lineRule="exact"/>
      <w:ind w:left="0" w:leftChars="0" w:firstLine="420" w:firstLineChars="200"/>
    </w:pPr>
    <w:rPr>
      <w:rFonts w:ascii="Times New Roman" w:hAnsi="Times New Roman" w:eastAsia="仿宋_GB2312" w:cs="Times New Roman"/>
      <w:sz w:val="32"/>
      <w:szCs w:val="32"/>
    </w:rPr>
  </w:style>
  <w:style w:type="paragraph" w:styleId="3">
    <w:name w:val="Body Text Indent"/>
    <w:basedOn w:val="1"/>
    <w:autoRedefine/>
    <w:qFormat/>
    <w:uiPriority w:val="0"/>
    <w:pPr>
      <w:spacing w:line="620" w:lineRule="exact"/>
      <w:ind w:firstLine="640" w:firstLineChars="200"/>
    </w:pPr>
    <w:rPr>
      <w:rFonts w:ascii="Times New Roman" w:hAnsi="Times New Roman" w:eastAsia="宋体" w:cs="Times New Roman"/>
    </w:rPr>
  </w:style>
  <w:style w:type="paragraph" w:styleId="4">
    <w:name w:val="Body Text First Indent"/>
    <w:basedOn w:val="5"/>
    <w:next w:val="2"/>
    <w:autoRedefine/>
    <w:unhideWhenUsed/>
    <w:qFormat/>
    <w:uiPriority w:val="99"/>
    <w:pPr>
      <w:ind w:firstLine="420" w:firstLineChars="100"/>
    </w:pPr>
  </w:style>
  <w:style w:type="paragraph" w:styleId="5">
    <w:name w:val="Body Text"/>
    <w:basedOn w:val="1"/>
    <w:next w:val="6"/>
    <w:autoRedefine/>
    <w:qFormat/>
    <w:uiPriority w:val="0"/>
    <w:pPr>
      <w:spacing w:after="120"/>
    </w:pPr>
  </w:style>
  <w:style w:type="paragraph" w:styleId="6">
    <w:name w:val="Body Text 2"/>
    <w:basedOn w:val="1"/>
    <w:autoRedefine/>
    <w:qFormat/>
    <w:uiPriority w:val="0"/>
    <w:pPr>
      <w:spacing w:afterLines="0" w:line="600" w:lineRule="exact"/>
      <w:ind w:firstLine="880" w:firstLineChars="200"/>
    </w:pPr>
    <w:rPr>
      <w:rFonts w:ascii="仿宋_GB2312" w:hAnsi="仿宋_GB2312"/>
      <w:szCs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autoRedefine/>
    <w:qFormat/>
    <w:uiPriority w:val="22"/>
    <w:rPr>
      <w:b/>
      <w:bCs/>
    </w:rPr>
  </w:style>
  <w:style w:type="paragraph" w:customStyle="1" w:styleId="13">
    <w:name w:val="Default"/>
    <w:autoRedefine/>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4943</Words>
  <Characters>5062</Characters>
  <Lines>0</Lines>
  <Paragraphs>0</Paragraphs>
  <TotalTime>42</TotalTime>
  <ScaleCrop>false</ScaleCrop>
  <LinksUpToDate>false</LinksUpToDate>
  <CharactersWithSpaces>5068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熬灬柯</cp:lastModifiedBy>
  <cp:lastPrinted>2023-07-26T04:56:00Z</cp:lastPrinted>
  <dcterms:modified xsi:type="dcterms:W3CDTF">2024-03-26T01:55:32Z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40F9C902B5EE44BEBF53B3655BC0BD25</vt:lpwstr>
  </property>
</Properties>
</file>