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960" w:firstLineChars="700"/>
        <w:jc w:val="left"/>
        <w:rPr>
          <w:rFonts w:hint="eastAsia" w:ascii="宋体" w:hAnsi="宋体" w:eastAsia="宋体" w:cs="宋体"/>
          <w:color w:val="auto"/>
          <w:kern w:val="0"/>
          <w:sz w:val="28"/>
          <w:szCs w:val="28"/>
          <w:highlight w:val="none"/>
          <w:lang w:bidi="ar"/>
        </w:rPr>
      </w:pPr>
    </w:p>
    <w:p>
      <w:pPr>
        <w:pStyle w:val="7"/>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华文中宋" w:hAnsi="华文中宋" w:eastAsia="华文中宋" w:cs="华文中宋"/>
          <w:b/>
          <w:bCs/>
          <w:color w:val="auto"/>
          <w:kern w:val="0"/>
          <w:sz w:val="56"/>
          <w:szCs w:val="56"/>
          <w:highlight w:val="none"/>
          <w:lang w:eastAsia="zh-CN" w:bidi="ar"/>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华文中宋" w:hAnsi="华文中宋" w:eastAsia="华文中宋" w:cs="华文中宋"/>
          <w:b/>
          <w:bCs/>
          <w:color w:val="auto"/>
          <w:sz w:val="52"/>
          <w:szCs w:val="52"/>
          <w:highlight w:val="none"/>
          <w:u w:val="none"/>
          <w:lang w:val="en-US" w:eastAsia="zh-CN"/>
        </w:rPr>
      </w:pPr>
      <w:bookmarkStart w:id="0" w:name="_Toc31105"/>
      <w:bookmarkStart w:id="1" w:name="_Toc30336"/>
      <w:bookmarkStart w:id="2" w:name="_Toc2657"/>
      <w:r>
        <w:rPr>
          <w:rFonts w:hint="eastAsia" w:ascii="华文中宋" w:hAnsi="华文中宋" w:eastAsia="华文中宋" w:cs="华文中宋"/>
          <w:b/>
          <w:bCs/>
          <w:color w:val="auto"/>
          <w:sz w:val="52"/>
          <w:szCs w:val="52"/>
          <w:highlight w:val="none"/>
          <w:u w:val="none"/>
          <w:lang w:val="en-US" w:eastAsia="zh-CN"/>
        </w:rPr>
        <w:t>三门峡十化昊昱化工有限公司</w:t>
      </w: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56"/>
          <w:szCs w:val="56"/>
          <w:highlight w:val="none"/>
        </w:rPr>
      </w:pPr>
      <w:r>
        <w:rPr>
          <w:rFonts w:hint="eastAsia" w:ascii="华文中宋" w:hAnsi="华文中宋" w:eastAsia="华文中宋" w:cs="华文中宋"/>
          <w:b/>
          <w:color w:val="auto"/>
          <w:kern w:val="0"/>
          <w:sz w:val="56"/>
          <w:szCs w:val="56"/>
          <w:highlight w:val="none"/>
        </w:rPr>
        <w:t>土壤自行监测报告</w:t>
      </w:r>
      <w:bookmarkEnd w:id="0"/>
      <w:bookmarkEnd w:id="1"/>
      <w:bookmarkEnd w:id="2"/>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jc w:val="center"/>
        <w:outlineLvl w:val="9"/>
        <w:rPr>
          <w:rFonts w:hint="eastAsia" w:ascii="宋体" w:hAnsi="宋体" w:eastAsia="宋体" w:cs="宋体"/>
          <w:b/>
          <w:bCs/>
          <w:color w:val="auto"/>
          <w:sz w:val="44"/>
          <w:szCs w:val="44"/>
          <w:highlight w:val="none"/>
        </w:rPr>
      </w:pPr>
    </w:p>
    <w:p>
      <w:pPr>
        <w:pStyle w:val="5"/>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rPr>
      </w:pPr>
    </w:p>
    <w:p>
      <w:pPr>
        <w:ind w:firstLine="964" w:firstLineChars="300"/>
        <w:outlineLvl w:val="9"/>
        <w:rPr>
          <w:rFonts w:hint="eastAsia" w:ascii="宋体" w:hAnsi="宋体" w:eastAsia="宋体" w:cs="宋体"/>
          <w:b/>
          <w:bCs/>
          <w:color w:val="auto"/>
          <w:sz w:val="32"/>
          <w:szCs w:val="32"/>
          <w:highlight w:val="none"/>
          <w:lang w:eastAsia="zh-CN"/>
        </w:rPr>
      </w:pP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呈报单位：</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三门峡十化昊昱化工有限公司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bookmarkStart w:id="3" w:name="_Toc30912"/>
      <w:bookmarkStart w:id="4" w:name="_Toc3483"/>
      <w:bookmarkStart w:id="5" w:name="_Toc19383"/>
      <w:r>
        <w:rPr>
          <w:rFonts w:hint="eastAsia" w:ascii="宋体" w:hAnsi="宋体" w:eastAsia="宋体" w:cs="宋体"/>
          <w:b/>
          <w:bCs/>
          <w:color w:val="auto"/>
          <w:sz w:val="32"/>
          <w:szCs w:val="32"/>
          <w:highlight w:val="none"/>
        </w:rPr>
        <w:t>编制单位：</w:t>
      </w:r>
      <w:bookmarkEnd w:id="3"/>
      <w:bookmarkEnd w:id="4"/>
      <w:bookmarkEnd w:id="5"/>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lang w:eastAsia="zh-CN"/>
        </w:rPr>
        <w:t>三门峡十化昊昱化工有限公司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编制日期：</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二零二</w:t>
      </w:r>
      <w:r>
        <w:rPr>
          <w:rFonts w:hint="eastAsia" w:ascii="宋体" w:hAnsi="宋体" w:eastAsia="宋体" w:cs="宋体"/>
          <w:b/>
          <w:bCs/>
          <w:color w:val="auto"/>
          <w:sz w:val="32"/>
          <w:szCs w:val="32"/>
          <w:highlight w:val="none"/>
          <w:u w:val="single"/>
          <w:lang w:val="en-US" w:eastAsia="zh-CN"/>
        </w:rPr>
        <w:t>三</w:t>
      </w:r>
      <w:r>
        <w:rPr>
          <w:rFonts w:hint="eastAsia" w:ascii="宋体" w:hAnsi="宋体" w:eastAsia="宋体" w:cs="宋体"/>
          <w:b/>
          <w:bCs/>
          <w:color w:val="auto"/>
          <w:sz w:val="32"/>
          <w:szCs w:val="32"/>
          <w:highlight w:val="none"/>
          <w:u w:val="single"/>
        </w:rPr>
        <w:t>年</w:t>
      </w:r>
      <w:r>
        <w:rPr>
          <w:rFonts w:hint="eastAsia" w:ascii="宋体" w:hAnsi="宋体" w:eastAsia="宋体" w:cs="宋体"/>
          <w:b/>
          <w:bCs/>
          <w:color w:val="auto"/>
          <w:sz w:val="32"/>
          <w:szCs w:val="32"/>
          <w:highlight w:val="none"/>
          <w:u w:val="single"/>
          <w:lang w:val="en-US" w:eastAsia="zh-CN"/>
        </w:rPr>
        <w:t>八</w:t>
      </w:r>
      <w:r>
        <w:rPr>
          <w:rFonts w:hint="eastAsia" w:ascii="宋体" w:hAnsi="宋体" w:eastAsia="宋体" w:cs="宋体"/>
          <w:b/>
          <w:bCs/>
          <w:color w:val="auto"/>
          <w:sz w:val="32"/>
          <w:szCs w:val="32"/>
          <w:highlight w:val="none"/>
          <w:u w:val="single"/>
        </w:rPr>
        <w:t>月</w:t>
      </w:r>
      <w:r>
        <w:rPr>
          <w:rFonts w:hint="eastAsia" w:ascii="宋体" w:hAnsi="宋体" w:eastAsia="宋体" w:cs="宋体"/>
          <w:b/>
          <w:bCs/>
          <w:color w:val="auto"/>
          <w:sz w:val="32"/>
          <w:szCs w:val="32"/>
          <w:highlight w:val="none"/>
          <w:u w:val="single"/>
          <w:lang w:val="en-US" w:eastAsia="zh-CN"/>
        </w:rPr>
        <w:t xml:space="preserve">        </w:t>
      </w:r>
    </w:p>
    <w:p>
      <w:pPr>
        <w:ind w:firstLine="964" w:firstLineChars="300"/>
        <w:rPr>
          <w:rFonts w:hint="eastAsia" w:ascii="宋体" w:hAnsi="宋体" w:eastAsia="宋体" w:cs="宋体"/>
          <w:b/>
          <w:bCs/>
          <w:color w:val="auto"/>
          <w:sz w:val="32"/>
          <w:szCs w:val="32"/>
          <w:highlight w:val="none"/>
          <w:u w:val="single"/>
        </w:rPr>
      </w:pPr>
    </w:p>
    <w:p>
      <w:pPr>
        <w:rPr>
          <w:rFonts w:hint="eastAsia"/>
        </w:rPr>
        <w:sectPr>
          <w:headerReference r:id="rId3" w:type="default"/>
          <w:type w:val="continuous"/>
          <w:pgSz w:w="11906" w:h="16838"/>
          <w:pgMar w:top="1440" w:right="1800" w:bottom="1440" w:left="1800" w:header="851" w:footer="992" w:gutter="0"/>
          <w:pgNumType w:fmt="decimal"/>
          <w:cols w:space="720" w:num="1"/>
          <w:docGrid w:type="lines" w:linePitch="312" w:charSpace="0"/>
        </w:sectPr>
      </w:pPr>
      <w:r>
        <w:rPr>
          <w:rFonts w:hint="eastAsia"/>
        </w:rPr>
        <w:br w:type="textWrapping"/>
      </w:r>
    </w:p>
    <w:sdt>
      <w:sdtPr>
        <w:rPr>
          <w:rFonts w:ascii="宋体" w:hAnsi="宋体" w:eastAsia="宋体" w:cs="Times New Roman"/>
          <w:kern w:val="2"/>
          <w:sz w:val="21"/>
          <w:szCs w:val="24"/>
          <w:lang w:val="en-US" w:eastAsia="zh-CN" w:bidi="ar-SA"/>
        </w:rPr>
        <w:id w:val="14745150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306"/>
            </w:tabs>
          </w:pPr>
          <w:r>
            <w:fldChar w:fldCharType="begin"/>
          </w:r>
          <w:r>
            <w:instrText xml:space="preserve">TOC \o "1-2" \h \u </w:instrText>
          </w:r>
          <w:r>
            <w:fldChar w:fldCharType="separate"/>
          </w:r>
          <w:r>
            <w:fldChar w:fldCharType="begin"/>
          </w:r>
          <w:r>
            <w:instrText xml:space="preserve"> HYPERLINK \l _Toc30828 </w:instrText>
          </w:r>
          <w:r>
            <w:fldChar w:fldCharType="separate"/>
          </w:r>
          <w:r>
            <w:rPr>
              <w:rFonts w:hint="eastAsia" w:ascii="宋体" w:hAnsi="宋体" w:eastAsia="宋体" w:cs="宋体"/>
              <w:bCs/>
              <w:kern w:val="2"/>
              <w:szCs w:val="32"/>
              <w:highlight w:val="none"/>
              <w:lang w:val="en-US" w:eastAsia="zh-CN" w:bidi="zh-CN"/>
            </w:rPr>
            <w:t>1.工作背景</w:t>
          </w:r>
          <w:r>
            <w:tab/>
          </w:r>
          <w:r>
            <w:fldChar w:fldCharType="begin"/>
          </w:r>
          <w:r>
            <w:instrText xml:space="preserve"> PAGEREF _Toc30828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_Toc11179 </w:instrText>
          </w:r>
          <w:r>
            <w:fldChar w:fldCharType="separate"/>
          </w:r>
          <w:r>
            <w:rPr>
              <w:rFonts w:hint="eastAsia" w:ascii="宋体" w:hAnsi="宋体" w:eastAsia="宋体" w:cs="宋体"/>
              <w:highlight w:val="none"/>
            </w:rPr>
            <w:t>1.1编制背景</w:t>
          </w:r>
          <w:r>
            <w:tab/>
          </w:r>
          <w:r>
            <w:fldChar w:fldCharType="begin"/>
          </w:r>
          <w:r>
            <w:instrText xml:space="preserve"> PAGEREF _Toc11179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_Toc11383 </w:instrText>
          </w:r>
          <w:r>
            <w:fldChar w:fldCharType="separate"/>
          </w:r>
          <w:r>
            <w:rPr>
              <w:rFonts w:hint="eastAsia" w:ascii="宋体" w:hAnsi="宋体" w:eastAsia="宋体" w:cs="宋体"/>
              <w:highlight w:val="none"/>
            </w:rPr>
            <w:t>1.2</w:t>
          </w:r>
          <w:r>
            <w:rPr>
              <w:rFonts w:hint="eastAsia" w:ascii="宋体" w:hAnsi="宋体" w:eastAsia="宋体" w:cs="宋体"/>
              <w:highlight w:val="none"/>
              <w:lang w:eastAsia="zh-CN"/>
            </w:rPr>
            <w:t>工作</w:t>
          </w:r>
          <w:r>
            <w:rPr>
              <w:rFonts w:hint="eastAsia" w:ascii="宋体" w:hAnsi="宋体" w:eastAsia="宋体" w:cs="宋体"/>
              <w:highlight w:val="none"/>
            </w:rPr>
            <w:t>依据</w:t>
          </w:r>
          <w:r>
            <w:tab/>
          </w:r>
          <w:r>
            <w:fldChar w:fldCharType="begin"/>
          </w:r>
          <w:r>
            <w:instrText xml:space="preserve"> PAGEREF _Toc11383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_Toc1958 </w:instrText>
          </w:r>
          <w:r>
            <w:fldChar w:fldCharType="separate"/>
          </w:r>
          <w:r>
            <w:rPr>
              <w:rFonts w:hint="eastAsia" w:ascii="宋体" w:hAnsi="宋体" w:eastAsia="宋体" w:cs="宋体"/>
              <w:highlight w:val="none"/>
              <w:lang w:val="en-US" w:eastAsia="zh-CN"/>
            </w:rPr>
            <w:t>1.3工作内容及技术路线</w:t>
          </w:r>
          <w:r>
            <w:tab/>
          </w:r>
          <w:r>
            <w:fldChar w:fldCharType="begin"/>
          </w:r>
          <w:r>
            <w:instrText xml:space="preserve"> PAGEREF _Toc1958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_Toc5584 </w:instrText>
          </w:r>
          <w:r>
            <w:fldChar w:fldCharType="separate"/>
          </w:r>
          <w:r>
            <w:rPr>
              <w:rFonts w:hint="eastAsia" w:ascii="宋体" w:hAnsi="宋体" w:eastAsia="宋体" w:cs="宋体"/>
              <w:highlight w:val="none"/>
              <w:lang w:val="en-US" w:eastAsia="zh-CN"/>
            </w:rPr>
            <w:t>2.企业概况</w:t>
          </w:r>
          <w:r>
            <w:tab/>
          </w:r>
          <w:r>
            <w:fldChar w:fldCharType="begin"/>
          </w:r>
          <w:r>
            <w:instrText xml:space="preserve"> PAGEREF _Toc5584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_Toc8929 </w:instrText>
          </w:r>
          <w:r>
            <w:fldChar w:fldCharType="separate"/>
          </w:r>
          <w:r>
            <w:rPr>
              <w:rFonts w:hint="eastAsia" w:ascii="宋体" w:hAnsi="宋体" w:eastAsia="宋体" w:cs="宋体"/>
              <w:highlight w:val="none"/>
              <w:lang w:val="en-US" w:eastAsia="zh-CN"/>
            </w:rPr>
            <w:t>2.1企业基本情况</w:t>
          </w:r>
          <w:r>
            <w:tab/>
          </w:r>
          <w:r>
            <w:fldChar w:fldCharType="begin"/>
          </w:r>
          <w:r>
            <w:instrText xml:space="preserve"> PAGEREF _Toc8929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_Toc20723 </w:instrText>
          </w:r>
          <w:r>
            <w:fldChar w:fldCharType="separate"/>
          </w:r>
          <w:r>
            <w:rPr>
              <w:rFonts w:hint="eastAsia" w:ascii="宋体" w:hAnsi="宋体" w:eastAsia="宋体" w:cs="宋体"/>
              <w:highlight w:val="none"/>
              <w:lang w:val="en-US" w:eastAsia="zh-CN"/>
            </w:rPr>
            <w:t>2.2企业用地历史沿革</w:t>
          </w:r>
          <w:r>
            <w:tab/>
          </w:r>
          <w:r>
            <w:fldChar w:fldCharType="begin"/>
          </w:r>
          <w:r>
            <w:instrText xml:space="preserve"> PAGEREF _Toc20723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_Toc4893 </w:instrText>
          </w:r>
          <w:r>
            <w:fldChar w:fldCharType="separate"/>
          </w:r>
          <w:r>
            <w:rPr>
              <w:rFonts w:hint="eastAsia" w:ascii="宋体" w:hAnsi="宋体" w:eastAsia="宋体" w:cs="宋体"/>
              <w:bCs/>
              <w:kern w:val="2"/>
              <w:szCs w:val="32"/>
              <w:highlight w:val="none"/>
              <w:lang w:val="en-US" w:eastAsia="zh-CN" w:bidi="ar-SA"/>
            </w:rPr>
            <w:t>2.3企业用地已有的环境调查与监测信息</w:t>
          </w:r>
          <w:r>
            <w:tab/>
          </w:r>
          <w:r>
            <w:fldChar w:fldCharType="begin"/>
          </w:r>
          <w:r>
            <w:instrText xml:space="preserve"> PAGEREF _Toc4893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_Toc17134 </w:instrText>
          </w:r>
          <w:r>
            <w:fldChar w:fldCharType="separate"/>
          </w:r>
          <w:r>
            <w:rPr>
              <w:rFonts w:hint="eastAsia" w:ascii="宋体" w:hAnsi="宋体" w:eastAsia="宋体" w:cs="宋体"/>
              <w:lang w:val="en-US" w:eastAsia="zh-CN"/>
            </w:rPr>
            <w:t>3地勘资料</w:t>
          </w:r>
          <w:r>
            <w:tab/>
          </w:r>
          <w:r>
            <w:fldChar w:fldCharType="begin"/>
          </w:r>
          <w:r>
            <w:instrText xml:space="preserve"> PAGEREF _Toc17134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_Toc32315 </w:instrText>
          </w:r>
          <w:r>
            <w:fldChar w:fldCharType="separate"/>
          </w:r>
          <w:r>
            <w:rPr>
              <w:rFonts w:hint="eastAsia" w:ascii="宋体" w:hAnsi="宋体" w:eastAsia="宋体" w:cs="宋体"/>
              <w:szCs w:val="28"/>
              <w:lang w:val="en-US" w:eastAsia="zh-CN"/>
            </w:rPr>
            <w:t>3.1地质信息</w:t>
          </w:r>
          <w:r>
            <w:tab/>
          </w:r>
          <w:r>
            <w:fldChar w:fldCharType="begin"/>
          </w:r>
          <w:r>
            <w:instrText xml:space="preserve"> PAGEREF _Toc32315 \h </w:instrText>
          </w:r>
          <w:r>
            <w:fldChar w:fldCharType="separate"/>
          </w:r>
          <w:r>
            <w:t>12</w:t>
          </w:r>
          <w:r>
            <w:fldChar w:fldCharType="end"/>
          </w:r>
          <w:r>
            <w:fldChar w:fldCharType="end"/>
          </w:r>
        </w:p>
        <w:p>
          <w:pPr>
            <w:pStyle w:val="17"/>
            <w:tabs>
              <w:tab w:val="right" w:leader="dot" w:pos="8306"/>
            </w:tabs>
          </w:pPr>
          <w:r>
            <w:fldChar w:fldCharType="begin"/>
          </w:r>
          <w:r>
            <w:instrText xml:space="preserve"> HYPERLINK \l _Toc8962 </w:instrText>
          </w:r>
          <w:r>
            <w:fldChar w:fldCharType="separate"/>
          </w:r>
          <w:r>
            <w:rPr>
              <w:rFonts w:hint="eastAsia" w:ascii="宋体" w:hAnsi="宋体" w:eastAsia="宋体" w:cs="宋体"/>
              <w:bCs/>
              <w:kern w:val="2"/>
              <w:szCs w:val="32"/>
              <w:highlight w:val="none"/>
              <w:lang w:val="en-US" w:eastAsia="zh-CN" w:bidi="ar-SA"/>
            </w:rPr>
            <w:t>3.2水文地质信息</w:t>
          </w:r>
          <w:r>
            <w:tab/>
          </w:r>
          <w:r>
            <w:fldChar w:fldCharType="begin"/>
          </w:r>
          <w:r>
            <w:instrText xml:space="preserve"> PAGEREF _Toc8962 \h </w:instrText>
          </w:r>
          <w:r>
            <w:fldChar w:fldCharType="separate"/>
          </w:r>
          <w:r>
            <w:t>13</w:t>
          </w:r>
          <w:r>
            <w:fldChar w:fldCharType="end"/>
          </w:r>
          <w:r>
            <w:fldChar w:fldCharType="end"/>
          </w:r>
        </w:p>
        <w:p>
          <w:pPr>
            <w:pStyle w:val="16"/>
            <w:tabs>
              <w:tab w:val="right" w:leader="dot" w:pos="8306"/>
            </w:tabs>
          </w:pPr>
          <w:r>
            <w:fldChar w:fldCharType="begin"/>
          </w:r>
          <w:r>
            <w:instrText xml:space="preserve"> HYPERLINK \l _Toc19415 </w:instrText>
          </w:r>
          <w:r>
            <w:fldChar w:fldCharType="separate"/>
          </w:r>
          <w:r>
            <w:rPr>
              <w:rFonts w:hint="eastAsia" w:ascii="宋体" w:hAnsi="宋体" w:eastAsia="宋体" w:cs="宋体"/>
              <w:lang w:val="en-US" w:eastAsia="zh-CN"/>
            </w:rPr>
            <w:t>4企业生产及污染防治情况</w:t>
          </w:r>
          <w:r>
            <w:tab/>
          </w:r>
          <w:r>
            <w:fldChar w:fldCharType="begin"/>
          </w:r>
          <w:r>
            <w:instrText xml:space="preserve"> PAGEREF _Toc19415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_Toc31309 </w:instrText>
          </w:r>
          <w:r>
            <w:fldChar w:fldCharType="separate"/>
          </w:r>
          <w:r>
            <w:rPr>
              <w:rFonts w:hint="eastAsia" w:ascii="宋体" w:hAnsi="宋体" w:eastAsia="宋体" w:cs="宋体"/>
              <w:bCs/>
              <w:kern w:val="2"/>
              <w:szCs w:val="32"/>
              <w:lang w:val="en-US" w:eastAsia="zh-CN" w:bidi="ar-SA"/>
            </w:rPr>
            <w:t>4.1企业生产概况</w:t>
          </w:r>
          <w:r>
            <w:tab/>
          </w:r>
          <w:r>
            <w:fldChar w:fldCharType="begin"/>
          </w:r>
          <w:r>
            <w:instrText xml:space="preserve"> PAGEREF _Toc31309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_Toc26810 </w:instrText>
          </w:r>
          <w:r>
            <w:fldChar w:fldCharType="separate"/>
          </w:r>
          <w:r>
            <w:rPr>
              <w:rFonts w:hint="eastAsia" w:ascii="宋体" w:hAnsi="宋体" w:eastAsia="宋体" w:cs="宋体"/>
              <w:bCs/>
              <w:kern w:val="2"/>
              <w:szCs w:val="32"/>
              <w:lang w:val="en-US" w:eastAsia="zh-CN" w:bidi="ar-SA"/>
            </w:rPr>
            <w:t>4.2企业生产工艺及产排污环节</w:t>
          </w:r>
          <w:r>
            <w:tab/>
          </w:r>
          <w:r>
            <w:fldChar w:fldCharType="begin"/>
          </w:r>
          <w:r>
            <w:instrText xml:space="preserve"> PAGEREF _Toc26810 \h </w:instrText>
          </w:r>
          <w:r>
            <w:fldChar w:fldCharType="separate"/>
          </w:r>
          <w:r>
            <w:t>16</w:t>
          </w:r>
          <w:r>
            <w:fldChar w:fldCharType="end"/>
          </w:r>
          <w:r>
            <w:fldChar w:fldCharType="end"/>
          </w:r>
        </w:p>
        <w:p>
          <w:pPr>
            <w:pStyle w:val="17"/>
            <w:tabs>
              <w:tab w:val="right" w:leader="dot" w:pos="8306"/>
            </w:tabs>
          </w:pPr>
          <w:r>
            <w:fldChar w:fldCharType="begin"/>
          </w:r>
          <w:r>
            <w:instrText xml:space="preserve"> HYPERLINK \l _Toc4597 </w:instrText>
          </w:r>
          <w:r>
            <w:fldChar w:fldCharType="separate"/>
          </w:r>
          <w:r>
            <w:rPr>
              <w:rFonts w:hint="eastAsia" w:ascii="宋体" w:hAnsi="宋体" w:eastAsia="宋体" w:cs="宋体"/>
              <w:bCs/>
              <w:szCs w:val="28"/>
              <w:highlight w:val="none"/>
              <w:lang w:val="en-US" w:eastAsia="zh-CN"/>
            </w:rPr>
            <w:t>4.3</w:t>
          </w:r>
          <w:r>
            <w:rPr>
              <w:rFonts w:hint="eastAsia" w:ascii="宋体" w:hAnsi="宋体" w:eastAsia="宋体" w:cs="宋体"/>
              <w:bCs/>
              <w:szCs w:val="28"/>
              <w:highlight w:val="none"/>
            </w:rPr>
            <w:t>“三废”的产生及治理</w:t>
          </w:r>
          <w:r>
            <w:tab/>
          </w:r>
          <w:r>
            <w:fldChar w:fldCharType="begin"/>
          </w:r>
          <w:r>
            <w:instrText xml:space="preserve"> PAGEREF _Toc4597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_Toc21234 </w:instrText>
          </w:r>
          <w:r>
            <w:fldChar w:fldCharType="separate"/>
          </w:r>
          <w:r>
            <w:rPr>
              <w:rFonts w:hint="eastAsia" w:ascii="宋体" w:hAnsi="宋体" w:eastAsia="宋体" w:cs="宋体"/>
              <w:spacing w:val="0"/>
              <w:szCs w:val="28"/>
              <w:highlight w:val="none"/>
              <w:lang w:val="en-US" w:eastAsia="zh-CN"/>
            </w:rPr>
            <w:t xml:space="preserve">4.4 </w:t>
          </w:r>
          <w:r>
            <w:rPr>
              <w:rFonts w:hint="eastAsia" w:ascii="宋体" w:hAnsi="宋体" w:eastAsia="宋体" w:cs="宋体"/>
              <w:spacing w:val="0"/>
              <w:szCs w:val="28"/>
              <w:highlight w:val="none"/>
            </w:rPr>
            <w:t>危险化学品的储存情况</w:t>
          </w:r>
          <w:r>
            <w:tab/>
          </w:r>
          <w:r>
            <w:fldChar w:fldCharType="begin"/>
          </w:r>
          <w:r>
            <w:instrText xml:space="preserve"> PAGEREF _Toc21234 \h </w:instrText>
          </w:r>
          <w:r>
            <w:fldChar w:fldCharType="separate"/>
          </w:r>
          <w:r>
            <w:t>21</w:t>
          </w:r>
          <w:r>
            <w:fldChar w:fldCharType="end"/>
          </w:r>
          <w:r>
            <w:fldChar w:fldCharType="end"/>
          </w:r>
        </w:p>
        <w:p>
          <w:pPr>
            <w:pStyle w:val="17"/>
            <w:tabs>
              <w:tab w:val="right" w:leader="dot" w:pos="8306"/>
            </w:tabs>
          </w:pPr>
          <w:r>
            <w:fldChar w:fldCharType="begin"/>
          </w:r>
          <w:r>
            <w:instrText xml:space="preserve"> HYPERLINK \l _Toc19297 </w:instrText>
          </w:r>
          <w:r>
            <w:fldChar w:fldCharType="separate"/>
          </w:r>
          <w:r>
            <w:rPr>
              <w:rFonts w:hint="eastAsia" w:ascii="宋体" w:hAnsi="宋体" w:eastAsia="宋体" w:cs="宋体"/>
              <w:bCs/>
              <w:kern w:val="2"/>
              <w:szCs w:val="32"/>
              <w:lang w:val="en-US" w:eastAsia="zh-CN" w:bidi="ar-SA"/>
            </w:rPr>
            <w:t>4.5企业总平面布置</w:t>
          </w:r>
          <w:r>
            <w:tab/>
          </w:r>
          <w:r>
            <w:fldChar w:fldCharType="begin"/>
          </w:r>
          <w:r>
            <w:instrText xml:space="preserve"> PAGEREF _Toc19297 \h </w:instrText>
          </w:r>
          <w:r>
            <w:fldChar w:fldCharType="separate"/>
          </w:r>
          <w:r>
            <w:t>21</w:t>
          </w:r>
          <w:r>
            <w:fldChar w:fldCharType="end"/>
          </w:r>
          <w:r>
            <w:fldChar w:fldCharType="end"/>
          </w:r>
        </w:p>
        <w:p>
          <w:pPr>
            <w:pStyle w:val="17"/>
            <w:tabs>
              <w:tab w:val="right" w:leader="dot" w:pos="8306"/>
            </w:tabs>
          </w:pPr>
          <w:r>
            <w:fldChar w:fldCharType="begin"/>
          </w:r>
          <w:r>
            <w:instrText xml:space="preserve"> HYPERLINK \l _Toc7055 </w:instrText>
          </w:r>
          <w:r>
            <w:fldChar w:fldCharType="separate"/>
          </w:r>
          <w:r>
            <w:rPr>
              <w:rFonts w:hint="eastAsia" w:ascii="宋体" w:hAnsi="宋体" w:eastAsia="宋体" w:cs="宋体"/>
              <w:bCs/>
              <w:kern w:val="2"/>
              <w:szCs w:val="32"/>
              <w:lang w:val="en-US" w:eastAsia="zh-CN" w:bidi="ar-SA"/>
            </w:rPr>
            <w:t>4.6各重点场所、重点设施设备情况</w:t>
          </w:r>
          <w:r>
            <w:tab/>
          </w:r>
          <w:r>
            <w:fldChar w:fldCharType="begin"/>
          </w:r>
          <w:r>
            <w:instrText xml:space="preserve"> PAGEREF _Toc7055 \h </w:instrText>
          </w:r>
          <w:r>
            <w:fldChar w:fldCharType="separate"/>
          </w:r>
          <w:r>
            <w:t>22</w:t>
          </w:r>
          <w:r>
            <w:fldChar w:fldCharType="end"/>
          </w:r>
          <w:r>
            <w:fldChar w:fldCharType="end"/>
          </w:r>
        </w:p>
        <w:p>
          <w:pPr>
            <w:pStyle w:val="16"/>
            <w:tabs>
              <w:tab w:val="right" w:leader="dot" w:pos="8306"/>
            </w:tabs>
          </w:pPr>
          <w:r>
            <w:fldChar w:fldCharType="begin"/>
          </w:r>
          <w:r>
            <w:instrText xml:space="preserve"> HYPERLINK \l _Toc31621 </w:instrText>
          </w:r>
          <w:r>
            <w:fldChar w:fldCharType="separate"/>
          </w:r>
          <w:r>
            <w:rPr>
              <w:rFonts w:hint="eastAsia" w:ascii="宋体" w:hAnsi="宋体" w:eastAsia="宋体" w:cs="宋体"/>
              <w:bCs/>
              <w:kern w:val="2"/>
              <w:szCs w:val="32"/>
              <w:lang w:val="en-US" w:eastAsia="zh-CN" w:bidi="zh-CN"/>
            </w:rPr>
            <w:t>5重点监测单元识别与分类</w:t>
          </w:r>
          <w:r>
            <w:tab/>
          </w:r>
          <w:r>
            <w:fldChar w:fldCharType="begin"/>
          </w:r>
          <w:r>
            <w:instrText xml:space="preserve"> PAGEREF _Toc31621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_Toc13137 </w:instrText>
          </w:r>
          <w:r>
            <w:fldChar w:fldCharType="separate"/>
          </w:r>
          <w:r>
            <w:rPr>
              <w:rFonts w:hint="eastAsia" w:ascii="宋体" w:hAnsi="宋体" w:eastAsia="宋体" w:cs="宋体"/>
              <w:bCs/>
              <w:kern w:val="2"/>
              <w:szCs w:val="32"/>
              <w:lang w:val="en-US" w:eastAsia="zh-CN" w:bidi="ar-SA"/>
            </w:rPr>
            <w:t>5.1重点监测单元识别</w:t>
          </w:r>
          <w:r>
            <w:tab/>
          </w:r>
          <w:r>
            <w:fldChar w:fldCharType="begin"/>
          </w:r>
          <w:r>
            <w:instrText xml:space="preserve"> PAGEREF _Toc13137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_Toc26961 </w:instrText>
          </w:r>
          <w:r>
            <w:fldChar w:fldCharType="separate"/>
          </w:r>
          <w:r>
            <w:rPr>
              <w:rFonts w:hint="eastAsia" w:ascii="宋体" w:hAnsi="宋体" w:eastAsia="宋体" w:cs="宋体"/>
              <w:bCs/>
              <w:kern w:val="2"/>
              <w:szCs w:val="32"/>
              <w:lang w:val="en-US" w:eastAsia="zh-CN" w:bidi="ar-SA"/>
            </w:rPr>
            <w:t>5.2识别/分类结果及原因</w:t>
          </w:r>
          <w:r>
            <w:tab/>
          </w:r>
          <w:r>
            <w:fldChar w:fldCharType="begin"/>
          </w:r>
          <w:r>
            <w:instrText xml:space="preserve"> PAGEREF _Toc26961 \h </w:instrText>
          </w:r>
          <w:r>
            <w:fldChar w:fldCharType="separate"/>
          </w:r>
          <w:r>
            <w:t>25</w:t>
          </w:r>
          <w:r>
            <w:fldChar w:fldCharType="end"/>
          </w:r>
          <w:r>
            <w:fldChar w:fldCharType="end"/>
          </w:r>
        </w:p>
        <w:p>
          <w:pPr>
            <w:pStyle w:val="17"/>
            <w:tabs>
              <w:tab w:val="right" w:leader="dot" w:pos="8306"/>
            </w:tabs>
          </w:pPr>
          <w:r>
            <w:fldChar w:fldCharType="begin"/>
          </w:r>
          <w:r>
            <w:instrText xml:space="preserve"> HYPERLINK \l _Toc16851 </w:instrText>
          </w:r>
          <w:r>
            <w:fldChar w:fldCharType="separate"/>
          </w:r>
          <w:r>
            <w:rPr>
              <w:rFonts w:hint="eastAsia" w:ascii="宋体" w:hAnsi="宋体" w:eastAsia="宋体" w:cs="宋体"/>
              <w:bCs/>
              <w:kern w:val="2"/>
              <w:szCs w:val="32"/>
              <w:lang w:val="en-US" w:eastAsia="zh-CN" w:bidi="ar-SA"/>
            </w:rPr>
            <w:t>5.3关注污染物</w:t>
          </w:r>
          <w:r>
            <w:tab/>
          </w:r>
          <w:r>
            <w:fldChar w:fldCharType="begin"/>
          </w:r>
          <w:r>
            <w:instrText xml:space="preserve"> PAGEREF _Toc16851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_Toc20666 </w:instrText>
          </w:r>
          <w:r>
            <w:fldChar w:fldCharType="separate"/>
          </w:r>
          <w:r>
            <w:rPr>
              <w:rFonts w:hint="eastAsia" w:ascii="宋体" w:hAnsi="宋体" w:eastAsia="宋体" w:cs="宋体"/>
              <w:lang w:val="en-US" w:eastAsia="zh-CN"/>
            </w:rPr>
            <w:t>6监测点位布设方案</w:t>
          </w:r>
          <w:r>
            <w:tab/>
          </w:r>
          <w:r>
            <w:fldChar w:fldCharType="begin"/>
          </w:r>
          <w:r>
            <w:instrText xml:space="preserve"> PAGEREF _Toc20666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_Toc752 </w:instrText>
          </w:r>
          <w:r>
            <w:fldChar w:fldCharType="separate"/>
          </w:r>
          <w:r>
            <w:rPr>
              <w:rFonts w:hint="eastAsia" w:ascii="宋体" w:hAnsi="宋体" w:eastAsia="宋体" w:cs="宋体"/>
              <w:bCs/>
              <w:kern w:val="2"/>
              <w:szCs w:val="32"/>
              <w:lang w:val="en-US" w:eastAsia="zh-CN" w:bidi="ar-SA"/>
            </w:rPr>
            <w:t>6.1重点单元及相应监测点/监测井的布设位置</w:t>
          </w:r>
          <w:r>
            <w:tab/>
          </w:r>
          <w:r>
            <w:fldChar w:fldCharType="begin"/>
          </w:r>
          <w:r>
            <w:instrText xml:space="preserve"> PAGEREF _Toc752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_Toc5886 </w:instrText>
          </w:r>
          <w:r>
            <w:fldChar w:fldCharType="separate"/>
          </w:r>
          <w:r>
            <w:rPr>
              <w:rFonts w:hint="eastAsia" w:ascii="宋体" w:hAnsi="宋体" w:eastAsia="宋体" w:cs="宋体"/>
              <w:bCs/>
              <w:kern w:val="2"/>
              <w:szCs w:val="32"/>
              <w:lang w:val="en-US" w:eastAsia="zh-CN" w:bidi="ar-SA"/>
            </w:rPr>
            <w:t>6.2监测点位布设</w:t>
          </w:r>
          <w:r>
            <w:tab/>
          </w:r>
          <w:r>
            <w:fldChar w:fldCharType="begin"/>
          </w:r>
          <w:r>
            <w:instrText xml:space="preserve"> PAGEREF _Toc5886 \h </w:instrText>
          </w:r>
          <w:r>
            <w:fldChar w:fldCharType="separate"/>
          </w:r>
          <w:r>
            <w:t>28</w:t>
          </w:r>
          <w:r>
            <w:fldChar w:fldCharType="end"/>
          </w:r>
          <w:r>
            <w:fldChar w:fldCharType="end"/>
          </w:r>
        </w:p>
        <w:p>
          <w:pPr>
            <w:pStyle w:val="17"/>
            <w:tabs>
              <w:tab w:val="right" w:leader="dot" w:pos="8306"/>
            </w:tabs>
          </w:pPr>
          <w:r>
            <w:fldChar w:fldCharType="begin"/>
          </w:r>
          <w:r>
            <w:instrText xml:space="preserve"> HYPERLINK \l _Toc17528 </w:instrText>
          </w:r>
          <w:r>
            <w:fldChar w:fldCharType="separate"/>
          </w:r>
          <w:r>
            <w:rPr>
              <w:rFonts w:hint="eastAsia" w:ascii="宋体" w:hAnsi="宋体" w:eastAsia="宋体" w:cs="宋体"/>
              <w:bCs/>
              <w:kern w:val="2"/>
              <w:szCs w:val="32"/>
              <w:highlight w:val="none"/>
              <w:lang w:val="en-US" w:eastAsia="zh-CN" w:bidi="ar-SA"/>
            </w:rPr>
            <w:t>6.3各点位监测指标及选取原因</w:t>
          </w:r>
          <w:r>
            <w:tab/>
          </w:r>
          <w:r>
            <w:fldChar w:fldCharType="begin"/>
          </w:r>
          <w:r>
            <w:instrText xml:space="preserve"> PAGEREF _Toc17528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_Toc524 </w:instrText>
          </w:r>
          <w:r>
            <w:fldChar w:fldCharType="separate"/>
          </w:r>
          <w:r>
            <w:rPr>
              <w:rFonts w:hint="eastAsia" w:ascii="宋体" w:hAnsi="宋体" w:eastAsia="宋体" w:cs="宋体"/>
              <w:bCs/>
              <w:kern w:val="2"/>
              <w:szCs w:val="28"/>
              <w:highlight w:val="none"/>
              <w:lang w:val="en-US" w:eastAsia="zh-CN" w:bidi="ar-SA"/>
            </w:rPr>
            <w:t>6.4监测频次</w:t>
          </w:r>
          <w:r>
            <w:tab/>
          </w:r>
          <w:r>
            <w:fldChar w:fldCharType="begin"/>
          </w:r>
          <w:r>
            <w:instrText xml:space="preserve"> PAGEREF _Toc524 \h </w:instrText>
          </w:r>
          <w:r>
            <w:fldChar w:fldCharType="separate"/>
          </w:r>
          <w:r>
            <w:t>29</w:t>
          </w:r>
          <w:r>
            <w:fldChar w:fldCharType="end"/>
          </w:r>
          <w:r>
            <w:fldChar w:fldCharType="end"/>
          </w:r>
        </w:p>
        <w:p>
          <w:pPr>
            <w:pStyle w:val="16"/>
            <w:tabs>
              <w:tab w:val="right" w:leader="dot" w:pos="8306"/>
            </w:tabs>
          </w:pPr>
          <w:r>
            <w:fldChar w:fldCharType="begin"/>
          </w:r>
          <w:r>
            <w:instrText xml:space="preserve"> HYPERLINK \l _Toc11892 </w:instrText>
          </w:r>
          <w:r>
            <w:fldChar w:fldCharType="separate"/>
          </w:r>
          <w:r>
            <w:rPr>
              <w:rFonts w:hint="eastAsia" w:ascii="宋体" w:hAnsi="宋体" w:eastAsia="宋体" w:cs="宋体"/>
              <w:lang w:val="en-US" w:eastAsia="zh-CN"/>
            </w:rPr>
            <w:t>7样品采集、保存、流转与制备</w:t>
          </w:r>
          <w:r>
            <w:tab/>
          </w:r>
          <w:r>
            <w:fldChar w:fldCharType="begin"/>
          </w:r>
          <w:r>
            <w:instrText xml:space="preserve"> PAGEREF _Toc11892 \h </w:instrText>
          </w:r>
          <w:r>
            <w:fldChar w:fldCharType="separate"/>
          </w:r>
          <w:r>
            <w:t>30</w:t>
          </w:r>
          <w:r>
            <w:fldChar w:fldCharType="end"/>
          </w:r>
          <w:r>
            <w:fldChar w:fldCharType="end"/>
          </w:r>
        </w:p>
        <w:p>
          <w:pPr>
            <w:pStyle w:val="17"/>
            <w:tabs>
              <w:tab w:val="right" w:leader="dot" w:pos="8306"/>
            </w:tabs>
          </w:pPr>
          <w:r>
            <w:fldChar w:fldCharType="begin"/>
          </w:r>
          <w:r>
            <w:instrText xml:space="preserve"> HYPERLINK \l _Toc5184 </w:instrText>
          </w:r>
          <w:r>
            <w:fldChar w:fldCharType="separate"/>
          </w:r>
          <w:r>
            <w:rPr>
              <w:rFonts w:hint="eastAsia" w:ascii="宋体" w:hAnsi="宋体" w:eastAsia="宋体" w:cs="宋体"/>
              <w:bCs/>
              <w:kern w:val="2"/>
              <w:szCs w:val="32"/>
              <w:lang w:val="en-US" w:eastAsia="zh-CN" w:bidi="ar-SA"/>
            </w:rPr>
            <w:t>7.1现场采样位置、数量和深度</w:t>
          </w:r>
          <w:r>
            <w:tab/>
          </w:r>
          <w:r>
            <w:fldChar w:fldCharType="begin"/>
          </w:r>
          <w:r>
            <w:instrText xml:space="preserve"> PAGEREF _Toc5184 \h </w:instrText>
          </w:r>
          <w:r>
            <w:fldChar w:fldCharType="separate"/>
          </w:r>
          <w:r>
            <w:t>30</w:t>
          </w:r>
          <w:r>
            <w:fldChar w:fldCharType="end"/>
          </w:r>
          <w:r>
            <w:fldChar w:fldCharType="end"/>
          </w:r>
        </w:p>
        <w:p>
          <w:pPr>
            <w:pStyle w:val="17"/>
            <w:tabs>
              <w:tab w:val="right" w:leader="dot" w:pos="8306"/>
            </w:tabs>
          </w:pPr>
          <w:r>
            <w:fldChar w:fldCharType="begin"/>
          </w:r>
          <w:r>
            <w:instrText xml:space="preserve"> HYPERLINK \l _Toc4736 </w:instrText>
          </w:r>
          <w:r>
            <w:fldChar w:fldCharType="separate"/>
          </w:r>
          <w:r>
            <w:rPr>
              <w:rFonts w:hint="eastAsia" w:ascii="宋体" w:hAnsi="宋体" w:eastAsia="宋体" w:cs="宋体"/>
              <w:bCs/>
              <w:kern w:val="2"/>
              <w:szCs w:val="32"/>
              <w:lang w:val="en-US" w:eastAsia="zh-CN" w:bidi="ar-SA"/>
            </w:rPr>
            <w:t>7.2现场采样工作流程</w:t>
          </w:r>
          <w:r>
            <w:tab/>
          </w:r>
          <w:r>
            <w:fldChar w:fldCharType="begin"/>
          </w:r>
          <w:r>
            <w:instrText xml:space="preserve"> PAGEREF _Toc4736 \h </w:instrText>
          </w:r>
          <w:r>
            <w:fldChar w:fldCharType="separate"/>
          </w:r>
          <w:r>
            <w:t>31</w:t>
          </w:r>
          <w:r>
            <w:fldChar w:fldCharType="end"/>
          </w:r>
          <w:r>
            <w:fldChar w:fldCharType="end"/>
          </w:r>
        </w:p>
        <w:p>
          <w:pPr>
            <w:pStyle w:val="16"/>
            <w:tabs>
              <w:tab w:val="right" w:leader="dot" w:pos="8306"/>
            </w:tabs>
          </w:pPr>
          <w:r>
            <w:fldChar w:fldCharType="begin"/>
          </w:r>
          <w:r>
            <w:instrText xml:space="preserve"> HYPERLINK \l _Toc30409 </w:instrText>
          </w:r>
          <w:r>
            <w:fldChar w:fldCharType="separate"/>
          </w:r>
          <w:r>
            <w:rPr>
              <w:rFonts w:hint="eastAsia" w:ascii="宋体" w:hAnsi="宋体" w:eastAsia="宋体" w:cs="宋体"/>
              <w:lang w:val="en-US" w:eastAsia="zh-CN"/>
            </w:rPr>
            <w:t>8监测结果分析</w:t>
          </w:r>
          <w:r>
            <w:tab/>
          </w:r>
          <w:r>
            <w:fldChar w:fldCharType="begin"/>
          </w:r>
          <w:r>
            <w:instrText xml:space="preserve"> PAGEREF _Toc30409 \h </w:instrText>
          </w:r>
          <w:r>
            <w:fldChar w:fldCharType="separate"/>
          </w:r>
          <w:r>
            <w:t>37</w:t>
          </w:r>
          <w:r>
            <w:fldChar w:fldCharType="end"/>
          </w:r>
          <w:r>
            <w:fldChar w:fldCharType="end"/>
          </w:r>
        </w:p>
        <w:p>
          <w:pPr>
            <w:pStyle w:val="17"/>
            <w:tabs>
              <w:tab w:val="right" w:leader="dot" w:pos="8306"/>
            </w:tabs>
          </w:pPr>
          <w:r>
            <w:fldChar w:fldCharType="begin"/>
          </w:r>
          <w:r>
            <w:instrText xml:space="preserve"> HYPERLINK \l _Toc8967 </w:instrText>
          </w:r>
          <w:r>
            <w:fldChar w:fldCharType="separate"/>
          </w:r>
          <w:r>
            <w:rPr>
              <w:rFonts w:hint="eastAsia" w:ascii="宋体" w:hAnsi="宋体" w:eastAsia="宋体" w:cs="宋体"/>
              <w:bCs/>
              <w:kern w:val="2"/>
              <w:szCs w:val="32"/>
              <w:lang w:val="en-US" w:eastAsia="zh-CN" w:bidi="ar-SA"/>
            </w:rPr>
            <w:t>8.1</w:t>
          </w:r>
          <w:r>
            <w:rPr>
              <w:rFonts w:hint="eastAsia" w:ascii="宋体" w:hAnsi="宋体" w:eastAsia="宋体" w:cs="宋体"/>
              <w:bCs/>
              <w:kern w:val="2"/>
              <w:szCs w:val="32"/>
              <w:highlight w:val="none"/>
              <w:lang w:val="en-US" w:eastAsia="zh-CN" w:bidi="ar-SA"/>
            </w:rPr>
            <w:t>执行及参考标准</w:t>
          </w:r>
          <w:r>
            <w:tab/>
          </w:r>
          <w:r>
            <w:fldChar w:fldCharType="begin"/>
          </w:r>
          <w:r>
            <w:instrText xml:space="preserve"> PAGEREF _Toc8967 \h </w:instrText>
          </w:r>
          <w:r>
            <w:fldChar w:fldCharType="separate"/>
          </w:r>
          <w:r>
            <w:t>37</w:t>
          </w:r>
          <w:r>
            <w:fldChar w:fldCharType="end"/>
          </w:r>
          <w:r>
            <w:fldChar w:fldCharType="end"/>
          </w:r>
        </w:p>
        <w:p>
          <w:pPr>
            <w:pStyle w:val="17"/>
            <w:tabs>
              <w:tab w:val="right" w:leader="dot" w:pos="8306"/>
            </w:tabs>
          </w:pPr>
          <w:r>
            <w:fldChar w:fldCharType="begin"/>
          </w:r>
          <w:r>
            <w:instrText xml:space="preserve"> HYPERLINK \l _Toc28786 </w:instrText>
          </w:r>
          <w:r>
            <w:fldChar w:fldCharType="separate"/>
          </w:r>
          <w:r>
            <w:rPr>
              <w:rFonts w:hint="eastAsia" w:ascii="宋体" w:hAnsi="宋体" w:eastAsia="宋体" w:cs="宋体"/>
              <w:bCs/>
              <w:kern w:val="2"/>
              <w:szCs w:val="32"/>
              <w:lang w:val="en-US" w:eastAsia="zh-CN" w:bidi="ar-SA"/>
            </w:rPr>
            <w:t>8.2监测结果</w:t>
          </w:r>
          <w:r>
            <w:tab/>
          </w:r>
          <w:r>
            <w:fldChar w:fldCharType="begin"/>
          </w:r>
          <w:r>
            <w:instrText xml:space="preserve"> PAGEREF _Toc28786 \h </w:instrText>
          </w:r>
          <w:r>
            <w:fldChar w:fldCharType="separate"/>
          </w:r>
          <w:r>
            <w:t>40</w:t>
          </w:r>
          <w:r>
            <w:fldChar w:fldCharType="end"/>
          </w:r>
          <w:r>
            <w:fldChar w:fldCharType="end"/>
          </w:r>
        </w:p>
        <w:p>
          <w:pPr>
            <w:pStyle w:val="16"/>
            <w:tabs>
              <w:tab w:val="right" w:leader="dot" w:pos="8306"/>
            </w:tabs>
          </w:pPr>
          <w:r>
            <w:fldChar w:fldCharType="begin"/>
          </w:r>
          <w:r>
            <w:instrText xml:space="preserve"> HYPERLINK \l _Toc14700 </w:instrText>
          </w:r>
          <w:r>
            <w:fldChar w:fldCharType="separate"/>
          </w:r>
          <w:r>
            <w:rPr>
              <w:rFonts w:hint="eastAsia" w:ascii="宋体" w:hAnsi="宋体" w:eastAsia="宋体" w:cs="宋体"/>
              <w:lang w:val="en-US" w:eastAsia="zh-CN"/>
            </w:rPr>
            <w:t>9质量保证与质量控制</w:t>
          </w:r>
          <w:r>
            <w:tab/>
          </w:r>
          <w:r>
            <w:fldChar w:fldCharType="begin"/>
          </w:r>
          <w:r>
            <w:instrText xml:space="preserve"> PAGEREF _Toc14700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_Toc5046 </w:instrText>
          </w:r>
          <w:r>
            <w:fldChar w:fldCharType="separate"/>
          </w:r>
          <w:r>
            <w:rPr>
              <w:rFonts w:hint="eastAsia" w:ascii="宋体" w:hAnsi="宋体" w:eastAsia="宋体" w:cs="宋体"/>
              <w:bCs/>
              <w:kern w:val="2"/>
              <w:szCs w:val="32"/>
              <w:lang w:val="en-US" w:eastAsia="zh-CN" w:bidi="ar-SA"/>
            </w:rPr>
            <w:t>9.1自行监测质量体系</w:t>
          </w:r>
          <w:r>
            <w:tab/>
          </w:r>
          <w:r>
            <w:fldChar w:fldCharType="begin"/>
          </w:r>
          <w:r>
            <w:instrText xml:space="preserve"> PAGEREF _Toc5046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_Toc19042 </w:instrText>
          </w:r>
          <w:r>
            <w:fldChar w:fldCharType="separate"/>
          </w:r>
          <w:r>
            <w:rPr>
              <w:rFonts w:hint="eastAsia" w:ascii="宋体" w:hAnsi="宋体" w:eastAsia="宋体" w:cs="宋体"/>
              <w:bCs/>
              <w:kern w:val="2"/>
              <w:szCs w:val="32"/>
              <w:lang w:val="en-US" w:eastAsia="zh-CN" w:bidi="ar-SA"/>
            </w:rPr>
            <w:t>9.2监测方案制定的质量保证与控制</w:t>
          </w:r>
          <w:r>
            <w:tab/>
          </w:r>
          <w:r>
            <w:fldChar w:fldCharType="begin"/>
          </w:r>
          <w:r>
            <w:instrText xml:space="preserve"> PAGEREF _Toc19042 \h </w:instrText>
          </w:r>
          <w:r>
            <w:fldChar w:fldCharType="separate"/>
          </w:r>
          <w:r>
            <w:t>43</w:t>
          </w:r>
          <w:r>
            <w:fldChar w:fldCharType="end"/>
          </w:r>
          <w:r>
            <w:fldChar w:fldCharType="end"/>
          </w:r>
        </w:p>
        <w:p>
          <w:pPr>
            <w:pStyle w:val="17"/>
            <w:tabs>
              <w:tab w:val="right" w:leader="dot" w:pos="8306"/>
            </w:tabs>
          </w:pPr>
          <w:r>
            <w:fldChar w:fldCharType="begin"/>
          </w:r>
          <w:r>
            <w:instrText xml:space="preserve"> HYPERLINK \l _Toc26162 </w:instrText>
          </w:r>
          <w:r>
            <w:fldChar w:fldCharType="separate"/>
          </w:r>
          <w:r>
            <w:rPr>
              <w:rFonts w:hint="eastAsia" w:ascii="宋体" w:hAnsi="宋体" w:eastAsia="宋体" w:cs="宋体"/>
              <w:bCs/>
              <w:kern w:val="2"/>
              <w:szCs w:val="32"/>
              <w:lang w:val="en-US" w:eastAsia="zh-CN" w:bidi="ar-SA"/>
            </w:rPr>
            <w:t>9.3样品采集、保存、流转、制备与分析的质量保证与控制</w:t>
          </w:r>
          <w:r>
            <w:tab/>
          </w:r>
          <w:r>
            <w:fldChar w:fldCharType="begin"/>
          </w:r>
          <w:r>
            <w:instrText xml:space="preserve"> PAGEREF _Toc26162 \h </w:instrText>
          </w:r>
          <w:r>
            <w:fldChar w:fldCharType="separate"/>
          </w:r>
          <w:r>
            <w:t>43</w:t>
          </w:r>
          <w:r>
            <w:fldChar w:fldCharType="end"/>
          </w:r>
          <w:r>
            <w:fldChar w:fldCharType="end"/>
          </w:r>
        </w:p>
        <w:p>
          <w:pPr>
            <w:pStyle w:val="16"/>
            <w:tabs>
              <w:tab w:val="right" w:leader="dot" w:pos="8306"/>
            </w:tabs>
          </w:pPr>
          <w:r>
            <w:fldChar w:fldCharType="begin"/>
          </w:r>
          <w:r>
            <w:instrText xml:space="preserve"> HYPERLINK \l _Toc25080 </w:instrText>
          </w:r>
          <w:r>
            <w:fldChar w:fldCharType="separate"/>
          </w:r>
          <w:r>
            <w:rPr>
              <w:rFonts w:hint="eastAsia" w:ascii="宋体" w:hAnsi="宋体" w:eastAsia="宋体" w:cs="宋体"/>
              <w:lang w:val="en-US" w:eastAsia="zh-CN"/>
            </w:rPr>
            <w:t>10.结论与措施</w:t>
          </w:r>
          <w:r>
            <w:tab/>
          </w:r>
          <w:r>
            <w:fldChar w:fldCharType="begin"/>
          </w:r>
          <w:r>
            <w:instrText xml:space="preserve"> PAGEREF _Toc25080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_Toc5369 </w:instrText>
          </w:r>
          <w:r>
            <w:fldChar w:fldCharType="separate"/>
          </w:r>
          <w:r>
            <w:rPr>
              <w:rFonts w:hint="eastAsia" w:ascii="宋体" w:hAnsi="宋体" w:eastAsia="宋体" w:cs="宋体"/>
              <w:bCs/>
              <w:kern w:val="2"/>
              <w:szCs w:val="32"/>
              <w:lang w:val="en-US" w:eastAsia="zh-CN" w:bidi="ar-SA"/>
            </w:rPr>
            <w:t>10.1现场采样和监测</w:t>
          </w:r>
          <w:r>
            <w:tab/>
          </w:r>
          <w:r>
            <w:fldChar w:fldCharType="begin"/>
          </w:r>
          <w:r>
            <w:instrText xml:space="preserve"> PAGEREF _Toc5369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_Toc3371 </w:instrText>
          </w:r>
          <w:r>
            <w:fldChar w:fldCharType="separate"/>
          </w:r>
          <w:r>
            <w:rPr>
              <w:rFonts w:hint="eastAsia" w:ascii="宋体" w:hAnsi="宋体" w:eastAsia="宋体" w:cs="宋体"/>
              <w:bCs/>
              <w:kern w:val="2"/>
              <w:szCs w:val="32"/>
              <w:lang w:val="en-US" w:eastAsia="zh-CN" w:bidi="ar-SA"/>
            </w:rPr>
            <w:t>10.2土壤监测结果分析</w:t>
          </w:r>
          <w:r>
            <w:tab/>
          </w:r>
          <w:r>
            <w:fldChar w:fldCharType="begin"/>
          </w:r>
          <w:r>
            <w:instrText xml:space="preserve"> PAGEREF _Toc3371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_Toc9314 </w:instrText>
          </w:r>
          <w:r>
            <w:fldChar w:fldCharType="separate"/>
          </w:r>
          <w:r>
            <w:rPr>
              <w:rFonts w:hint="eastAsia" w:ascii="宋体" w:hAnsi="宋体" w:eastAsia="宋体" w:cs="宋体"/>
              <w:bCs/>
              <w:kern w:val="2"/>
              <w:szCs w:val="32"/>
              <w:lang w:val="en-US" w:eastAsia="zh-CN" w:bidi="ar-SA"/>
            </w:rPr>
            <w:t>10.3自行监测结论</w:t>
          </w:r>
          <w:r>
            <w:tab/>
          </w:r>
          <w:r>
            <w:fldChar w:fldCharType="begin"/>
          </w:r>
          <w:r>
            <w:instrText xml:space="preserve"> PAGEREF _Toc9314 \h </w:instrText>
          </w:r>
          <w:r>
            <w:fldChar w:fldCharType="separate"/>
          </w:r>
          <w:r>
            <w:t>49</w:t>
          </w:r>
          <w:r>
            <w:fldChar w:fldCharType="end"/>
          </w:r>
          <w:r>
            <w:fldChar w:fldCharType="end"/>
          </w:r>
        </w:p>
        <w:p>
          <w:pPr>
            <w:pStyle w:val="17"/>
            <w:tabs>
              <w:tab w:val="right" w:leader="dot" w:pos="8306"/>
            </w:tabs>
          </w:pPr>
          <w:r>
            <w:fldChar w:fldCharType="begin"/>
          </w:r>
          <w:r>
            <w:instrText xml:space="preserve"> HYPERLINK \l _Toc1285 </w:instrText>
          </w:r>
          <w:r>
            <w:fldChar w:fldCharType="separate"/>
          </w:r>
          <w:r>
            <w:rPr>
              <w:rFonts w:hint="eastAsia" w:ascii="宋体" w:hAnsi="宋体" w:eastAsia="宋体" w:cs="宋体"/>
              <w:bCs/>
              <w:kern w:val="2"/>
              <w:szCs w:val="32"/>
              <w:lang w:val="en-US" w:eastAsia="zh-CN" w:bidi="ar-SA"/>
            </w:rPr>
            <w:t>10.4拟采取的主要措施</w:t>
          </w:r>
          <w:r>
            <w:tab/>
          </w:r>
          <w:r>
            <w:fldChar w:fldCharType="begin"/>
          </w:r>
          <w:r>
            <w:instrText xml:space="preserve"> PAGEREF _Toc1285 \h </w:instrText>
          </w:r>
          <w:r>
            <w:fldChar w:fldCharType="separate"/>
          </w:r>
          <w:r>
            <w:t>49</w:t>
          </w:r>
          <w:r>
            <w:fldChar w:fldCharType="end"/>
          </w:r>
          <w:r>
            <w:fldChar w:fldCharType="end"/>
          </w:r>
        </w:p>
        <w:p>
          <w:pPr>
            <w:pStyle w:val="16"/>
            <w:tabs>
              <w:tab w:val="right" w:leader="dot" w:pos="8306"/>
            </w:tabs>
          </w:pPr>
          <w:r>
            <w:fldChar w:fldCharType="begin"/>
          </w:r>
          <w:r>
            <w:instrText xml:space="preserve"> HYPERLINK \l _Toc16182 </w:instrText>
          </w:r>
          <w:r>
            <w:fldChar w:fldCharType="separate"/>
          </w:r>
          <w:r>
            <w:rPr>
              <w:rFonts w:hint="eastAsia" w:ascii="宋体" w:hAnsi="宋体" w:eastAsia="宋体" w:cs="宋体"/>
              <w:bCs/>
              <w:szCs w:val="32"/>
              <w:highlight w:val="none"/>
              <w:lang w:val="en-US" w:eastAsia="zh-CN"/>
            </w:rPr>
            <w:t>附图1 企业地理位置图</w:t>
          </w:r>
          <w:r>
            <w:tab/>
          </w:r>
          <w:r>
            <w:fldChar w:fldCharType="begin"/>
          </w:r>
          <w:r>
            <w:instrText xml:space="preserve"> PAGEREF _Toc16182 \h </w:instrText>
          </w:r>
          <w:r>
            <w:fldChar w:fldCharType="separate"/>
          </w:r>
          <w:r>
            <w:t>50</w:t>
          </w:r>
          <w:r>
            <w:fldChar w:fldCharType="end"/>
          </w:r>
          <w:r>
            <w:fldChar w:fldCharType="end"/>
          </w:r>
        </w:p>
        <w:p>
          <w:pPr>
            <w:pStyle w:val="16"/>
            <w:tabs>
              <w:tab w:val="right" w:leader="dot" w:pos="8306"/>
            </w:tabs>
          </w:pPr>
          <w:r>
            <w:fldChar w:fldCharType="begin"/>
          </w:r>
          <w:r>
            <w:instrText xml:space="preserve"> HYPERLINK \l _Toc20354 </w:instrText>
          </w:r>
          <w:r>
            <w:fldChar w:fldCharType="separate"/>
          </w:r>
          <w:r>
            <w:rPr>
              <w:rFonts w:hint="eastAsia" w:ascii="宋体" w:hAnsi="宋体" w:eastAsia="宋体" w:cs="宋体"/>
              <w:bCs/>
              <w:szCs w:val="32"/>
              <w:highlight w:val="none"/>
              <w:lang w:val="en-US" w:eastAsia="zh-CN"/>
            </w:rPr>
            <w:t>附图2三门峡市土壤污染类型</w:t>
          </w:r>
          <w:r>
            <w:tab/>
          </w:r>
          <w:r>
            <w:fldChar w:fldCharType="begin"/>
          </w:r>
          <w:r>
            <w:instrText xml:space="preserve"> PAGEREF _Toc20354 \h </w:instrText>
          </w:r>
          <w:r>
            <w:fldChar w:fldCharType="separate"/>
          </w:r>
          <w:r>
            <w:t>51</w:t>
          </w:r>
          <w:r>
            <w:fldChar w:fldCharType="end"/>
          </w:r>
          <w:r>
            <w:fldChar w:fldCharType="end"/>
          </w:r>
        </w:p>
        <w:p>
          <w:pPr>
            <w:pStyle w:val="16"/>
            <w:tabs>
              <w:tab w:val="right" w:leader="dot" w:pos="8306"/>
            </w:tabs>
          </w:pPr>
          <w:r>
            <w:fldChar w:fldCharType="begin"/>
          </w:r>
          <w:r>
            <w:instrText xml:space="preserve"> HYPERLINK \l _Toc10354 </w:instrText>
          </w:r>
          <w:r>
            <w:fldChar w:fldCharType="separate"/>
          </w:r>
          <w:r>
            <w:rPr>
              <w:rFonts w:hint="eastAsia" w:ascii="宋体" w:hAnsi="宋体" w:eastAsia="宋体" w:cs="宋体"/>
              <w:bCs/>
              <w:szCs w:val="32"/>
              <w:highlight w:val="none"/>
              <w:lang w:val="en-US" w:eastAsia="zh-CN"/>
            </w:rPr>
            <w:t>附图3平面布置及监测点位图</w:t>
          </w:r>
          <w:r>
            <w:tab/>
          </w:r>
          <w:r>
            <w:fldChar w:fldCharType="begin"/>
          </w:r>
          <w:r>
            <w:instrText xml:space="preserve"> PAGEREF _Toc10354 \h </w:instrText>
          </w:r>
          <w:r>
            <w:fldChar w:fldCharType="separate"/>
          </w:r>
          <w:r>
            <w:t>52</w:t>
          </w:r>
          <w:r>
            <w:fldChar w:fldCharType="end"/>
          </w:r>
          <w:r>
            <w:fldChar w:fldCharType="end"/>
          </w:r>
        </w:p>
        <w:p>
          <w:pPr>
            <w:pStyle w:val="16"/>
            <w:tabs>
              <w:tab w:val="right" w:leader="dot" w:pos="8306"/>
            </w:tabs>
          </w:pPr>
          <w:r>
            <w:fldChar w:fldCharType="begin"/>
          </w:r>
          <w:r>
            <w:instrText xml:space="preserve"> HYPERLINK \l _Toc27863 </w:instrText>
          </w:r>
          <w:r>
            <w:fldChar w:fldCharType="separate"/>
          </w:r>
          <w:r>
            <w:rPr>
              <w:rFonts w:hint="eastAsia" w:ascii="宋体" w:hAnsi="宋体" w:eastAsia="宋体" w:cs="宋体"/>
              <w:szCs w:val="24"/>
              <w:highlight w:val="none"/>
              <w:lang w:val="zh-CN" w:eastAsia="zh-CN"/>
            </w:rPr>
            <w:t>附图</w:t>
          </w:r>
          <w:r>
            <w:rPr>
              <w:rFonts w:hint="eastAsia" w:ascii="宋体" w:hAnsi="宋体" w:eastAsia="宋体" w:cs="宋体"/>
              <w:szCs w:val="24"/>
              <w:highlight w:val="none"/>
              <w:lang w:val="en-US" w:eastAsia="zh-CN"/>
            </w:rPr>
            <w:t xml:space="preserve">4 </w:t>
          </w:r>
          <w:bookmarkStart w:id="321" w:name="_GoBack"/>
          <w:bookmarkEnd w:id="321"/>
          <w:r>
            <w:rPr>
              <w:rFonts w:hint="eastAsia" w:ascii="宋体" w:hAnsi="宋体" w:eastAsia="宋体" w:cs="宋体"/>
              <w:szCs w:val="24"/>
              <w:highlight w:val="none"/>
              <w:lang w:val="zh-CN" w:eastAsia="zh-CN"/>
            </w:rPr>
            <w:t>现场采样照片</w:t>
          </w:r>
          <w:r>
            <w:tab/>
          </w:r>
          <w:r>
            <w:fldChar w:fldCharType="begin"/>
          </w:r>
          <w:r>
            <w:instrText xml:space="preserve"> PAGEREF _Toc27863 \h </w:instrText>
          </w:r>
          <w:r>
            <w:fldChar w:fldCharType="separate"/>
          </w:r>
          <w:r>
            <w:t>53</w:t>
          </w:r>
          <w:r>
            <w:fldChar w:fldCharType="end"/>
          </w:r>
          <w:r>
            <w:fldChar w:fldCharType="end"/>
          </w:r>
        </w:p>
        <w:p>
          <w:pPr>
            <w:pStyle w:val="16"/>
            <w:tabs>
              <w:tab w:val="right" w:leader="dot" w:pos="8306"/>
            </w:tabs>
          </w:pPr>
          <w:r>
            <w:fldChar w:fldCharType="begin"/>
          </w:r>
          <w:r>
            <w:instrText xml:space="preserve"> HYPERLINK \l _Toc11257 </w:instrText>
          </w:r>
          <w:r>
            <w:fldChar w:fldCharType="separate"/>
          </w:r>
          <w:r>
            <w:rPr>
              <w:rFonts w:hint="eastAsia" w:ascii="宋体" w:hAnsi="宋体" w:eastAsia="宋体" w:cs="宋体"/>
              <w:bCs/>
              <w:szCs w:val="32"/>
              <w:lang w:val="en-US" w:eastAsia="zh-CN"/>
            </w:rPr>
            <w:t>附件1 检测报告</w:t>
          </w:r>
          <w:r>
            <w:tab/>
          </w:r>
          <w:r>
            <w:fldChar w:fldCharType="begin"/>
          </w:r>
          <w:r>
            <w:instrText xml:space="preserve"> PAGEREF _Toc11257 \h </w:instrText>
          </w:r>
          <w:r>
            <w:fldChar w:fldCharType="separate"/>
          </w:r>
          <w:r>
            <w:t>54</w:t>
          </w:r>
          <w:r>
            <w:fldChar w:fldCharType="end"/>
          </w:r>
          <w:r>
            <w:fldChar w:fldCharType="end"/>
          </w:r>
        </w:p>
        <w:p>
          <w:pPr>
            <w:pStyle w:val="16"/>
            <w:tabs>
              <w:tab w:val="right" w:leader="dot" w:pos="8306"/>
            </w:tabs>
          </w:pPr>
          <w:r>
            <w:fldChar w:fldCharType="begin"/>
          </w:r>
          <w:r>
            <w:instrText xml:space="preserve"> HYPERLINK \l _Toc7127 </w:instrText>
          </w:r>
          <w:r>
            <w:fldChar w:fldCharType="separate"/>
          </w:r>
          <w:r>
            <w:rPr>
              <w:rFonts w:hint="eastAsia" w:ascii="宋体" w:hAnsi="宋体" w:eastAsia="宋体" w:cs="宋体"/>
              <w:bCs/>
              <w:szCs w:val="32"/>
              <w:lang w:val="en-US" w:eastAsia="zh-CN"/>
            </w:rPr>
            <w:t>附件2 检测资质证书、附表</w:t>
          </w:r>
          <w:r>
            <w:tab/>
          </w:r>
          <w:r>
            <w:fldChar w:fldCharType="begin"/>
          </w:r>
          <w:r>
            <w:instrText xml:space="preserve"> PAGEREF _Toc7127 \h </w:instrText>
          </w:r>
          <w:r>
            <w:fldChar w:fldCharType="separate"/>
          </w:r>
          <w:r>
            <w:t>62</w:t>
          </w:r>
          <w:r>
            <w:fldChar w:fldCharType="end"/>
          </w:r>
          <w:r>
            <w:fldChar w:fldCharType="end"/>
          </w:r>
        </w:p>
        <w:p>
          <w:pPr>
            <w:pStyle w:val="16"/>
            <w:tabs>
              <w:tab w:val="right" w:leader="dot" w:pos="8306"/>
            </w:tabs>
          </w:pPr>
          <w:r>
            <w:fldChar w:fldCharType="begin"/>
          </w:r>
          <w:r>
            <w:instrText xml:space="preserve"> HYPERLINK \l _Toc3554 </w:instrText>
          </w:r>
          <w:r>
            <w:fldChar w:fldCharType="separate"/>
          </w:r>
          <w:r>
            <w:rPr>
              <w:rFonts w:hint="eastAsia" w:ascii="宋体" w:hAnsi="宋体" w:eastAsia="宋体" w:cs="宋体"/>
              <w:bCs/>
              <w:szCs w:val="28"/>
              <w:highlight w:val="none"/>
              <w:lang w:eastAsia="zh-CN"/>
            </w:rPr>
            <w:t>附件</w:t>
          </w:r>
          <w:r>
            <w:rPr>
              <w:rFonts w:hint="eastAsia" w:cs="宋体"/>
              <w:bCs/>
              <w:szCs w:val="28"/>
              <w:highlight w:val="none"/>
              <w:lang w:val="en-US" w:eastAsia="zh-CN"/>
            </w:rPr>
            <w:t>3</w:t>
          </w:r>
          <w:r>
            <w:rPr>
              <w:rFonts w:hint="eastAsia" w:ascii="宋体" w:hAnsi="宋体" w:eastAsia="宋体" w:cs="宋体"/>
              <w:bCs/>
              <w:szCs w:val="28"/>
              <w:highlight w:val="none"/>
              <w:lang w:val="en-US" w:eastAsia="zh-CN"/>
            </w:rPr>
            <w:t xml:space="preserve"> 岩土工程勘察报告（剖面图、钻孔柱状图）</w:t>
          </w:r>
          <w:r>
            <w:tab/>
          </w:r>
          <w:r>
            <w:fldChar w:fldCharType="begin"/>
          </w:r>
          <w:r>
            <w:instrText xml:space="preserve"> PAGEREF _Toc3554 \h </w:instrText>
          </w:r>
          <w:r>
            <w:fldChar w:fldCharType="separate"/>
          </w:r>
          <w:r>
            <w:t>78</w:t>
          </w:r>
          <w:r>
            <w:fldChar w:fldCharType="end"/>
          </w:r>
          <w:r>
            <w:fldChar w:fldCharType="end"/>
          </w:r>
        </w:p>
        <w:p>
          <w:r>
            <w:fldChar w:fldCharType="end"/>
          </w:r>
        </w:p>
      </w:sdtContent>
    </w:sdt>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sectPr>
          <w:footerReference r:id="rId4" w:type="default"/>
          <w:pgSz w:w="11906" w:h="16838"/>
          <w:pgMar w:top="1440" w:right="1800" w:bottom="1440" w:left="1800" w:header="851" w:footer="992" w:gutter="0"/>
          <w:pgNumType w:fmt="decimal" w:start="1"/>
          <w:cols w:space="720" w:num="1"/>
          <w:docGrid w:type="lines" w:linePitch="312" w:charSpace="0"/>
        </w:sectPr>
      </w:pPr>
    </w:p>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pPr>
      <w:bookmarkStart w:id="6" w:name="_Toc30828"/>
      <w:r>
        <w:rPr>
          <w:rFonts w:hint="eastAsia" w:ascii="宋体" w:hAnsi="宋体" w:eastAsia="宋体" w:cs="宋体"/>
          <w:b/>
          <w:bCs/>
          <w:color w:val="auto"/>
          <w:kern w:val="2"/>
          <w:sz w:val="28"/>
          <w:szCs w:val="32"/>
          <w:highlight w:val="none"/>
          <w:lang w:val="en-US" w:eastAsia="zh-CN" w:bidi="zh-CN"/>
        </w:rPr>
        <w:t>1.工作背景</w:t>
      </w:r>
      <w:bookmarkEnd w:id="6"/>
    </w:p>
    <w:p>
      <w:pPr>
        <w:spacing w:line="360" w:lineRule="auto"/>
        <w:outlineLvl w:val="9"/>
        <w:rPr>
          <w:rFonts w:hint="eastAsia" w:ascii="宋体" w:hAnsi="宋体" w:eastAsia="宋体" w:cs="宋体"/>
          <w:b w:val="0"/>
          <w:bCs w:val="0"/>
          <w:color w:val="auto"/>
          <w:highlight w:val="none"/>
        </w:rPr>
      </w:pPr>
      <w:bookmarkStart w:id="7" w:name="_Toc5620"/>
      <w:bookmarkStart w:id="8" w:name="_Toc19367"/>
      <w:bookmarkStart w:id="9" w:name="_Toc27972_WPSOffice_Level1"/>
      <w:bookmarkStart w:id="10" w:name="_Toc17333"/>
      <w:bookmarkStart w:id="11" w:name="_Toc12675"/>
      <w:bookmarkStart w:id="12" w:name="_Toc11735"/>
      <w:bookmarkStart w:id="13" w:name="_Toc26004755"/>
      <w:bookmarkStart w:id="14" w:name="_Toc3420"/>
      <w:bookmarkStart w:id="15" w:name="_Toc27886"/>
      <w:bookmarkStart w:id="16" w:name="_Toc31209"/>
      <w:bookmarkStart w:id="17" w:name="_Toc25756_WPSOffice_Level1"/>
      <w:bookmarkStart w:id="18" w:name="_Toc27381"/>
      <w:bookmarkStart w:id="19" w:name="_Toc31920"/>
      <w:bookmarkStart w:id="20" w:name="_Toc53736315"/>
      <w:r>
        <w:rPr>
          <w:rFonts w:hint="eastAsia" w:ascii="宋体" w:hAnsi="宋体" w:eastAsia="宋体" w:cs="宋体"/>
          <w:b w:val="0"/>
          <w:bCs w:val="0"/>
          <w:color w:val="auto"/>
          <w:spacing w:val="0"/>
          <w:sz w:val="28"/>
          <w:szCs w:val="28"/>
          <w:highlight w:val="none"/>
          <w:u w:val="none"/>
          <w:lang w:val="en-US" w:eastAsia="zh-CN"/>
        </w:rPr>
        <w:t xml:space="preserve">   </w:t>
      </w:r>
      <w:r>
        <w:rPr>
          <w:rFonts w:hint="eastAsia" w:ascii="宋体" w:hAnsi="宋体" w:eastAsia="宋体" w:cs="宋体"/>
          <w:color w:val="auto"/>
          <w:kern w:val="0"/>
          <w:sz w:val="28"/>
          <w:szCs w:val="28"/>
          <w:highlight w:val="none"/>
          <w:lang w:val="en-US" w:eastAsia="zh-CN" w:bidi="ar"/>
        </w:rPr>
        <w:t xml:space="preserve"> </w:t>
      </w:r>
      <w:r>
        <w:rPr>
          <w:rFonts w:hint="eastAsia" w:ascii="宋体" w:hAnsi="宋体" w:eastAsia="宋体" w:cs="宋体"/>
          <w:sz w:val="28"/>
          <w:szCs w:val="28"/>
          <w:lang w:val="en-US" w:eastAsia="zh-CN"/>
        </w:rPr>
        <w:t>三门峡十化昊昱化工有限公司原名三门峡昊昱化工有限公司。成立于2010年3月，于2012年3月建成投产，位于三门峡陕州区先进制造业开发区（原陕州区产业集聚区），企业于2020年8月换发了工商营业执照更为现名，公司法人由郭晓军变更为张艳丽。厂区总占地面积16657㎡（25亩），统一社会信用代码91411222551638107A 。主要生产、经营氯化石蜡产品及副产品盐酸等。</w:t>
      </w:r>
    </w:p>
    <w:p>
      <w:pPr>
        <w:pStyle w:val="8"/>
        <w:outlineLvl w:val="1"/>
        <w:rPr>
          <w:rFonts w:hint="eastAsia" w:ascii="宋体" w:hAnsi="宋体" w:eastAsia="宋体" w:cs="宋体"/>
          <w:color w:val="auto"/>
          <w:highlight w:val="none"/>
        </w:rPr>
      </w:pPr>
      <w:bookmarkStart w:id="21" w:name="_Toc11179"/>
      <w:r>
        <w:rPr>
          <w:rFonts w:hint="eastAsia" w:ascii="宋体" w:hAnsi="宋体" w:eastAsia="宋体" w:cs="宋体"/>
          <w:color w:val="auto"/>
          <w:highlight w:val="none"/>
        </w:rPr>
        <w:t>1.1编制背景</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hint="eastAsia" w:ascii="宋体" w:hAnsi="宋体" w:eastAsia="宋体" w:cs="宋体"/>
          <w:color w:val="auto"/>
          <w:highlight w:val="none"/>
          <w:lang w:val="en-US" w:eastAsia="zh-CN"/>
        </w:rPr>
        <w:t xml:space="preserve">  </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2016年5月《土壤污染防治行动计划》中指出：重点行业企业要依据有关规定，向社会公开其产生的污染物名称、排放方式、排放浓度、排放总量，以及污染防治设施建设和运行情况。各地要根据工矿企业分布和污染排放情况，确定土壤环境重点监管企业名单，实行动态更新，并向社会公布。列入名单的企业每年要自行对其用地进行土壤环境监测，结果向社会公开。</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2018年5月《工矿用地土壤环境管理办法》中：重点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1月1日起实施的《中华人民共和国土壤污染防治法》第二十一条：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11月《工业企业土壤和地下水自行监测技术指南（试行）》（HJ1209-2021）规定了企业土壤和地下水自行监测过程中监测方案制定；样品采集、保存、流转及分析测试；监测结果分析；监测报告编制及监测设施维护的基本内容和要求。指导了土壤环境重点监管企业开展土壤和地下水自行监测工作。</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关于更新2023年土壤、地下水环境重点监管单位名录的公示》和《三门峡市生态环境局第二分局关于土壤污染重点监管单位切实履行土壤污染防治相关义务的通知》等文件要求，三门峡十化昊昱化工有限公司被列入</w:t>
      </w:r>
      <w:r>
        <w:rPr>
          <w:rFonts w:hint="eastAsia" w:ascii="宋体" w:hAnsi="宋体" w:eastAsia="宋体" w:cs="宋体"/>
          <w:sz w:val="28"/>
          <w:szCs w:val="28"/>
          <w:lang w:val="en-US" w:eastAsia="zh-Hans"/>
        </w:rPr>
        <w:t>三门峡市</w:t>
      </w:r>
      <w:r>
        <w:rPr>
          <w:rFonts w:hint="eastAsia" w:ascii="宋体" w:hAnsi="宋体" w:eastAsia="宋体" w:cs="宋体"/>
          <w:sz w:val="28"/>
          <w:szCs w:val="28"/>
          <w:lang w:val="en-US" w:eastAsia="zh-CN"/>
        </w:rPr>
        <w:t>2023年土壤污染重点监管单位名录。</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完成土壤污染防治工作，洛阳市达峰环境检测有限公司提供技术支持，与三门峡十化昊昱化工有限公司共同开展企业年度土壤和地下水自行监测工作。经过技术人员到现场对企业现状及周边情况进行了详细调查，收集相关资料，依据《在产企业土壤和地下水自行监测技术指南》及有关标准，结合企业实践，编制了《三门峡十化昊昱化工有限公司土壤和地下水自行监测方案》。</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结合资料收集、现场勘查、人员访谈和重点区域及重点设施识别等工作，重点排查对象为三门峡十化昊昱化工有限公司可能涉及土壤和地下水污染的工业活动或设施，依据国家相关政策、标准、导则等要求，结合企业性质和特征污染物，制定了《三门峡十化昊昱化工有限公司土壤和地下水监测方案》。</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本次地下水调查范围包括厂区地下水井和园区地下水井；本次土壤调查范围包括但不限于：</w:t>
      </w:r>
      <w:bookmarkStart w:id="22" w:name="_Toc25635_WPSOffice_Level1"/>
      <w:bookmarkStart w:id="23" w:name="_Toc26004756"/>
      <w:bookmarkStart w:id="24" w:name="_Toc9357"/>
      <w:bookmarkStart w:id="25" w:name="_Toc758"/>
      <w:bookmarkStart w:id="26" w:name="_Toc15642"/>
      <w:bookmarkStart w:id="27" w:name="_Toc20608"/>
      <w:bookmarkStart w:id="28" w:name="_Toc26300"/>
      <w:bookmarkStart w:id="29" w:name="_Toc10378"/>
      <w:bookmarkStart w:id="30" w:name="_Toc15774"/>
      <w:bookmarkStart w:id="31" w:name="_Toc22199821"/>
      <w:bookmarkStart w:id="32" w:name="_Toc17769"/>
      <w:bookmarkStart w:id="33" w:name="_Toc22163"/>
      <w:bookmarkStart w:id="34" w:name="_Toc7590"/>
      <w:bookmarkStart w:id="35" w:name="_Toc53736316"/>
      <w:bookmarkStart w:id="36" w:name="_Toc22773_WPSOffice_Level2"/>
      <w:bookmarkStart w:id="37" w:name="_Toc16632"/>
      <w:r>
        <w:rPr>
          <w:rFonts w:hint="eastAsia" w:ascii="宋体" w:hAnsi="宋体" w:eastAsia="宋体" w:cs="宋体"/>
          <w:sz w:val="28"/>
          <w:szCs w:val="28"/>
          <w:lang w:val="en-US" w:eastAsia="zh-CN"/>
        </w:rPr>
        <w:t>厂区成品仓库、液氯气化区、应急罐、液氯槽车区、液蜡罐区、盐酸罐区、氯化车间、盐酸吸收区、烧碱、成品次氯酸钠区等为重点区域。三门峡十化昊昱化工有限公司厂区内无地下水监测井，公司于2018年8月委托中水电第十一工程局(郑州)有限公司编制了《三门峡十化昊昱化工有限公司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十化昊昱化工有限公司建设项目岩土工程勘察报告）。</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鉴于以上情况，2023年6月18日-6月28日，公司委托洛阳市达峰环境检测有限公司对厂区土壤开展监测。根据2023年6月28日出具的《三门峡十化昊昱化工有限公司土壤检测报告》（报告编号：DFJC-008-06-2023），报告中结合企业厂区生产设施分布和生产工艺等实际情况，确定土壤监测点位置及数量7个（其中6个监控点，1个背景点），但具备取样条件的土壤监测点位置及数量为2个（1个成品罐区、成品库区监控点，1个土壤背景监测点）。其他5个点位不具备取样条件的原因为：液蜡罐区、盐酸罐区、吸收区、气化区和生产装置区、氯气库和液氯应急罐区5个点位地面已硬化无法取样。 </w:t>
      </w:r>
    </w:p>
    <w:p>
      <w:pPr>
        <w:spacing w:line="360" w:lineRule="auto"/>
        <w:ind w:firstLine="560" w:firstLineChars="20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鉴于三门峡十化昊昱化工有限公司现场地面已硬化不具备取样条件的实际情况，生态环境部《关于土壤破坏性监测问题的回复》明确，如果项目场地已经做了防腐防渗(包括硬化)处理无法取样，可不取样监测，但需要详细说明无法取样原因。</w:t>
      </w:r>
    </w:p>
    <w:p>
      <w:pPr>
        <w:pStyle w:val="2"/>
        <w:ind w:left="0" w:leftChars="0" w:firstLine="0" w:firstLineChars="0"/>
        <w:rPr>
          <w:rFonts w:hint="eastAsia"/>
        </w:rPr>
      </w:pPr>
      <w:r>
        <w:rPr>
          <w:rFonts w:hint="eastAsia" w:ascii="宋体" w:hAnsi="宋体" w:eastAsia="宋体" w:cs="宋体"/>
          <w:color w:val="auto"/>
          <w:sz w:val="28"/>
          <w:szCs w:val="28"/>
          <w:highlight w:val="none"/>
        </w:rPr>
        <w:drawing>
          <wp:inline distT="0" distB="0" distL="114300" distR="114300">
            <wp:extent cx="5539740" cy="3549650"/>
            <wp:effectExtent l="0" t="0" r="10160" b="6350"/>
            <wp:docPr id="7" name="图片 7" descr="c57290342c5073d236d85a008f4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7290342c5073d236d85a008f47f11"/>
                    <pic:cNvPicPr>
                      <a:picLocks noChangeAspect="1"/>
                    </pic:cNvPicPr>
                  </pic:nvPicPr>
                  <pic:blipFill>
                    <a:blip r:embed="rId10"/>
                    <a:stretch>
                      <a:fillRect/>
                    </a:stretch>
                  </pic:blipFill>
                  <pic:spPr>
                    <a:xfrm>
                      <a:off x="0" y="0"/>
                      <a:ext cx="5539740" cy="3549650"/>
                    </a:xfrm>
                    <a:prstGeom prst="rect">
                      <a:avLst/>
                    </a:prstGeom>
                  </pic:spPr>
                </pic:pic>
              </a:graphicData>
            </a:graphic>
          </wp:inline>
        </w:drawing>
      </w:r>
    </w:p>
    <w:p>
      <w:pPr>
        <w:pStyle w:val="5"/>
        <w:ind w:left="0" w:leftChars="0" w:firstLine="0" w:firstLineChars="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图3生态环境部关于土壤破坏性监测问题的回复</w:t>
      </w:r>
    </w:p>
    <w:p>
      <w:pPr>
        <w:pStyle w:val="8"/>
        <w:outlineLvl w:val="1"/>
        <w:rPr>
          <w:rFonts w:hint="eastAsia" w:ascii="宋体" w:hAnsi="宋体" w:eastAsia="宋体" w:cs="宋体"/>
          <w:color w:val="auto"/>
          <w:highlight w:val="none"/>
        </w:rPr>
      </w:pPr>
      <w:bookmarkStart w:id="38" w:name="_Toc11383"/>
      <w:r>
        <w:rPr>
          <w:rFonts w:hint="eastAsia" w:ascii="宋体" w:hAnsi="宋体" w:eastAsia="宋体" w:cs="宋体"/>
          <w:color w:val="auto"/>
          <w:highlight w:val="none"/>
        </w:rPr>
        <w:t>1.2</w:t>
      </w:r>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eastAsia="宋体" w:cs="宋体"/>
          <w:color w:val="auto"/>
          <w:highlight w:val="none"/>
          <w:lang w:eastAsia="zh-CN"/>
        </w:rPr>
        <w:t>工作</w:t>
      </w:r>
      <w:r>
        <w:rPr>
          <w:rFonts w:hint="eastAsia" w:ascii="宋体" w:hAnsi="宋体" w:eastAsia="宋体" w:cs="宋体"/>
          <w:color w:val="auto"/>
          <w:highlight w:val="none"/>
        </w:rPr>
        <w:t>依据</w:t>
      </w:r>
      <w:bookmarkEnd w:id="38"/>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.1法律、法规、</w:t>
      </w:r>
      <w:bookmarkStart w:id="39" w:name="_Toc27394_WPSOffice_Level1"/>
      <w:r>
        <w:rPr>
          <w:rFonts w:hint="eastAsia" w:ascii="宋体" w:hAnsi="宋体" w:eastAsia="宋体" w:cs="宋体"/>
          <w:color w:val="auto"/>
          <w:sz w:val="28"/>
          <w:szCs w:val="28"/>
          <w:highlight w:val="none"/>
          <w:u w:val="none"/>
        </w:rPr>
        <w:t>政策</w:t>
      </w:r>
    </w:p>
    <w:bookmarkEnd w:id="39"/>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（1）《中华人民共和国环境保护法》（2014.4.24）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）《中华人民共和国水污染防治法》（2017.6.27）</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3</w:t>
      </w:r>
      <w:r>
        <w:rPr>
          <w:rFonts w:hint="eastAsia" w:ascii="宋体" w:hAnsi="宋体" w:eastAsia="宋体" w:cs="宋体"/>
          <w:color w:val="auto"/>
          <w:sz w:val="28"/>
          <w:szCs w:val="28"/>
          <w:highlight w:val="none"/>
          <w:u w:val="none"/>
        </w:rPr>
        <w:t>）《中华人民共和国土壤污染防治法》（2019.1.1）</w:t>
      </w:r>
    </w:p>
    <w:p>
      <w:pPr>
        <w:keepNext w:val="0"/>
        <w:keepLines w:val="0"/>
        <w:pageBreakBefore w:val="0"/>
        <w:widowControl/>
        <w:kinsoku/>
        <w:wordWrap/>
        <w:overflowPunct/>
        <w:topLinePunct w:val="0"/>
        <w:autoSpaceDE/>
        <w:autoSpaceDN/>
        <w:bidi w:val="0"/>
        <w:adjustRightInd/>
        <w:snapToGrid/>
        <w:spacing w:line="360" w:lineRule="auto"/>
        <w:ind w:right="0" w:firstLine="560" w:firstLineChars="200"/>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4</w:t>
      </w:r>
      <w:r>
        <w:rPr>
          <w:rFonts w:hint="eastAsia" w:ascii="宋体" w:hAnsi="宋体" w:eastAsia="宋体" w:cs="宋体"/>
          <w:color w:val="auto"/>
          <w:sz w:val="28"/>
          <w:szCs w:val="28"/>
          <w:highlight w:val="none"/>
          <w:u w:val="none"/>
        </w:rPr>
        <w:t>）《建设项目环境保护管理条例》（国务院令第682号）</w:t>
      </w:r>
      <w:r>
        <w:rPr>
          <w:rFonts w:hint="eastAsia" w:ascii="宋体" w:hAnsi="宋体" w:eastAsia="宋体" w:cs="宋体"/>
          <w:color w:val="auto"/>
          <w:sz w:val="28"/>
          <w:szCs w:val="28"/>
          <w:highlight w:val="none"/>
          <w:u w:val="none"/>
          <w:lang w:val="en-US"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1.2.2部门规章及相关规范性文件</w:t>
      </w:r>
    </w:p>
    <w:bookmarkEnd w:id="36"/>
    <w:bookmarkEnd w:id="37"/>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bookmarkStart w:id="40" w:name="_Toc22210"/>
      <w:r>
        <w:rPr>
          <w:rFonts w:hint="eastAsia" w:ascii="宋体" w:hAnsi="宋体" w:eastAsia="宋体" w:cs="宋体"/>
          <w:color w:val="auto"/>
          <w:sz w:val="28"/>
          <w:szCs w:val="28"/>
          <w:highlight w:val="none"/>
          <w:u w:val="none"/>
        </w:rPr>
        <w:t>（1）《全国生态环境保护纲要》（国发〔2000〕38号），2000年12月21日；</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（2）《全国地下水污染物防治规划（2011-2020）》（环发〔2011〕128号）；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（3）《国务院关于落实科学发展观加强环境保护的决定》（国发〔2005〕39号），2005年12月3号；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（4）《国务院关于加强环境保护重点工作的意见》（国发〔2011〕35号）；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（5）《水污染防治行动计划》（国发〔2015〕17号）；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（6）《土壤污染防治行动计划》（国发〔2016〕31号）；</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（7）《工矿用地土壤环境管理办法（试行）》（生态环境部令第3号）；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（8）《关于加强涉重金属行业污染防控的意见》（环土壤〔2018〕22号）；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《企业突发环境事件隐患排查和治理工作指南》（2016年，生态环境部公告第74号）；</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10</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重点单位土壤污染隐患排查指南（试行）</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rPr>
        <w:t>生态环境部2021年第1号</w:t>
      </w:r>
      <w:r>
        <w:rPr>
          <w:rFonts w:hint="eastAsia" w:ascii="宋体" w:hAnsi="宋体" w:eastAsia="宋体" w:cs="宋体"/>
          <w:color w:val="auto"/>
          <w:sz w:val="28"/>
          <w:szCs w:val="28"/>
          <w:highlight w:val="none"/>
          <w:u w:val="none"/>
          <w:lang w:eastAsia="zh-CN"/>
        </w:rPr>
        <w:t>）；</w:t>
      </w:r>
    </w:p>
    <w:p>
      <w:pPr>
        <w:pageBreakBefore w:val="0"/>
        <w:kinsoku/>
        <w:wordWrap/>
        <w:overflowPunct/>
        <w:topLinePunct w:val="0"/>
        <w:bidi w:val="0"/>
        <w:spacing w:line="360" w:lineRule="auto"/>
        <w:ind w:left="0" w:leftChars="0" w:right="0" w:firstLine="560"/>
        <w:outlineLvl w:val="3"/>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“十四五”土壤、地下水和农村生态环境保护规划</w:t>
      </w: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w:t>
      </w:r>
    </w:p>
    <w:p>
      <w:pPr>
        <w:pageBreakBefore w:val="0"/>
        <w:widowControl/>
        <w:kinsoku/>
        <w:wordWrap/>
        <w:overflowPunct/>
        <w:topLinePunct w:val="0"/>
        <w:autoSpaceDE/>
        <w:autoSpaceDN/>
        <w:bidi w:val="0"/>
        <w:spacing w:line="360" w:lineRule="auto"/>
        <w:ind w:right="0"/>
        <w:textAlignment w:val="auto"/>
        <w:rPr>
          <w:rFonts w:hint="eastAsia" w:ascii="宋体" w:hAnsi="宋体" w:eastAsia="宋体" w:cs="宋体"/>
          <w:color w:val="auto"/>
          <w:sz w:val="28"/>
          <w:szCs w:val="28"/>
          <w:highlight w:val="none"/>
          <w:u w:val="none"/>
        </w:rPr>
      </w:pP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.3地方性法规、规章及相关规范文件</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《河南省建设项目环境保护条例》，2016年修订；</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《河南省减少污染物排放条例》，2014年1月1日；</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《河南省水污染防治条例》，2010年3月1日起施行；</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《河南省清洁土壤行动计划》（豫政〔2017〕13号）；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《河南省人民政府关于打好土壤污染防治攻坚战实施意见》（豫政〔2017〕45号）；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《河南省重金属污染防治工作指导意见》（豫环文〔2017〕277号）；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《河南省环境保护厅关于印发河南省涉重金属重点行业污染防控工作方案的通知》（豫环文〔2018〕262号）；</w:t>
      </w:r>
    </w:p>
    <w:p>
      <w:pPr>
        <w:pageBreakBefore w:val="0"/>
        <w:widowControl/>
        <w:numPr>
          <w:ilvl w:val="0"/>
          <w:numId w:val="2"/>
        </w:numPr>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河南省生态环境厅</w:t>
      </w:r>
      <w:r>
        <w:rPr>
          <w:rFonts w:hint="eastAsia" w:ascii="宋体" w:hAnsi="宋体" w:eastAsia="宋体" w:cs="宋体"/>
          <w:color w:val="auto"/>
          <w:sz w:val="28"/>
          <w:szCs w:val="28"/>
          <w:highlight w:val="none"/>
          <w:u w:val="none"/>
        </w:rPr>
        <w:t>关于印发土壤污染重点监管单位隐患排查“回头看”工作方案的通知</w:t>
      </w:r>
      <w:r>
        <w:rPr>
          <w:rFonts w:hint="eastAsia" w:ascii="宋体" w:hAnsi="宋体" w:eastAsia="宋体" w:cs="宋体"/>
          <w:color w:val="auto"/>
          <w:sz w:val="28"/>
          <w:szCs w:val="28"/>
          <w:highlight w:val="none"/>
          <w:u w:val="none"/>
          <w:lang w:eastAsia="zh-CN"/>
        </w:rPr>
        <w:t>》；</w:t>
      </w:r>
    </w:p>
    <w:p>
      <w:pPr>
        <w:pageBreakBefore w:val="0"/>
        <w:numPr>
          <w:ilvl w:val="0"/>
          <w:numId w:val="2"/>
        </w:numPr>
        <w:kinsoku/>
        <w:wordWrap/>
        <w:overflowPunct/>
        <w:topLinePunct w:val="0"/>
        <w:bidi w:val="0"/>
        <w:spacing w:line="360" w:lineRule="auto"/>
        <w:ind w:left="0" w:leftChars="0" w:right="0" w:firstLine="560" w:firstLineChars="20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《关于更新2023年土壤、地下水环境重点监管单位名录的公示》</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bookmarkStart w:id="41" w:name="_Toc20868_WPSOffice_Level2"/>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.4技术规范</w:t>
      </w:r>
      <w:bookmarkEnd w:id="41"/>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（1）《污染场地术语》（HJ682-2014）；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（5）《地下水环境监测技术规范》（HJ164－20</w:t>
      </w:r>
      <w:r>
        <w:rPr>
          <w:rFonts w:hint="eastAsia" w:ascii="宋体" w:hAnsi="宋体" w:eastAsia="宋体" w:cs="宋体"/>
          <w:color w:val="auto"/>
          <w:sz w:val="28"/>
          <w:szCs w:val="28"/>
          <w:highlight w:val="none"/>
          <w:u w:val="none"/>
          <w:lang w:val="en-US" w:eastAsia="zh-CN"/>
        </w:rPr>
        <w:t>20</w:t>
      </w:r>
      <w:r>
        <w:rPr>
          <w:rFonts w:hint="eastAsia" w:ascii="宋体" w:hAnsi="宋体" w:eastAsia="宋体" w:cs="宋体"/>
          <w:color w:val="auto"/>
          <w:sz w:val="28"/>
          <w:szCs w:val="28"/>
          <w:highlight w:val="none"/>
          <w:u w:val="none"/>
        </w:rPr>
        <w:t>)；</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（6）《土壤环境监测技术规范》（HJ/T166-2004）；</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（7）《排污单位自行监测技术指南总则》（HJ819-2017）；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8</w:t>
      </w:r>
      <w:r>
        <w:rPr>
          <w:rFonts w:hint="eastAsia" w:ascii="宋体" w:hAnsi="宋体" w:eastAsia="宋体" w:cs="宋体"/>
          <w:color w:val="auto"/>
          <w:sz w:val="28"/>
          <w:szCs w:val="28"/>
          <w:highlight w:val="none"/>
          <w:u w:val="none"/>
        </w:rPr>
        <w:t>）《土壤环境质量建设用地土壤污染风险管控标准（试行）》（GB36600-2018）；</w:t>
      </w:r>
    </w:p>
    <w:p>
      <w:pPr>
        <w:pageBreakBefore w:val="0"/>
        <w:widowControl/>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）《地下水质量标准》（GB/T</w:t>
      </w:r>
      <w:r>
        <w:rPr>
          <w:rFonts w:hint="eastAsia" w:ascii="宋体" w:hAnsi="宋体" w:eastAsia="宋体" w:cs="宋体"/>
          <w:color w:val="auto"/>
          <w:sz w:val="28"/>
          <w:szCs w:val="28"/>
          <w:highlight w:val="none"/>
          <w:u w:val="none"/>
          <w:lang w:val="en-US" w:eastAsia="zh-CN"/>
        </w:rPr>
        <w:t>1</w:t>
      </w:r>
      <w:r>
        <w:rPr>
          <w:rFonts w:hint="eastAsia" w:ascii="宋体" w:hAnsi="宋体" w:eastAsia="宋体" w:cs="宋体"/>
          <w:color w:val="auto"/>
          <w:sz w:val="28"/>
          <w:szCs w:val="28"/>
          <w:highlight w:val="none"/>
          <w:u w:val="none"/>
        </w:rPr>
        <w:t>4848-2017）；</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0</w:t>
      </w:r>
      <w:r>
        <w:rPr>
          <w:rFonts w:hint="eastAsia" w:ascii="宋体" w:hAnsi="宋体" w:eastAsia="宋体" w:cs="宋体"/>
          <w:color w:val="auto"/>
          <w:sz w:val="28"/>
          <w:szCs w:val="28"/>
          <w:highlight w:val="none"/>
          <w:u w:val="none"/>
        </w:rPr>
        <w:t>）《在产企业土壤及地下水自行监测技术指南》（征求意见稿）。</w:t>
      </w:r>
    </w:p>
    <w:p>
      <w:pPr>
        <w:pageBreakBefore w:val="0"/>
        <w:widowControl/>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lang w:eastAsia="zh-CN"/>
        </w:rPr>
        <w:t>（</w:t>
      </w:r>
      <w:r>
        <w:rPr>
          <w:rFonts w:hint="eastAsia" w:ascii="宋体" w:hAnsi="宋体" w:eastAsia="宋体" w:cs="宋体"/>
          <w:color w:val="auto"/>
          <w:sz w:val="28"/>
          <w:szCs w:val="28"/>
          <w:highlight w:val="none"/>
          <w:u w:val="none"/>
          <w:lang w:val="en-US" w:eastAsia="zh-CN"/>
        </w:rPr>
        <w:t>11</w:t>
      </w:r>
      <w:r>
        <w:rPr>
          <w:rFonts w:hint="eastAsia" w:ascii="宋体" w:hAnsi="宋体" w:eastAsia="宋体" w:cs="宋体"/>
          <w:color w:val="auto"/>
          <w:sz w:val="28"/>
          <w:szCs w:val="28"/>
          <w:highlight w:val="none"/>
          <w:u w:val="none"/>
          <w:lang w:eastAsia="zh-CN"/>
        </w:rPr>
        <w:t>）《工业企业土壤和地下水自行监测技术指南（试行）》（HJ1209—2021）；</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val="en-US" w:eastAsia="zh-CN"/>
        </w:rPr>
        <w:t>（12）</w:t>
      </w:r>
      <w:r>
        <w:rPr>
          <w:rFonts w:hint="eastAsia" w:ascii="宋体" w:hAnsi="宋体" w:eastAsia="宋体" w:cs="宋体"/>
          <w:color w:val="auto"/>
          <w:sz w:val="28"/>
          <w:szCs w:val="28"/>
          <w:highlight w:val="none"/>
          <w:u w:val="none"/>
        </w:rPr>
        <w:t>《场地环境调查技术指导》（HJ25.1-201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p>
    <w:p>
      <w:pPr>
        <w:pageBreakBefore w:val="0"/>
        <w:kinsoku/>
        <w:wordWrap/>
        <w:overflowPunct/>
        <w:topLinePunct w:val="0"/>
        <w:bidi w:val="0"/>
        <w:spacing w:line="360" w:lineRule="auto"/>
        <w:ind w:left="0" w:leftChars="0" w:right="0" w:firstLine="560"/>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val="en-US" w:eastAsia="zh-CN"/>
        </w:rPr>
        <w:t>13</w:t>
      </w:r>
      <w:r>
        <w:rPr>
          <w:rFonts w:hint="eastAsia" w:ascii="宋体" w:hAnsi="宋体" w:eastAsia="宋体" w:cs="宋体"/>
          <w:color w:val="auto"/>
          <w:sz w:val="28"/>
          <w:szCs w:val="28"/>
          <w:highlight w:val="none"/>
          <w:u w:val="none"/>
        </w:rPr>
        <w:t>）《场地环境监测技术导则》（HJ25.2-201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sz w:val="28"/>
          <w:szCs w:val="28"/>
          <w:highlight w:val="none"/>
          <w:u w:val="none"/>
          <w:lang w:eastAsia="zh-CN"/>
        </w:rPr>
        <w:t>。</w:t>
      </w:r>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highlight w:val="none"/>
          <w:u w:val="none"/>
        </w:rPr>
      </w:pPr>
      <w:r>
        <w:rPr>
          <w:rFonts w:hint="eastAsia" w:ascii="宋体" w:hAnsi="宋体" w:eastAsia="宋体" w:cs="宋体"/>
          <w:color w:val="auto"/>
          <w:sz w:val="28"/>
          <w:highlight w:val="none"/>
          <w:u w:val="none"/>
        </w:rPr>
        <w:t>1.</w:t>
      </w:r>
      <w:r>
        <w:rPr>
          <w:rFonts w:hint="eastAsia" w:ascii="宋体" w:hAnsi="宋体" w:eastAsia="宋体" w:cs="宋体"/>
          <w:color w:val="auto"/>
          <w:sz w:val="28"/>
          <w:highlight w:val="none"/>
          <w:u w:val="none"/>
          <w:lang w:val="en-US" w:eastAsia="zh-CN"/>
        </w:rPr>
        <w:t>2</w:t>
      </w:r>
      <w:r>
        <w:rPr>
          <w:rFonts w:hint="eastAsia" w:ascii="宋体" w:hAnsi="宋体" w:eastAsia="宋体" w:cs="宋体"/>
          <w:color w:val="auto"/>
          <w:sz w:val="28"/>
          <w:highlight w:val="none"/>
          <w:u w:val="none"/>
        </w:rPr>
        <w:t>.5收集资料</w:t>
      </w:r>
    </w:p>
    <w:p>
      <w:pPr>
        <w:pStyle w:val="41"/>
        <w:keepNext w:val="0"/>
        <w:keepLines w:val="0"/>
        <w:pageBreakBefore w:val="0"/>
        <w:widowControl w:val="0"/>
        <w:numPr>
          <w:ilvl w:val="0"/>
          <w:numId w:val="0"/>
        </w:numPr>
        <w:tabs>
          <w:tab w:val="left" w:pos="1622"/>
        </w:tabs>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（1） 《三门峡昊昱化工有限公司年产4万吨氯化石蜡项目环境影响报告书》；郑州大学环境技术咨询有限公司，2010年2月；</w:t>
      </w:r>
    </w:p>
    <w:p>
      <w:pPr>
        <w:pStyle w:val="41"/>
        <w:keepNext w:val="0"/>
        <w:keepLines w:val="0"/>
        <w:pageBreakBefore w:val="0"/>
        <w:widowControl w:val="0"/>
        <w:numPr>
          <w:ilvl w:val="0"/>
          <w:numId w:val="0"/>
        </w:numPr>
        <w:tabs>
          <w:tab w:val="left" w:pos="1629"/>
        </w:tabs>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（2） 《三门峡昊昱化工有限公司年产4万吨氯化石蜡项目环境影响报告书》环评批复，三门峡生态环境局，三环[2010]229号，2010年9月；</w:t>
      </w:r>
    </w:p>
    <w:p>
      <w:pPr>
        <w:autoSpaceDE w:val="0"/>
        <w:autoSpaceDN w:val="0"/>
        <w:spacing w:line="520" w:lineRule="exact"/>
        <w:ind w:firstLine="560" w:firstLineChars="200"/>
        <w:jc w:val="left"/>
        <w:rPr>
          <w:rFonts w:hint="eastAsia" w:ascii="宋体" w:hAnsi="宋体" w:eastAsia="宋体" w:cs="宋体"/>
          <w:color w:val="auto"/>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（3）现场勘查资料及企业</w:t>
      </w:r>
      <w:r>
        <w:rPr>
          <w:rFonts w:hint="eastAsia" w:ascii="宋体" w:hAnsi="宋体" w:eastAsia="宋体" w:cs="宋体"/>
          <w:color w:val="auto"/>
          <w:sz w:val="28"/>
          <w:szCs w:val="28"/>
          <w:highlight w:val="none"/>
          <w:u w:val="none"/>
          <w:lang w:val="en-US" w:eastAsia="zh-CN" w:bidi="ar-SA"/>
        </w:rPr>
        <w:t>提供的其他相关资料。</w:t>
      </w:r>
    </w:p>
    <w:p>
      <w:pPr>
        <w:pStyle w:val="8"/>
        <w:outlineLvl w:val="1"/>
        <w:rPr>
          <w:rFonts w:hint="eastAsia" w:ascii="宋体" w:hAnsi="宋体" w:eastAsia="宋体" w:cs="宋体"/>
          <w:color w:val="auto"/>
          <w:highlight w:val="none"/>
          <w:lang w:val="en-US" w:eastAsia="zh-CN"/>
        </w:rPr>
      </w:pPr>
      <w:bookmarkStart w:id="42" w:name="_Toc1958"/>
      <w:r>
        <w:rPr>
          <w:rFonts w:hint="eastAsia" w:ascii="宋体" w:hAnsi="宋体" w:eastAsia="宋体" w:cs="宋体"/>
          <w:color w:val="auto"/>
          <w:highlight w:val="none"/>
          <w:lang w:val="en-US" w:eastAsia="zh-CN"/>
        </w:rPr>
        <w:t>1.3工作内容及技术路线</w:t>
      </w:r>
      <w:bookmarkEnd w:id="40"/>
      <w:bookmarkEnd w:id="42"/>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43" w:name="_Toc26988"/>
      <w:bookmarkStart w:id="44" w:name="_Toc21910"/>
      <w:bookmarkStart w:id="45" w:name="_Toc28139"/>
      <w:bookmarkStart w:id="46" w:name="_Toc6562"/>
      <w:r>
        <w:rPr>
          <w:rFonts w:hint="eastAsia" w:ascii="宋体" w:hAnsi="宋体" w:eastAsia="宋体" w:cs="宋体"/>
          <w:color w:val="auto"/>
          <w:spacing w:val="0"/>
          <w:sz w:val="28"/>
          <w:szCs w:val="28"/>
          <w:highlight w:val="none"/>
          <w:u w:val="none"/>
          <w:lang w:val="en-US" w:eastAsia="zh-CN"/>
        </w:rPr>
        <w:t>本次监测范围为企业厂区范围内的土壤。主要工作内容如下：场地历史资料收集和初步整理、现场踏勘和人员访谈、工作方案编制、样品采集分析测试、综合研究分析与报告编制。</w:t>
      </w:r>
      <w:bookmarkEnd w:id="43"/>
      <w:bookmarkEnd w:id="44"/>
      <w:bookmarkEnd w:id="45"/>
      <w:bookmarkEnd w:id="46"/>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47" w:name="_Toc24316"/>
      <w:bookmarkStart w:id="48" w:name="_Toc18438"/>
      <w:bookmarkStart w:id="49" w:name="_Toc26167"/>
      <w:bookmarkStart w:id="50" w:name="_Toc27595"/>
      <w:r>
        <w:rPr>
          <w:rFonts w:hint="eastAsia" w:ascii="宋体" w:hAnsi="宋体" w:eastAsia="宋体" w:cs="宋体"/>
          <w:color w:val="auto"/>
          <w:spacing w:val="0"/>
          <w:sz w:val="28"/>
          <w:szCs w:val="28"/>
          <w:highlight w:val="none"/>
          <w:u w:val="none"/>
          <w:lang w:val="en-US" w:eastAsia="zh-CN"/>
        </w:rPr>
        <w:t>企业资料收集和初步整理：通过多种渠道和方式收集企业资料并整理，根据企业生产经营资料对企业土壤进行初步研判。收集地块周边环境资料，尤其是土壤和周围水环境的历史资料信息，初步判断存在土壤污染隐患重点区域。</w:t>
      </w:r>
      <w:bookmarkEnd w:id="47"/>
      <w:bookmarkEnd w:id="48"/>
      <w:bookmarkEnd w:id="49"/>
      <w:bookmarkEnd w:id="50"/>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51" w:name="_Toc25966"/>
      <w:bookmarkStart w:id="52" w:name="_Toc20285"/>
      <w:bookmarkStart w:id="53" w:name="_Toc22343"/>
      <w:bookmarkStart w:id="54" w:name="_Toc15315"/>
      <w:r>
        <w:rPr>
          <w:rFonts w:hint="eastAsia" w:ascii="宋体" w:hAnsi="宋体" w:eastAsia="宋体" w:cs="宋体"/>
          <w:color w:val="auto"/>
          <w:spacing w:val="0"/>
          <w:sz w:val="28"/>
          <w:szCs w:val="28"/>
          <w:highlight w:val="none"/>
          <w:u w:val="none"/>
          <w:lang w:val="en-US" w:eastAsia="zh-CN"/>
        </w:rPr>
        <w:t>现场踏勘：实地踏勘场地时，利用激光测距仪测量场地距离，用GPS对企业地块进行精准定位，生产环境进行拍照记录。</w:t>
      </w:r>
      <w:bookmarkEnd w:id="51"/>
      <w:bookmarkEnd w:id="52"/>
      <w:bookmarkEnd w:id="53"/>
      <w:bookmarkEnd w:id="54"/>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55" w:name="_Toc25848"/>
      <w:bookmarkStart w:id="56" w:name="_Toc9347"/>
      <w:bookmarkStart w:id="57" w:name="_Toc6135"/>
      <w:bookmarkStart w:id="58" w:name="_Toc32054"/>
      <w:r>
        <w:rPr>
          <w:rFonts w:hint="eastAsia" w:ascii="宋体" w:hAnsi="宋体" w:eastAsia="宋体" w:cs="宋体"/>
          <w:color w:val="auto"/>
          <w:spacing w:val="0"/>
          <w:sz w:val="28"/>
          <w:szCs w:val="28"/>
          <w:highlight w:val="none"/>
          <w:u w:val="none"/>
          <w:lang w:val="en-US" w:eastAsia="zh-CN"/>
        </w:rPr>
        <w:t>人员访谈：对企业工作人员和管理领导人员等进行访谈，对资料收集和现场踏勘所涉及的疑问，以及信息补充和已有资料的考证。</w:t>
      </w:r>
      <w:bookmarkEnd w:id="55"/>
      <w:bookmarkEnd w:id="56"/>
      <w:bookmarkEnd w:id="57"/>
      <w:bookmarkEnd w:id="58"/>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59" w:name="_Toc31665"/>
      <w:bookmarkStart w:id="60" w:name="_Toc15813"/>
      <w:bookmarkStart w:id="61" w:name="_Toc3653"/>
      <w:bookmarkStart w:id="62" w:name="_Toc10334"/>
      <w:r>
        <w:rPr>
          <w:rFonts w:hint="eastAsia" w:ascii="宋体" w:hAnsi="宋体" w:eastAsia="宋体" w:cs="宋体"/>
          <w:color w:val="auto"/>
          <w:spacing w:val="0"/>
          <w:sz w:val="28"/>
          <w:szCs w:val="28"/>
          <w:highlight w:val="none"/>
          <w:u w:val="none"/>
          <w:lang w:val="en-US" w:eastAsia="zh-CN"/>
        </w:rPr>
        <w:t>排查重点场所及重点设施设备：对收集的资料以及现场踏勘，识别可能存在土壤和地下水环境污染隐患的场所、设施及设备。</w:t>
      </w:r>
      <w:bookmarkEnd w:id="59"/>
      <w:bookmarkEnd w:id="60"/>
      <w:bookmarkEnd w:id="61"/>
      <w:bookmarkEnd w:id="62"/>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63" w:name="_Toc30496"/>
      <w:bookmarkStart w:id="64" w:name="_Toc19730"/>
      <w:bookmarkStart w:id="65" w:name="_Toc4500"/>
      <w:r>
        <w:rPr>
          <w:rFonts w:hint="eastAsia" w:ascii="宋体" w:hAnsi="宋体" w:eastAsia="宋体" w:cs="宋体"/>
          <w:color w:val="auto"/>
          <w:spacing w:val="0"/>
          <w:sz w:val="28"/>
          <w:szCs w:val="28"/>
          <w:highlight w:val="none"/>
          <w:u w:val="none"/>
          <w:lang w:val="en-US" w:eastAsia="zh-CN"/>
        </w:rPr>
        <w:t>确定重点监测单元：根据调查结果进行分析、评价和总结，参考《重点监管单位土壤污染隐患排查指南（试行）》确定重点场所和设备，并根据《工业企业土壤和地下水自行监测技术指南（试行）》HJ1209-2021。划分重点监测单元风险级别。现场工作方案编制：依据重点监测单元风险级别、场地历史资料、现场踏勘及人员访谈成果，编制自行监测工作方案。</w:t>
      </w:r>
      <w:bookmarkEnd w:id="63"/>
      <w:bookmarkEnd w:id="64"/>
      <w:bookmarkEnd w:id="65"/>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66" w:name="_Toc2370"/>
      <w:bookmarkStart w:id="67" w:name="_Toc13667"/>
      <w:bookmarkStart w:id="68" w:name="_Toc6668"/>
      <w:bookmarkStart w:id="69" w:name="_Toc32666"/>
      <w:r>
        <w:rPr>
          <w:rFonts w:hint="eastAsia" w:ascii="宋体" w:hAnsi="宋体" w:eastAsia="宋体" w:cs="宋体"/>
          <w:color w:val="auto"/>
          <w:spacing w:val="0"/>
          <w:sz w:val="28"/>
          <w:szCs w:val="28"/>
          <w:highlight w:val="none"/>
          <w:u w:val="none"/>
          <w:lang w:val="en-US" w:eastAsia="zh-CN"/>
        </w:rPr>
        <w:t>现场采样和实验室分析：现场采样前如缺少土壤和地下水监测设施，需按相关技术标准提前进行建设，满足现场监测或采样条件后方可开始进行样品的采集。样品的采集和实验室检测分析，整理调查信息和检测结果，评估检测数据的质量，分析数据的有效性和充分性。根据土壤检测结果进行统计分析，确定地块关注污染物种类、浓度水平和空间分布，确认所监测重点设施或重点区域是否超过国家规定的限值标准。</w:t>
      </w:r>
      <w:bookmarkEnd w:id="66"/>
      <w:bookmarkEnd w:id="67"/>
      <w:bookmarkEnd w:id="68"/>
      <w:bookmarkEnd w:id="69"/>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bookmarkStart w:id="70" w:name="_Toc12503"/>
      <w:bookmarkStart w:id="71" w:name="_Toc24444"/>
      <w:bookmarkStart w:id="72" w:name="_Toc27666"/>
      <w:bookmarkStart w:id="73" w:name="_Toc6043"/>
      <w:r>
        <w:rPr>
          <w:rFonts w:hint="eastAsia" w:ascii="宋体" w:hAnsi="宋体" w:eastAsia="宋体" w:cs="宋体"/>
          <w:color w:val="auto"/>
          <w:spacing w:val="0"/>
          <w:sz w:val="28"/>
          <w:szCs w:val="28"/>
          <w:highlight w:val="none"/>
          <w:u w:val="none"/>
          <w:lang w:val="en-US" w:eastAsia="zh-CN"/>
        </w:rPr>
        <w:t>报告编制：编写本次自行监测方案，包括描述任务来源及依据、现场工作情况、企业污染源概况、监测布点情况、样品采集分析测试要求等内容。</w:t>
      </w:r>
      <w:bookmarkEnd w:id="70"/>
      <w:bookmarkEnd w:id="71"/>
      <w:bookmarkEnd w:id="72"/>
      <w:bookmarkEnd w:id="73"/>
    </w:p>
    <w:p>
      <w:pPr>
        <w:pageBreakBefore w:val="0"/>
        <w:kinsoku/>
        <w:wordWrap/>
        <w:overflowPunct/>
        <w:topLinePunct w:val="0"/>
        <w:bidi w:val="0"/>
        <w:spacing w:line="360" w:lineRule="auto"/>
        <w:ind w:left="0" w:leftChars="0" w:right="0" w:firstLine="483"/>
        <w:rPr>
          <w:rFonts w:hint="eastAsia" w:ascii="宋体" w:hAnsi="宋体" w:eastAsia="宋体" w:cs="宋体"/>
          <w:b w:val="0"/>
          <w:bCs w:val="0"/>
          <w:snapToGrid/>
          <w:spacing w:val="6"/>
          <w:kern w:val="0"/>
          <w:sz w:val="28"/>
          <w:szCs w:val="22"/>
          <w:lang w:val="en-US" w:eastAsia="zh-CN" w:bidi="ar"/>
        </w:rPr>
      </w:pPr>
      <w:bookmarkStart w:id="74" w:name="_Toc5079"/>
      <w:bookmarkStart w:id="75" w:name="_Toc3675"/>
      <w:bookmarkStart w:id="76" w:name="_Toc3794"/>
      <w:bookmarkStart w:id="77" w:name="_Toc19514"/>
      <w:r>
        <w:rPr>
          <w:rFonts w:hint="eastAsia" w:ascii="宋体" w:hAnsi="宋体" w:eastAsia="宋体" w:cs="宋体"/>
          <w:color w:val="auto"/>
          <w:spacing w:val="0"/>
          <w:sz w:val="28"/>
          <w:szCs w:val="28"/>
          <w:highlight w:val="none"/>
          <w:u w:val="none"/>
          <w:lang w:val="en-US" w:eastAsia="zh-CN"/>
        </w:rPr>
        <w:t>自行监测技术路线序流程图如下图1-1。</w:t>
      </w:r>
      <w:bookmarkEnd w:id="74"/>
      <w:bookmarkEnd w:id="75"/>
      <w:bookmarkEnd w:id="76"/>
      <w:bookmarkEnd w:id="77"/>
    </w:p>
    <w:p>
      <w:pPr>
        <w:bidi w:val="0"/>
        <w:spacing w:line="240" w:lineRule="auto"/>
        <w:jc w:val="both"/>
        <w:outlineLvl w:val="9"/>
        <w:rPr>
          <w:rFonts w:hint="eastAsia" w:ascii="宋体" w:hAnsi="宋体" w:eastAsia="宋体" w:cs="宋体"/>
          <w:b w:val="0"/>
          <w:bCs w:val="0"/>
          <w:color w:val="auto"/>
          <w:kern w:val="2"/>
          <w:sz w:val="28"/>
          <w:szCs w:val="24"/>
          <w:highlight w:val="none"/>
          <w:lang w:val="en-US" w:eastAsia="zh-CN" w:bidi="ar-SA"/>
        </w:rPr>
      </w:pPr>
      <w:bookmarkStart w:id="78" w:name="_Toc14701"/>
      <w:bookmarkStart w:id="79" w:name="_Toc17410"/>
      <w:bookmarkStart w:id="80" w:name="_Toc11213"/>
      <w:r>
        <w:rPr>
          <w:rFonts w:hint="eastAsia" w:ascii="宋体" w:hAnsi="宋体" w:eastAsia="宋体" w:cs="宋体"/>
          <w:b w:val="0"/>
          <w:bCs w:val="0"/>
          <w:color w:val="auto"/>
          <w:kern w:val="2"/>
          <w:sz w:val="28"/>
          <w:szCs w:val="24"/>
          <w:highlight w:val="none"/>
          <w:lang w:val="en-US" w:eastAsia="zh-CN" w:bidi="ar-SA"/>
        </w:rPr>
        <w:drawing>
          <wp:inline distT="0" distB="0" distL="114300" distR="114300">
            <wp:extent cx="5272405" cy="6204585"/>
            <wp:effectExtent l="0" t="0" r="10795" b="5715"/>
            <wp:docPr id="97" name="图片 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1"/>
                    <pic:cNvPicPr>
                      <a:picLocks noChangeAspect="1"/>
                    </pic:cNvPicPr>
                  </pic:nvPicPr>
                  <pic:blipFill>
                    <a:blip r:embed="rId11"/>
                    <a:stretch>
                      <a:fillRect/>
                    </a:stretch>
                  </pic:blipFill>
                  <pic:spPr>
                    <a:xfrm>
                      <a:off x="0" y="0"/>
                      <a:ext cx="5272405" cy="6204585"/>
                    </a:xfrm>
                    <a:prstGeom prst="rect">
                      <a:avLst/>
                    </a:prstGeom>
                  </pic:spPr>
                </pic:pic>
              </a:graphicData>
            </a:graphic>
          </wp:inline>
        </w:drawing>
      </w:r>
    </w:p>
    <w:p>
      <w:pPr>
        <w:bidi w:val="0"/>
        <w:jc w:val="center"/>
        <w:outlineLvl w:val="9"/>
        <w:rPr>
          <w:rFonts w:hint="eastAsia" w:ascii="宋体" w:hAnsi="宋体" w:eastAsia="宋体" w:cs="宋体"/>
          <w:b w:val="0"/>
          <w:bCs w:val="0"/>
          <w:color w:val="auto"/>
          <w:kern w:val="2"/>
          <w:sz w:val="28"/>
          <w:szCs w:val="24"/>
          <w:highlight w:val="none"/>
          <w:lang w:val="en-US" w:eastAsia="zh-CN" w:bidi="ar-SA"/>
        </w:rPr>
      </w:pPr>
      <w:bookmarkStart w:id="81" w:name="_Toc17832"/>
      <w:r>
        <w:rPr>
          <w:rFonts w:hint="eastAsia" w:ascii="宋体" w:hAnsi="宋体" w:eastAsia="宋体" w:cs="宋体"/>
          <w:b w:val="0"/>
          <w:bCs w:val="0"/>
          <w:color w:val="auto"/>
          <w:kern w:val="2"/>
          <w:sz w:val="28"/>
          <w:szCs w:val="24"/>
          <w:highlight w:val="none"/>
          <w:lang w:val="en-US" w:eastAsia="zh-CN" w:bidi="ar-SA"/>
        </w:rPr>
        <w:t>图1-1 自行监测工作步骤</w:t>
      </w:r>
      <w:bookmarkEnd w:id="78"/>
      <w:bookmarkEnd w:id="79"/>
      <w:bookmarkEnd w:id="80"/>
      <w:bookmarkEnd w:id="81"/>
    </w:p>
    <w:p>
      <w:pPr>
        <w:pStyle w:val="7"/>
        <w:bidi w:val="0"/>
        <w:rPr>
          <w:rFonts w:hint="eastAsia" w:ascii="宋体" w:hAnsi="宋体" w:eastAsia="宋体" w:cs="宋体"/>
          <w:color w:val="auto"/>
          <w:highlight w:val="none"/>
          <w:lang w:val="en-US" w:eastAsia="zh-CN"/>
        </w:rPr>
      </w:pPr>
      <w:bookmarkStart w:id="82" w:name="_Toc7883"/>
      <w:bookmarkStart w:id="83" w:name="_Toc5584"/>
      <w:r>
        <w:rPr>
          <w:rFonts w:hint="eastAsia" w:ascii="宋体" w:hAnsi="宋体" w:eastAsia="宋体" w:cs="宋体"/>
          <w:color w:val="auto"/>
          <w:highlight w:val="none"/>
          <w:lang w:val="en-US" w:eastAsia="zh-CN"/>
        </w:rPr>
        <w:t>2.企业概况</w:t>
      </w:r>
      <w:bookmarkEnd w:id="82"/>
      <w:bookmarkEnd w:id="83"/>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根据收集到的资料，企业情况概括如下：</w:t>
      </w:r>
    </w:p>
    <w:p>
      <w:pPr>
        <w:pStyle w:val="8"/>
        <w:bidi w:val="0"/>
        <w:rPr>
          <w:rFonts w:hint="eastAsia" w:ascii="宋体" w:hAnsi="宋体" w:eastAsia="宋体" w:cs="宋体"/>
          <w:color w:val="auto"/>
          <w:highlight w:val="none"/>
          <w:lang w:val="en-US" w:eastAsia="zh-CN"/>
        </w:rPr>
      </w:pPr>
      <w:bookmarkStart w:id="84" w:name="_Toc2834"/>
      <w:bookmarkStart w:id="85" w:name="_Toc8929"/>
      <w:r>
        <w:rPr>
          <w:rFonts w:hint="eastAsia" w:ascii="宋体" w:hAnsi="宋体" w:eastAsia="宋体" w:cs="宋体"/>
          <w:color w:val="auto"/>
          <w:highlight w:val="none"/>
          <w:lang w:val="en-US" w:eastAsia="zh-CN"/>
        </w:rPr>
        <w:t>2.1企业基本情况</w:t>
      </w:r>
      <w:bookmarkEnd w:id="84"/>
      <w:bookmarkEnd w:id="85"/>
    </w:p>
    <w:p>
      <w:pPr>
        <w:pageBreakBefore w:val="0"/>
        <w:kinsoku/>
        <w:wordWrap/>
        <w:overflowPunct/>
        <w:topLinePunct w:val="0"/>
        <w:bidi w:val="0"/>
        <w:spacing w:line="360" w:lineRule="auto"/>
        <w:ind w:left="0" w:leftChars="0" w:right="0" w:firstLine="483"/>
        <w:rPr>
          <w:rFonts w:hint="eastAsia" w:ascii="宋体" w:hAnsi="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三门峡十化昊昱化工有限公司原名三门峡昊昱化工有限公司。成立于2010年3月，于2012年3月建成投产，位于三门峡陕州区先进制造业开发区（原陕州区产业集聚区），企业于2020年8月换发了工商营业执照更为现名，公司法人由郭晓军变更为张艳丽。厂区总占地面积16657㎡（25亩），统一社会信用代码91411222551638107A 。主要生产、经营氯化石蜡产品及副产品盐酸等。</w:t>
      </w:r>
    </w:p>
    <w:p>
      <w:pPr>
        <w:autoSpaceDE w:val="0"/>
        <w:adjustRightInd w:val="0"/>
        <w:snapToGrid w:val="0"/>
        <w:ind w:firstLine="560" w:firstLineChars="200"/>
        <w:jc w:val="both"/>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企业基本信息见表2-1。</w:t>
      </w:r>
    </w:p>
    <w:p>
      <w:pPr>
        <w:widowControl/>
        <w:tabs>
          <w:tab w:val="left" w:pos="2278"/>
        </w:tabs>
        <w:spacing w:line="540" w:lineRule="exact"/>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表2-1企业基本信息表</w:t>
      </w:r>
    </w:p>
    <w:tbl>
      <w:tblPr>
        <w:tblStyle w:val="20"/>
        <w:tblW w:w="85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6"/>
        <w:gridCol w:w="58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bookmarkStart w:id="86" w:name="_Toc5896"/>
            <w:r>
              <w:rPr>
                <w:rFonts w:hint="eastAsia" w:ascii="宋体" w:hAnsi="宋体" w:eastAsia="宋体" w:cs="宋体"/>
                <w:b w:val="0"/>
                <w:bCs/>
                <w:color w:val="auto"/>
                <w:sz w:val="24"/>
                <w:szCs w:val="24"/>
                <w:highlight w:val="none"/>
              </w:rPr>
              <w:t>类别</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单位名称</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三门峡十化昊昱化工有限公司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规模</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年产4万吨氯化石蜡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占地面积</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16657</w:t>
            </w:r>
            <w:r>
              <w:rPr>
                <w:rFonts w:hint="eastAsia" w:ascii="宋体" w:hAnsi="宋体" w:eastAsia="宋体" w:cs="宋体"/>
                <w:b w:val="0"/>
                <w:bCs/>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法人姓名</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张艳丽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统一社会信用代码</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914112225516381A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工业场地坐标</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N34°41′15.31"，E111°34′37.68"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工作制度</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年生产300天，每天24小时，年工作时间7200</w:t>
            </w:r>
            <w:r>
              <w:rPr>
                <w:rFonts w:hint="eastAsia" w:ascii="宋体" w:hAnsi="宋体" w:eastAsia="宋体" w:cs="宋体"/>
                <w:b w:val="0"/>
                <w:bCs/>
                <w:color w:val="auto"/>
                <w:sz w:val="24"/>
                <w:szCs w:val="24"/>
                <w:highlight w:val="none"/>
                <w:lang w:val="en-US" w:eastAsia="zh-CN"/>
              </w:rPr>
              <w:t>小时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所属行业类别</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其他专用化学产品制造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单位所在地</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三门峡</w:t>
            </w:r>
            <w:r>
              <w:rPr>
                <w:rFonts w:hint="eastAsia" w:ascii="宋体" w:hAnsi="宋体" w:eastAsia="宋体" w:cs="宋体"/>
                <w:b w:val="0"/>
                <w:bCs/>
                <w:color w:val="auto"/>
                <w:sz w:val="24"/>
                <w:szCs w:val="24"/>
                <w:highlight w:val="none"/>
                <w:lang w:val="en-US" w:eastAsia="zh-CN"/>
              </w:rPr>
              <w:t>陕州区先进制造业开发区（原</w:t>
            </w:r>
            <w:r>
              <w:rPr>
                <w:rFonts w:hint="eastAsia" w:ascii="宋体" w:hAnsi="宋体" w:eastAsia="宋体" w:cs="宋体"/>
                <w:b w:val="0"/>
                <w:bCs/>
                <w:color w:val="auto"/>
                <w:sz w:val="24"/>
                <w:szCs w:val="24"/>
                <w:highlight w:val="none"/>
              </w:rPr>
              <w:t>陕州</w:t>
            </w:r>
            <w:r>
              <w:rPr>
                <w:rFonts w:hint="eastAsia" w:ascii="宋体" w:hAnsi="宋体" w:eastAsia="宋体" w:cs="宋体"/>
                <w:b w:val="0"/>
                <w:bCs/>
                <w:color w:val="auto"/>
                <w:sz w:val="24"/>
                <w:szCs w:val="24"/>
                <w:highlight w:val="none"/>
                <w:lang w:val="en-US" w:eastAsia="zh-CN"/>
              </w:rPr>
              <w:t>区</w:t>
            </w:r>
            <w:r>
              <w:rPr>
                <w:rFonts w:hint="eastAsia" w:ascii="宋体" w:hAnsi="宋体" w:eastAsia="宋体" w:cs="宋体"/>
                <w:b w:val="0"/>
                <w:bCs/>
                <w:color w:val="auto"/>
                <w:sz w:val="24"/>
                <w:szCs w:val="24"/>
                <w:highlight w:val="none"/>
              </w:rPr>
              <w:t>产业集聚区</w:t>
            </w:r>
            <w:r>
              <w:rPr>
                <w:rFonts w:hint="eastAsia" w:ascii="宋体" w:hAnsi="宋体" w:eastAsia="宋体" w:cs="宋体"/>
                <w:b w:val="0"/>
                <w:bCs/>
                <w:color w:val="auto"/>
                <w:sz w:val="24"/>
                <w:szCs w:val="24"/>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建成时间</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rPr>
              <w:t>2012年3月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排污许可证编号</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91411222551638107A001V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环评批复文号</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三环〔2010〕229号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268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验收批复文号</w:t>
            </w:r>
          </w:p>
        </w:tc>
        <w:tc>
          <w:tcPr>
            <w:tcW w:w="58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三环验〔2012〕12号</w:t>
            </w:r>
          </w:p>
        </w:tc>
      </w:tr>
    </w:tbl>
    <w:p>
      <w:pPr>
        <w:pStyle w:val="8"/>
        <w:bidi w:val="0"/>
        <w:rPr>
          <w:rFonts w:hint="eastAsia" w:ascii="宋体" w:hAnsi="宋体" w:eastAsia="宋体" w:cs="宋体"/>
          <w:color w:val="auto"/>
          <w:highlight w:val="none"/>
          <w:lang w:val="en-US" w:eastAsia="zh-CN"/>
        </w:rPr>
      </w:pPr>
      <w:bookmarkStart w:id="87" w:name="_Toc20723"/>
      <w:r>
        <w:rPr>
          <w:rFonts w:hint="eastAsia" w:ascii="宋体" w:hAnsi="宋体" w:eastAsia="宋体" w:cs="宋体"/>
          <w:color w:val="auto"/>
          <w:highlight w:val="none"/>
          <w:lang w:val="en-US" w:eastAsia="zh-CN"/>
        </w:rPr>
        <w:t>2.2企业用地历史沿革</w:t>
      </w:r>
      <w:bookmarkEnd w:id="86"/>
      <w:bookmarkEnd w:id="87"/>
    </w:p>
    <w:p>
      <w:pPr>
        <w:adjustRightInd w:val="0"/>
        <w:snapToGrid w:val="0"/>
        <w:spacing w:line="520" w:lineRule="exact"/>
        <w:ind w:firstLine="560" w:firstLineChars="200"/>
        <w:rPr>
          <w:rFonts w:hint="eastAsia" w:ascii="宋体" w:hAnsi="宋体" w:eastAsia="宋体" w:cs="宋体"/>
          <w:sz w:val="28"/>
          <w:szCs w:val="28"/>
          <w:highlight w:val="green"/>
          <w:lang w:eastAsia="zh-CN"/>
        </w:rPr>
      </w:pPr>
      <w:r>
        <w:rPr>
          <w:rFonts w:hint="eastAsia" w:ascii="宋体" w:hAnsi="宋体" w:eastAsia="宋体" w:cs="宋体"/>
          <w:color w:val="auto"/>
          <w:sz w:val="28"/>
          <w:highlight w:val="none"/>
          <w:lang w:val="en-US" w:eastAsia="zh-CN"/>
        </w:rPr>
        <w:t>根据企业提供相关资料，建厂前，2010年9月前企业所在地块用地情况为空地。</w:t>
      </w:r>
      <w:r>
        <w:rPr>
          <w:rFonts w:hint="eastAsia" w:ascii="宋体" w:hAnsi="宋体" w:eastAsia="宋体" w:cs="宋体"/>
          <w:sz w:val="28"/>
          <w:szCs w:val="28"/>
          <w:highlight w:val="none"/>
          <w:lang w:eastAsia="zh-CN"/>
        </w:rPr>
        <w:t>环评手续情况如下：</w:t>
      </w:r>
    </w:p>
    <w:p>
      <w:pPr>
        <w:pageBreakBefore w:val="0"/>
        <w:kinsoku/>
        <w:wordWrap/>
        <w:overflowPunct/>
        <w:topLinePunct w:val="0"/>
        <w:bidi w:val="0"/>
        <w:spacing w:line="360" w:lineRule="auto"/>
        <w:ind w:left="0" w:leftChars="0" w:right="0" w:firstLine="560" w:firstLineChars="200"/>
        <w:outlineLvl w:val="9"/>
        <w:rPr>
          <w:rFonts w:hint="eastAsia" w:ascii="宋体" w:hAnsi="宋体" w:eastAsia="宋体" w:cs="宋体"/>
          <w:color w:val="auto"/>
          <w:spacing w:val="0"/>
          <w:kern w:val="2"/>
          <w:sz w:val="28"/>
          <w:szCs w:val="28"/>
          <w:highlight w:val="none"/>
          <w:u w:val="none" w:color="auto"/>
          <w:lang w:val="zh-CN" w:eastAsia="zh-CN" w:bidi="zh-CN"/>
        </w:rPr>
      </w:pPr>
      <w:r>
        <w:rPr>
          <w:rFonts w:hint="eastAsia" w:ascii="宋体" w:hAnsi="宋体" w:eastAsia="宋体" w:cs="宋体"/>
          <w:color w:val="auto"/>
          <w:spacing w:val="0"/>
          <w:sz w:val="28"/>
          <w:szCs w:val="28"/>
          <w:highlight w:val="none"/>
          <w:u w:val="none" w:color="auto"/>
          <w:lang w:val="en-US" w:eastAsia="zh-CN"/>
        </w:rPr>
        <w:t>三</w:t>
      </w:r>
      <w:r>
        <w:rPr>
          <w:rFonts w:hint="eastAsia" w:ascii="宋体" w:hAnsi="宋体" w:eastAsia="宋体" w:cs="宋体"/>
          <w:color w:val="auto"/>
          <w:spacing w:val="0"/>
          <w:sz w:val="28"/>
          <w:szCs w:val="28"/>
          <w:highlight w:val="none"/>
          <w:u w:val="none" w:color="auto"/>
          <w:lang w:val="zh-CN" w:eastAsia="zh-CN"/>
        </w:rPr>
        <w:t>门峡十化昊</w:t>
      </w:r>
      <w:r>
        <w:rPr>
          <w:rFonts w:hint="eastAsia" w:ascii="宋体" w:hAnsi="宋体" w:eastAsia="宋体" w:cs="宋体"/>
          <w:color w:val="auto"/>
          <w:spacing w:val="0"/>
          <w:kern w:val="2"/>
          <w:sz w:val="28"/>
          <w:szCs w:val="28"/>
          <w:highlight w:val="none"/>
          <w:u w:val="none" w:color="auto"/>
          <w:lang w:val="zh-CN" w:eastAsia="zh-CN" w:bidi="zh-CN"/>
        </w:rPr>
        <w:t>昱化工有限公司环保手续合法，</w:t>
      </w:r>
      <w:r>
        <w:rPr>
          <w:rFonts w:hint="eastAsia" w:ascii="宋体" w:hAnsi="宋体" w:eastAsia="宋体" w:cs="宋体"/>
          <w:b w:val="0"/>
          <w:bCs w:val="0"/>
          <w:color w:val="auto"/>
          <w:spacing w:val="0"/>
          <w:kern w:val="2"/>
          <w:sz w:val="28"/>
          <w:szCs w:val="28"/>
          <w:highlight w:val="none"/>
          <w:u w:val="none" w:color="auto"/>
          <w:lang w:val="en-US" w:eastAsia="zh-CN" w:bidi="ar-SA"/>
        </w:rPr>
        <w:t>取得环评合法生产规模为年产4万吨氯化石蜡，公司于2021年3月14日由河南省应急管理厅颁发了安全生产许可证，许可证编号：（豫M）WH安许证字〔2021〕00066号。</w:t>
      </w:r>
      <w:r>
        <w:rPr>
          <w:rFonts w:hint="eastAsia" w:ascii="宋体" w:hAnsi="宋体" w:eastAsia="宋体" w:cs="宋体"/>
          <w:color w:val="auto"/>
          <w:spacing w:val="0"/>
          <w:kern w:val="2"/>
          <w:sz w:val="28"/>
          <w:szCs w:val="28"/>
          <w:highlight w:val="none"/>
          <w:u w:val="none" w:color="auto"/>
          <w:lang w:val="en-US" w:eastAsia="zh-CN" w:bidi="zh-CN"/>
        </w:rPr>
        <w:t>2010年9月27日取得由三门峡市环保局出具的三门峡昊昱化工有限公司年产4万吨氯化石蜡项目环境影响报告书的审批意见，批复文号：三环〔2010〕229号，2012年6月20日取得三门峡市环境保护局出具的三门峡昊昱化工有限公司年产4万吨氯化石蜡一期年产2万吨氯化石蜡项目竣工环境保护验收意见，验收文号：三环验〔2012〕12号。自2012年建成投产至今无新改扩建项目，2020年8月24日取得</w:t>
      </w:r>
      <w:r>
        <w:rPr>
          <w:rFonts w:hint="eastAsia" w:ascii="宋体" w:hAnsi="宋体" w:eastAsia="宋体" w:cs="宋体"/>
          <w:color w:val="auto"/>
          <w:spacing w:val="0"/>
          <w:kern w:val="2"/>
          <w:sz w:val="28"/>
          <w:szCs w:val="28"/>
          <w:highlight w:val="none"/>
          <w:u w:val="none" w:color="auto"/>
          <w:lang w:val="zh-CN" w:eastAsia="zh-CN" w:bidi="zh-CN"/>
        </w:rPr>
        <w:t>排污许可证</w:t>
      </w:r>
      <w:r>
        <w:rPr>
          <w:rFonts w:hint="eastAsia" w:ascii="宋体" w:hAnsi="宋体" w:eastAsia="宋体" w:cs="宋体"/>
          <w:color w:val="auto"/>
          <w:spacing w:val="0"/>
          <w:kern w:val="2"/>
          <w:sz w:val="28"/>
          <w:szCs w:val="28"/>
          <w:highlight w:val="none"/>
          <w:u w:val="none" w:color="auto"/>
          <w:lang w:val="en-US" w:eastAsia="zh-CN" w:bidi="zh-CN"/>
        </w:rPr>
        <w:t>，2023年8月18日排污许可证到期重新申请</w:t>
      </w:r>
      <w:r>
        <w:rPr>
          <w:rFonts w:hint="eastAsia" w:ascii="宋体" w:hAnsi="宋体" w:eastAsia="宋体" w:cs="宋体"/>
          <w:color w:val="auto"/>
          <w:spacing w:val="0"/>
          <w:kern w:val="2"/>
          <w:sz w:val="28"/>
          <w:szCs w:val="28"/>
          <w:highlight w:val="none"/>
          <w:u w:val="none" w:color="auto"/>
          <w:lang w:val="zh-CN" w:eastAsia="zh-CN" w:bidi="zh-CN"/>
        </w:rPr>
        <w:t>。公司严格按照排污许可证执行标准进行每年两次的有组织、无组织废气检测，</w:t>
      </w:r>
      <w:r>
        <w:rPr>
          <w:rFonts w:hint="eastAsia" w:ascii="宋体" w:hAnsi="宋体" w:eastAsia="宋体" w:cs="宋体"/>
          <w:color w:val="auto"/>
          <w:spacing w:val="0"/>
          <w:kern w:val="2"/>
          <w:sz w:val="28"/>
          <w:szCs w:val="28"/>
          <w:highlight w:val="none"/>
          <w:u w:val="none" w:color="auto"/>
          <w:lang w:val="en-US" w:eastAsia="zh-CN" w:bidi="zh-CN"/>
        </w:rPr>
        <w:t>污染物达标排放，</w:t>
      </w:r>
      <w:r>
        <w:rPr>
          <w:rFonts w:hint="eastAsia" w:ascii="宋体" w:hAnsi="宋体" w:eastAsia="宋体" w:cs="宋体"/>
          <w:color w:val="auto"/>
          <w:spacing w:val="0"/>
          <w:kern w:val="2"/>
          <w:sz w:val="28"/>
          <w:szCs w:val="28"/>
          <w:highlight w:val="none"/>
          <w:u w:val="none" w:color="auto"/>
          <w:lang w:val="zh-CN" w:eastAsia="zh-CN" w:bidi="zh-CN"/>
        </w:rPr>
        <w:t>并上传至各相关平台。</w:t>
      </w:r>
    </w:p>
    <w:p>
      <w:pPr>
        <w:pStyle w:val="5"/>
        <w:ind w:left="0" w:leftChars="0" w:firstLine="0" w:firstLineChars="0"/>
        <w:outlineLvl w:val="1"/>
        <w:rPr>
          <w:rFonts w:hint="eastAsia" w:ascii="宋体" w:hAnsi="宋体" w:eastAsia="宋体" w:cs="宋体"/>
          <w:b/>
          <w:bCs/>
          <w:color w:val="auto"/>
          <w:kern w:val="2"/>
          <w:sz w:val="28"/>
          <w:szCs w:val="32"/>
          <w:highlight w:val="none"/>
          <w:lang w:val="en-US" w:eastAsia="zh-CN" w:bidi="ar-SA"/>
        </w:rPr>
      </w:pPr>
      <w:bookmarkStart w:id="88" w:name="_Toc27832"/>
      <w:bookmarkStart w:id="89" w:name="_Toc4893"/>
      <w:r>
        <w:rPr>
          <w:rFonts w:hint="eastAsia" w:ascii="宋体" w:hAnsi="宋体" w:eastAsia="宋体" w:cs="宋体"/>
          <w:b/>
          <w:bCs/>
          <w:color w:val="auto"/>
          <w:kern w:val="2"/>
          <w:sz w:val="28"/>
          <w:szCs w:val="32"/>
          <w:highlight w:val="none"/>
          <w:lang w:val="en-US" w:eastAsia="zh-CN" w:bidi="ar-SA"/>
        </w:rPr>
        <w:t>2.3企业用地已有的环境调查与监测信息</w:t>
      </w:r>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0"/>
          <w:sz w:val="28"/>
          <w:szCs w:val="28"/>
          <w:highlight w:val="none"/>
          <w:lang w:bidi="ar"/>
        </w:rPr>
      </w:pPr>
      <w:r>
        <w:rPr>
          <w:rFonts w:hint="eastAsia" w:ascii="宋体" w:hAnsi="宋体" w:eastAsia="宋体" w:cs="宋体"/>
          <w:color w:val="auto"/>
          <w:sz w:val="28"/>
          <w:szCs w:val="28"/>
          <w:highlight w:val="none"/>
        </w:rPr>
        <w:t>根据</w:t>
      </w:r>
      <w:r>
        <w:rPr>
          <w:rFonts w:hint="eastAsia" w:ascii="宋体" w:hAnsi="宋体" w:eastAsia="宋体" w:cs="宋体"/>
          <w:color w:val="auto"/>
          <w:sz w:val="28"/>
          <w:szCs w:val="28"/>
          <w:highlight w:val="none"/>
          <w:lang w:eastAsia="zh-CN"/>
        </w:rPr>
        <w:t>《关于更新2023年土壤、地下水环境重点监管单位名录的公示》</w:t>
      </w:r>
      <w:r>
        <w:rPr>
          <w:rFonts w:hint="eastAsia" w:ascii="宋体" w:hAnsi="宋体" w:eastAsia="宋体" w:cs="宋体"/>
          <w:color w:val="auto"/>
          <w:sz w:val="28"/>
          <w:szCs w:val="28"/>
          <w:highlight w:val="none"/>
        </w:rPr>
        <w:t>文件要求，</w:t>
      </w:r>
      <w:r>
        <w:rPr>
          <w:rFonts w:hint="eastAsia" w:ascii="宋体" w:hAnsi="宋体" w:eastAsia="宋体" w:cs="宋体"/>
          <w:color w:val="auto"/>
          <w:kern w:val="0"/>
          <w:sz w:val="28"/>
          <w:szCs w:val="28"/>
          <w:highlight w:val="none"/>
          <w:lang w:eastAsia="zh-CN" w:bidi="ar"/>
        </w:rPr>
        <w:t>三门峡十化昊昱化工有限公司</w:t>
      </w:r>
      <w:r>
        <w:rPr>
          <w:rFonts w:hint="eastAsia" w:ascii="宋体" w:hAnsi="宋体" w:eastAsia="宋体" w:cs="宋体"/>
          <w:color w:val="auto"/>
          <w:kern w:val="0"/>
          <w:sz w:val="28"/>
          <w:szCs w:val="28"/>
          <w:highlight w:val="none"/>
          <w:lang w:bidi="ar"/>
        </w:rPr>
        <w:t>被列入</w:t>
      </w:r>
      <w:r>
        <w:rPr>
          <w:rFonts w:hint="eastAsia" w:ascii="宋体" w:hAnsi="宋体" w:eastAsia="宋体" w:cs="宋体"/>
          <w:color w:val="auto"/>
          <w:kern w:val="0"/>
          <w:sz w:val="28"/>
          <w:szCs w:val="28"/>
          <w:highlight w:val="none"/>
          <w:lang w:val="en-US" w:eastAsia="zh-Hans" w:bidi="ar"/>
        </w:rPr>
        <w:t>三门峡</w:t>
      </w:r>
      <w:r>
        <w:rPr>
          <w:rFonts w:hint="eastAsia" w:ascii="宋体" w:hAnsi="宋体" w:eastAsia="宋体" w:cs="宋体"/>
          <w:color w:val="auto"/>
          <w:kern w:val="0"/>
          <w:sz w:val="28"/>
          <w:szCs w:val="28"/>
          <w:highlight w:val="none"/>
          <w:lang w:bidi="ar"/>
        </w:rPr>
        <w:t>市</w:t>
      </w:r>
      <w:r>
        <w:rPr>
          <w:rFonts w:hint="eastAsia" w:ascii="宋体" w:hAnsi="宋体" w:eastAsia="宋体" w:cs="宋体"/>
          <w:color w:val="auto"/>
          <w:kern w:val="0"/>
          <w:sz w:val="28"/>
          <w:szCs w:val="28"/>
          <w:highlight w:val="none"/>
          <w:lang w:val="en-US" w:eastAsia="zh-CN" w:bidi="ar"/>
        </w:rPr>
        <w:t>2023</w:t>
      </w:r>
      <w:r>
        <w:rPr>
          <w:rFonts w:hint="eastAsia" w:ascii="宋体" w:hAnsi="宋体" w:eastAsia="宋体" w:cs="宋体"/>
          <w:color w:val="auto"/>
          <w:kern w:val="0"/>
          <w:sz w:val="28"/>
          <w:szCs w:val="28"/>
          <w:highlight w:val="none"/>
          <w:lang w:bidi="ar"/>
        </w:rPr>
        <w:t>土壤污染重点监管单位名录。</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ascii="宋体" w:hAnsi="宋体" w:eastAsia="宋体" w:cs="宋体"/>
          <w:color w:val="auto"/>
          <w:kern w:val="0"/>
          <w:sz w:val="28"/>
          <w:szCs w:val="28"/>
          <w:highlight w:val="none"/>
          <w:lang w:eastAsia="zh-CN" w:bidi="ar"/>
        </w:rPr>
      </w:pPr>
      <w:r>
        <w:rPr>
          <w:rFonts w:hint="eastAsia" w:ascii="宋体" w:hAnsi="宋体" w:eastAsia="宋体" w:cs="宋体"/>
          <w:color w:val="auto"/>
          <w:kern w:val="0"/>
          <w:sz w:val="28"/>
          <w:szCs w:val="28"/>
          <w:highlight w:val="none"/>
          <w:lang w:val="en-US" w:eastAsia="zh-CN" w:bidi="ar"/>
        </w:rPr>
        <w:t>为完成土壤污染防治工作，</w:t>
      </w:r>
      <w:r>
        <w:rPr>
          <w:rFonts w:hint="eastAsia" w:ascii="宋体" w:hAnsi="宋体" w:eastAsia="宋体" w:cs="宋体"/>
          <w:color w:val="auto"/>
          <w:kern w:val="0"/>
          <w:sz w:val="28"/>
          <w:szCs w:val="28"/>
          <w:highlight w:val="none"/>
          <w:lang w:eastAsia="zh-CN" w:bidi="ar"/>
        </w:rPr>
        <w:t>三门峡十化昊昱化工有限公司</w:t>
      </w:r>
      <w:r>
        <w:rPr>
          <w:rFonts w:hint="eastAsia" w:ascii="宋体" w:hAnsi="宋体" w:eastAsia="宋体" w:cs="宋体"/>
          <w:color w:val="auto"/>
          <w:kern w:val="0"/>
          <w:sz w:val="28"/>
          <w:szCs w:val="28"/>
          <w:highlight w:val="none"/>
          <w:lang w:val="en-US" w:eastAsia="zh-CN" w:bidi="ar"/>
        </w:rPr>
        <w:t>委托洛阳市达峰环境检测有限公司提供技术支持，与</w:t>
      </w:r>
      <w:r>
        <w:rPr>
          <w:rFonts w:hint="eastAsia" w:ascii="宋体" w:hAnsi="宋体" w:eastAsia="宋体" w:cs="宋体"/>
          <w:color w:val="auto"/>
          <w:kern w:val="0"/>
          <w:sz w:val="28"/>
          <w:szCs w:val="28"/>
          <w:highlight w:val="none"/>
          <w:lang w:eastAsia="zh-CN" w:bidi="ar"/>
        </w:rPr>
        <w:t>三门峡十化昊昱化工有限公司</w:t>
      </w:r>
      <w:r>
        <w:rPr>
          <w:rFonts w:hint="eastAsia" w:ascii="宋体" w:hAnsi="宋体" w:eastAsia="宋体" w:cs="宋体"/>
          <w:color w:val="auto"/>
          <w:kern w:val="0"/>
          <w:sz w:val="28"/>
          <w:szCs w:val="28"/>
          <w:highlight w:val="none"/>
          <w:lang w:val="en-US" w:eastAsia="zh-CN" w:bidi="ar"/>
        </w:rPr>
        <w:t>共同开展企业土壤自行监测工作。经过技术人员到现场对企业现状及周边情况进行了详细调查，收集相关资料，依据《在产企业土壤和地下水自行监测技术指南》及有关标准，结合企业实践，编制了《</w:t>
      </w:r>
      <w:r>
        <w:rPr>
          <w:rFonts w:hint="eastAsia" w:ascii="宋体" w:hAnsi="宋体" w:eastAsia="宋体" w:cs="宋体"/>
          <w:color w:val="auto"/>
          <w:sz w:val="28"/>
          <w:szCs w:val="28"/>
          <w:highlight w:val="none"/>
          <w:lang w:eastAsia="zh-CN"/>
        </w:rPr>
        <w:t>三门峡十化昊昱化工有限公司</w:t>
      </w:r>
      <w:r>
        <w:rPr>
          <w:rFonts w:hint="eastAsia" w:ascii="宋体" w:hAnsi="宋体" w:eastAsia="宋体" w:cs="宋体"/>
          <w:color w:val="auto"/>
          <w:sz w:val="28"/>
          <w:szCs w:val="28"/>
          <w:highlight w:val="none"/>
        </w:rPr>
        <w:t>自行监测方案</w:t>
      </w:r>
      <w:r>
        <w:rPr>
          <w:rFonts w:hint="eastAsia" w:ascii="宋体" w:hAnsi="宋体" w:eastAsia="宋体" w:cs="宋体"/>
          <w:color w:val="auto"/>
          <w:kern w:val="0"/>
          <w:sz w:val="28"/>
          <w:szCs w:val="28"/>
          <w:highlight w:val="none"/>
          <w:lang w:val="en-US" w:eastAsia="zh-CN" w:bidi="ar"/>
        </w:rPr>
        <w:t>》及</w:t>
      </w:r>
      <w:r>
        <w:rPr>
          <w:rFonts w:hint="eastAsia" w:ascii="宋体" w:hAnsi="宋体" w:eastAsia="宋体" w:cs="宋体"/>
          <w:color w:val="auto"/>
          <w:kern w:val="0"/>
          <w:sz w:val="28"/>
          <w:szCs w:val="28"/>
          <w:highlight w:val="none"/>
          <w:lang w:eastAsia="zh-CN" w:bidi="ar"/>
        </w:rPr>
        <w:t>《三门峡十化昊昱化工有限公司土壤污染隐患排查报告》</w:t>
      </w:r>
      <w:r>
        <w:rPr>
          <w:rFonts w:hint="eastAsia" w:ascii="宋体" w:hAnsi="宋体" w:eastAsia="宋体" w:cs="宋体"/>
          <w:color w:val="auto"/>
          <w:kern w:val="0"/>
          <w:sz w:val="28"/>
          <w:szCs w:val="28"/>
          <w:highlight w:val="none"/>
          <w:lang w:val="en-US" w:eastAsia="zh-Hans" w:bidi="ar"/>
        </w:rPr>
        <w:t>等</w:t>
      </w:r>
      <w:r>
        <w:rPr>
          <w:rFonts w:hint="eastAsia" w:ascii="宋体" w:hAnsi="宋体" w:eastAsia="宋体" w:cs="宋体"/>
          <w:color w:val="auto"/>
          <w:kern w:val="0"/>
          <w:sz w:val="28"/>
          <w:szCs w:val="28"/>
          <w:highlight w:val="none"/>
          <w:lang w:val="en-US" w:eastAsia="zh-CN" w:bidi="ar"/>
        </w:rPr>
        <w:t>。根据监测方案，企业于2023年开展土壤检测工作，并编制了自行监测报告。</w:t>
      </w:r>
    </w:p>
    <w:p>
      <w:pPr>
        <w:rPr>
          <w:rFonts w:hint="eastAsia" w:ascii="宋体" w:hAnsi="宋体" w:eastAsia="宋体" w:cs="宋体"/>
          <w:sz w:val="28"/>
          <w:lang w:val="en-US" w:eastAsia="zh-CN"/>
        </w:rPr>
      </w:pPr>
      <w:bookmarkStart w:id="90" w:name="_Toc17134"/>
      <w:r>
        <w:rPr>
          <w:rFonts w:hint="eastAsia" w:ascii="宋体" w:hAnsi="宋体" w:eastAsia="宋体" w:cs="宋体"/>
          <w:sz w:val="28"/>
          <w:lang w:val="en-US" w:eastAsia="zh-CN"/>
        </w:rPr>
        <w:br w:type="page"/>
      </w:r>
    </w:p>
    <w:p>
      <w:pPr>
        <w:pStyle w:val="7"/>
        <w:bidi w:val="0"/>
        <w:ind w:firstLineChars="0"/>
        <w:jc w:val="left"/>
        <w:rPr>
          <w:rFonts w:hint="eastAsia" w:ascii="宋体" w:hAnsi="宋体" w:eastAsia="宋体" w:cs="宋体"/>
          <w:sz w:val="28"/>
          <w:lang w:val="en-US" w:eastAsia="zh-CN"/>
        </w:rPr>
      </w:pPr>
      <w:r>
        <w:rPr>
          <w:rFonts w:hint="eastAsia" w:ascii="宋体" w:hAnsi="宋体" w:eastAsia="宋体" w:cs="宋体"/>
          <w:sz w:val="28"/>
          <w:lang w:val="en-US" w:eastAsia="zh-CN"/>
        </w:rPr>
        <w:t>3地勘资料</w:t>
      </w:r>
      <w:bookmarkEnd w:id="90"/>
    </w:p>
    <w:p>
      <w:pPr>
        <w:pStyle w:val="8"/>
        <w:numPr>
          <w:ilvl w:val="1"/>
          <w:numId w:val="0"/>
        </w:numPr>
        <w:bidi w:val="0"/>
        <w:spacing w:before="0" w:after="0"/>
        <w:ind w:firstLine="562" w:firstLineChars="200"/>
        <w:jc w:val="left"/>
        <w:rPr>
          <w:rFonts w:hint="eastAsia" w:ascii="宋体" w:hAnsi="宋体" w:eastAsia="宋体" w:cs="宋体"/>
          <w:sz w:val="28"/>
          <w:szCs w:val="28"/>
          <w:lang w:val="en-US" w:eastAsia="zh-CN"/>
        </w:rPr>
      </w:pPr>
      <w:bookmarkStart w:id="91" w:name="_Toc107924565"/>
      <w:bookmarkStart w:id="92" w:name="_Toc27868"/>
      <w:bookmarkStart w:id="93" w:name="_Toc32315"/>
      <w:r>
        <w:rPr>
          <w:rFonts w:hint="eastAsia" w:ascii="宋体" w:hAnsi="宋体" w:eastAsia="宋体" w:cs="宋体"/>
          <w:sz w:val="28"/>
          <w:szCs w:val="28"/>
          <w:lang w:val="en-US" w:eastAsia="zh-CN"/>
        </w:rPr>
        <w:t>3.1地质信息</w:t>
      </w:r>
      <w:bookmarkEnd w:id="91"/>
      <w:bookmarkEnd w:id="92"/>
      <w:bookmarkEnd w:id="93"/>
    </w:p>
    <w:p>
      <w:pPr>
        <w:keepNext/>
        <w:keepLines/>
        <w:widowControl w:val="0"/>
        <w:spacing w:line="520" w:lineRule="exact"/>
        <w:ind w:firstLine="562" w:firstLineChars="200"/>
        <w:jc w:val="both"/>
        <w:outlineLvl w:val="2"/>
        <w:rPr>
          <w:rFonts w:hint="eastAsia" w:ascii="宋体" w:hAnsi="宋体" w:eastAsia="宋体" w:cs="宋体"/>
          <w:b/>
          <w:bCs/>
          <w:kern w:val="2"/>
          <w:sz w:val="28"/>
          <w:szCs w:val="28"/>
          <w:lang w:val="en-US" w:eastAsia="zh-CN" w:bidi="ar-SA"/>
        </w:rPr>
      </w:pPr>
      <w:bookmarkStart w:id="94" w:name="_Toc30130"/>
      <w:bookmarkStart w:id="95" w:name="_Toc7792"/>
      <w:bookmarkStart w:id="96" w:name="_Toc9481"/>
      <w:bookmarkStart w:id="97" w:name="_Toc107924566"/>
      <w:bookmarkStart w:id="98" w:name="_Toc20169"/>
      <w:r>
        <w:rPr>
          <w:rFonts w:hint="eastAsia" w:ascii="宋体" w:hAnsi="宋体" w:eastAsia="宋体" w:cs="宋体"/>
          <w:b/>
          <w:bCs/>
          <w:kern w:val="2"/>
          <w:sz w:val="28"/>
          <w:szCs w:val="28"/>
          <w:lang w:val="en-US" w:eastAsia="zh-CN" w:bidi="ar-SA"/>
        </w:rPr>
        <w:t>3.1.1场地地质及地形地貌</w:t>
      </w:r>
      <w:bookmarkEnd w:id="94"/>
      <w:bookmarkEnd w:id="95"/>
      <w:bookmarkEnd w:id="96"/>
      <w:bookmarkEnd w:id="97"/>
      <w:bookmarkEnd w:id="98"/>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处于秦岭山脉东延与伏牛山、熊耳山、崤山交汇地带，地势西南高，东北低。从陕西省入境的秦岭身东延伸止于黄河谷地，海拔高度由2000米以上递降为低于200米。地貌特征复杂，有山地、丘陵、河谷、平原等多种类型，其中以山地、丘陵和川塬地貌为主。</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门峡市地质构造复杂，活动剧烈，对本市地形、矿藏、地质产生了重要影响，成为有色金属矿藏资源和沉积变质矿产资源极大蕴藏量的富积地。在地质构造上，位于华北地台西南隅和昆仑——秦岭地槽东延部分的接合部位。在构造体系上，属于昆仑——秦岭纬向构造带和新华夏系的华北沉降带、太行山隆起带的交接复合、联合部位的一部分。基地构造以紧密褶皱为主，岩层遭受区域变质作用和混合岩化作用。区内断裂发育，规模较大，纵横交错，尤以中新生代的断裂活动最强。</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项目所在地三门峡陕州区先进制造业开发区地貌单元为低山丘陵地区，场地内未发现有影响场地地基稳定性的不良地质作用。</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根据河南省地质志，工程区域在地质构造单元上位于华北地台华熊台缘坳陷，工程区域附近未发现断裂构造，场地是稳定的。</w:t>
      </w:r>
    </w:p>
    <w:p>
      <w:pPr>
        <w:ind w:firstLine="562" w:firstLineChars="200"/>
        <w:outlineLvl w:val="2"/>
        <w:rPr>
          <w:rFonts w:hint="eastAsia" w:ascii="宋体" w:hAnsi="宋体" w:eastAsia="宋体" w:cs="宋体"/>
          <w:b/>
          <w:bCs/>
          <w:kern w:val="2"/>
          <w:sz w:val="28"/>
          <w:szCs w:val="36"/>
          <w:lang w:val="en-US" w:eastAsia="zh-CN" w:bidi="ar-SA"/>
        </w:rPr>
      </w:pPr>
      <w:bookmarkStart w:id="99" w:name="_Toc23136"/>
      <w:bookmarkStart w:id="100" w:name="_Toc107924567"/>
      <w:r>
        <w:rPr>
          <w:rFonts w:hint="eastAsia" w:ascii="宋体" w:hAnsi="宋体" w:eastAsia="宋体" w:cs="宋体"/>
          <w:b/>
          <w:bCs/>
          <w:kern w:val="2"/>
          <w:sz w:val="28"/>
          <w:szCs w:val="36"/>
          <w:lang w:val="en-US" w:eastAsia="zh-CN" w:bidi="ar-SA"/>
        </w:rPr>
        <w:t>3.1.2厂区地层及岩土特性</w:t>
      </w:r>
      <w:bookmarkEnd w:id="99"/>
      <w:bookmarkEnd w:id="100"/>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依据岩土工程勘察获取的资料及室内土工试验成果，场地地层主要由填土和第四纪全新世Q</w:t>
      </w:r>
      <w:r>
        <w:rPr>
          <w:rFonts w:hint="eastAsia" w:ascii="宋体" w:hAnsi="宋体" w:eastAsia="宋体" w:cs="宋体"/>
          <w:color w:val="auto"/>
          <w:sz w:val="28"/>
          <w:szCs w:val="28"/>
          <w:highlight w:val="none"/>
          <w:vertAlign w:val="subscript"/>
          <w:lang w:val="en-US" w:eastAsia="zh-CN"/>
        </w:rPr>
        <w:t>4</w:t>
      </w:r>
      <w:r>
        <w:rPr>
          <w:rFonts w:hint="eastAsia" w:ascii="宋体" w:hAnsi="宋体" w:eastAsia="宋体" w:cs="宋体"/>
          <w:color w:val="auto"/>
          <w:sz w:val="28"/>
          <w:szCs w:val="28"/>
          <w:highlight w:val="none"/>
          <w:lang w:val="en-US" w:eastAsia="zh-CN"/>
        </w:rPr>
        <w:t>冲积成因类型的粉质粘土层及强风化砂岩构成。场地地层的岩土特征自上而下分别描述如下：</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填土：以素填土为主，颜色以红褐色为主。厚为0.80-5.80米，层底高程为640.60-647.20米，位于场地西部及南部靠近谷地南岸勘探点该层厚度较小，位于场地中部以北的勘探点该层厚度较大。物质成分以粉质粘土为主，含有少量植物根系；在场地北部及东部部分勘探点内含有少量炉渣、砖块等建筑垃圾。该层堆积年代较短，密实度不均一，物理力学性质较差，稍密状态。</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粉质粘土层(Q):红褐色至灰褐色。本次勘察未揭穿，已揭露最大厚度为厚度为7.70米。该层在场地西部及北部勘探点内厚度较大，在场地南部缺失。大孔不发育，土质较均匀。土体中含有大量黑色斑点，含大量姜石，局部成层。该层硬塑状态；天然含水率w=19.9-25.8%,平均值为22.7%,稍湿至湿，该层底部含水率较大；天然孔隙比e=0.826-0.951,平均值为0.879,中密至密实；压缩系数a₁.0-2o=0.094-0.383MPa',平均值为0.190MPa-1中低压缩性；湿陷系数δ=0.0002-0.009,无湿陷性。稍有光泽，摇震反应中等，韧性中等，干强度中等。</w:t>
      </w:r>
    </w:p>
    <w:p>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强风化砂岩：灰褐色为主。本次勘察未揭穿，已揭露最大厚度为4.6米。该层风化较严重，以强风化为主，结构大部分已破坏，风化裂隙发育，锹镐可挖掘。锤击声哑，无回弹，较易击碎；岩芯呈碎块状，采取率低。强风化层厚度不一致。</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kern w:val="2"/>
          <w:sz w:val="28"/>
          <w:szCs w:val="32"/>
          <w:highlight w:val="none"/>
          <w:lang w:val="en-US" w:eastAsia="zh-CN" w:bidi="ar-SA"/>
        </w:rPr>
      </w:pPr>
      <w:bookmarkStart w:id="101" w:name="_Toc7276"/>
      <w:bookmarkStart w:id="102" w:name="_Toc107924568"/>
      <w:bookmarkStart w:id="103" w:name="_Toc8962"/>
      <w:r>
        <w:rPr>
          <w:rFonts w:hint="eastAsia" w:ascii="宋体" w:hAnsi="宋体" w:eastAsia="宋体" w:cs="宋体"/>
          <w:b/>
          <w:bCs/>
          <w:kern w:val="2"/>
          <w:sz w:val="28"/>
          <w:szCs w:val="32"/>
          <w:highlight w:val="none"/>
          <w:lang w:val="en-US" w:eastAsia="zh-CN" w:bidi="ar-SA"/>
        </w:rPr>
        <w:t>3.2水文地质信息</w:t>
      </w:r>
      <w:bookmarkEnd w:id="101"/>
      <w:bookmarkEnd w:id="102"/>
      <w:bookmarkEnd w:id="103"/>
    </w:p>
    <w:p>
      <w:pPr>
        <w:pStyle w:val="13"/>
        <w:keepNext w:val="0"/>
        <w:keepLines w:val="0"/>
        <w:pageBreakBefore w:val="0"/>
        <w:widowControl w:val="0"/>
        <w:kinsoku/>
        <w:wordWrap/>
        <w:overflowPunct/>
        <w:topLinePunct w:val="0"/>
        <w:autoSpaceDE/>
        <w:autoSpaceDN/>
        <w:bidi w:val="0"/>
        <w:adjustRightInd w:val="0"/>
        <w:snapToGrid w:val="0"/>
        <w:spacing w:line="360" w:lineRule="auto"/>
        <w:ind w:right="0" w:firstLine="560" w:firstLineChars="200"/>
        <w:jc w:val="left"/>
        <w:textAlignment w:val="auto"/>
        <w:rPr>
          <w:rFonts w:hint="eastAsia" w:ascii="宋体" w:hAnsi="宋体" w:eastAsia="宋体" w:cs="宋体"/>
          <w:color w:val="auto"/>
          <w:sz w:val="28"/>
          <w:szCs w:val="36"/>
          <w:highlight w:val="none"/>
          <w:u w:val="none"/>
          <w:lang w:val="en-US" w:eastAsia="zh-CN"/>
        </w:rPr>
      </w:pPr>
      <w:bookmarkStart w:id="104" w:name="_Toc107924569"/>
      <w:bookmarkStart w:id="105" w:name="_Toc13693"/>
      <w:r>
        <w:rPr>
          <w:rFonts w:hint="eastAsia" w:ascii="宋体" w:hAnsi="宋体" w:eastAsia="宋体" w:cs="宋体"/>
          <w:color w:val="auto"/>
          <w:sz w:val="28"/>
          <w:szCs w:val="36"/>
          <w:highlight w:val="none"/>
          <w:u w:val="none"/>
          <w:lang w:val="en-US" w:eastAsia="zh-CN"/>
        </w:rPr>
        <w:t>三门峡十化昊昱化工有限公司厂区内无地下水监测井，公司于2018年8月委托中水电第十一工程局(郑州)有限公司编制了《三门峡十化昊昱化工有限公司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十化昊昱化工有限公司建设项目岩土工程勘察报告）。</w:t>
      </w:r>
    </w:p>
    <w:p>
      <w:pPr>
        <w:rPr>
          <w:rFonts w:hint="eastAsia" w:ascii="宋体" w:hAnsi="宋体" w:eastAsia="宋体" w:cs="宋体"/>
          <w:lang w:val="en-US" w:eastAsia="zh-CN"/>
        </w:rPr>
      </w:pPr>
      <w:bookmarkStart w:id="106" w:name="_Toc19415"/>
      <w:r>
        <w:rPr>
          <w:rFonts w:hint="eastAsia" w:ascii="宋体" w:hAnsi="宋体" w:eastAsia="宋体" w:cs="宋体"/>
          <w:lang w:val="en-US" w:eastAsia="zh-CN"/>
        </w:rPr>
        <w:br w:type="page"/>
      </w:r>
    </w:p>
    <w:p>
      <w:pPr>
        <w:pStyle w:val="7"/>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r>
        <w:rPr>
          <w:rFonts w:hint="eastAsia" w:ascii="宋体" w:hAnsi="宋体" w:eastAsia="宋体" w:cs="宋体"/>
          <w:lang w:val="en-US" w:eastAsia="zh-CN"/>
        </w:rPr>
        <w:t>4企业生产及污染防治情况</w:t>
      </w:r>
      <w:bookmarkEnd w:id="104"/>
      <w:bookmarkEnd w:id="105"/>
      <w:bookmarkEnd w:id="106"/>
    </w:p>
    <w:p>
      <w:pPr>
        <w:pStyle w:val="8"/>
        <w:pageBreakBefore w:val="0"/>
        <w:widowControl w:val="0"/>
        <w:numPr>
          <w:ilvl w:val="1"/>
          <w:numId w:val="0"/>
        </w:numPr>
        <w:kinsoku/>
        <w:wordWrap/>
        <w:overflowPunct/>
        <w:topLinePunct w:val="0"/>
        <w:autoSpaceDE/>
        <w:autoSpaceDN/>
        <w:bidi w:val="0"/>
        <w:adjustRightInd/>
        <w:snapToGrid/>
        <w:spacing w:before="0" w:after="0" w:line="360" w:lineRule="auto"/>
        <w:ind w:leftChars="0"/>
        <w:textAlignment w:val="auto"/>
        <w:rPr>
          <w:rFonts w:hint="eastAsia" w:ascii="宋体" w:hAnsi="宋体" w:eastAsia="宋体" w:cs="宋体"/>
          <w:b/>
          <w:bCs/>
          <w:kern w:val="2"/>
          <w:sz w:val="28"/>
          <w:szCs w:val="32"/>
          <w:lang w:val="en-US" w:eastAsia="zh-CN" w:bidi="ar-SA"/>
        </w:rPr>
      </w:pPr>
      <w:bookmarkStart w:id="107" w:name="_Toc4011"/>
      <w:bookmarkStart w:id="108" w:name="_Toc107924570"/>
      <w:bookmarkStart w:id="109" w:name="_Toc31309"/>
      <w:r>
        <w:rPr>
          <w:rFonts w:hint="eastAsia" w:ascii="宋体" w:hAnsi="宋体" w:eastAsia="宋体" w:cs="宋体"/>
          <w:b/>
          <w:bCs/>
          <w:kern w:val="2"/>
          <w:sz w:val="28"/>
          <w:szCs w:val="32"/>
          <w:lang w:val="en-US" w:eastAsia="zh-CN" w:bidi="ar-SA"/>
        </w:rPr>
        <w:t>4.1企业生产概况</w:t>
      </w:r>
      <w:bookmarkEnd w:id="107"/>
      <w:bookmarkEnd w:id="108"/>
      <w:bookmarkEnd w:id="109"/>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宋体" w:hAnsi="宋体" w:eastAsia="宋体" w:cs="宋体"/>
          <w:b/>
          <w:bCs/>
          <w:kern w:val="2"/>
          <w:sz w:val="28"/>
          <w:szCs w:val="36"/>
          <w:lang w:val="en-US" w:eastAsia="zh-CN" w:bidi="ar-SA"/>
        </w:rPr>
      </w:pPr>
      <w:bookmarkStart w:id="110" w:name="_Toc107924571"/>
      <w:r>
        <w:rPr>
          <w:rFonts w:hint="eastAsia" w:ascii="宋体" w:hAnsi="宋体" w:eastAsia="宋体" w:cs="宋体"/>
          <w:b/>
          <w:bCs/>
          <w:spacing w:val="6"/>
          <w:kern w:val="2"/>
          <w:sz w:val="28"/>
          <w:szCs w:val="36"/>
          <w:lang w:val="en-US" w:eastAsia="zh-CN" w:bidi="ar-SA"/>
        </w:rPr>
        <w:t>4</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kern w:val="2"/>
          <w:sz w:val="28"/>
          <w:szCs w:val="36"/>
          <w:lang w:val="en-US" w:eastAsia="zh-CN" w:bidi="ar-SA"/>
        </w:rPr>
        <w:t>基本生产概况</w:t>
      </w:r>
      <w:bookmarkEnd w:id="110"/>
    </w:p>
    <w:p>
      <w:pPr>
        <w:widowControl/>
        <w:tabs>
          <w:tab w:val="left" w:pos="2278"/>
        </w:tabs>
        <w:spacing w:line="540" w:lineRule="exact"/>
        <w:ind w:firstLine="560" w:firstLineChars="200"/>
        <w:outlineLvl w:val="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三门峡十化昊昱化工有限公司原名三门峡昊昱化工有限公司。成立于2010年3月，于2012年3月建成投产，位于三门峡陕州区先进制造业开发区（原陕州区产业集聚区），企业于2020年8月换发了工商营业执照更为现名，公司法人由郭晓军变更为张艳丽。厂区总占地面积16657㎡（25亩），统一社会信用代码91411222551638107A 。主要生产、经营氯化石蜡产品及副产品盐酸等。</w:t>
      </w:r>
    </w:p>
    <w:p>
      <w:pPr>
        <w:widowControl/>
        <w:tabs>
          <w:tab w:val="left" w:pos="2278"/>
        </w:tabs>
        <w:spacing w:line="540" w:lineRule="exact"/>
        <w:ind w:firstLine="560" w:firstLineChars="200"/>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（1）主要生产设备</w:t>
      </w:r>
    </w:p>
    <w:p>
      <w:pPr>
        <w:ind w:firstLine="482" w:firstLineChars="200"/>
        <w:jc w:val="center"/>
        <w:rPr>
          <w:rFonts w:hint="eastAsia" w:ascii="宋体" w:hAnsi="宋体" w:eastAsia="宋体" w:cs="宋体"/>
          <w:b/>
          <w:bCs w:val="0"/>
          <w:sz w:val="24"/>
          <w:szCs w:val="22"/>
        </w:rPr>
      </w:pPr>
      <w:r>
        <w:rPr>
          <w:rFonts w:hint="eastAsia" w:ascii="宋体" w:hAnsi="宋体" w:eastAsia="宋体" w:cs="宋体"/>
          <w:b/>
          <w:bCs w:val="0"/>
          <w:sz w:val="24"/>
          <w:szCs w:val="22"/>
        </w:rPr>
        <w:t>表4</w:t>
      </w:r>
      <w:r>
        <w:rPr>
          <w:rFonts w:hint="eastAsia" w:ascii="宋体" w:hAnsi="宋体" w:eastAsia="宋体" w:cs="宋体"/>
          <w:b/>
          <w:bCs w:val="0"/>
          <w:sz w:val="24"/>
          <w:szCs w:val="22"/>
          <w:lang w:val="en-US" w:eastAsia="zh-CN"/>
        </w:rPr>
        <w:t>-1</w:t>
      </w:r>
      <w:r>
        <w:rPr>
          <w:rFonts w:hint="eastAsia" w:ascii="宋体" w:hAnsi="宋体" w:eastAsia="宋体" w:cs="宋体"/>
          <w:b/>
          <w:bCs w:val="0"/>
          <w:color w:val="auto"/>
          <w:kern w:val="0"/>
          <w:sz w:val="28"/>
          <w:szCs w:val="28"/>
          <w:highlight w:val="none"/>
          <w:u w:val="none"/>
          <w:lang w:bidi="ar"/>
        </w:rPr>
        <w:t>企业主要设备及重点设施</w:t>
      </w:r>
      <w:r>
        <w:rPr>
          <w:rFonts w:hint="eastAsia" w:ascii="宋体" w:hAnsi="宋体" w:eastAsia="宋体" w:cs="宋体"/>
          <w:b/>
          <w:bCs w:val="0"/>
          <w:color w:val="auto"/>
          <w:kern w:val="0"/>
          <w:sz w:val="28"/>
          <w:szCs w:val="28"/>
          <w:highlight w:val="none"/>
          <w:u w:val="none"/>
        </w:rPr>
        <w:t>一览表</w:t>
      </w:r>
    </w:p>
    <w:tbl>
      <w:tblPr>
        <w:tblStyle w:val="20"/>
        <w:tblW w:w="8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8"/>
        <w:gridCol w:w="1553"/>
        <w:gridCol w:w="2576"/>
        <w:gridCol w:w="1113"/>
        <w:gridCol w:w="1531"/>
        <w:gridCol w:w="9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序号</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设备名称</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规格</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数量（台）</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材质</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1</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液蜡储罐</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Φ5740×6000，150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6</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液氯</w:t>
            </w:r>
            <w:r>
              <w:rPr>
                <w:rFonts w:hint="eastAsia" w:ascii="宋体" w:hAnsi="宋体" w:eastAsia="宋体" w:cs="宋体"/>
                <w:color w:val="auto"/>
                <w:spacing w:val="0"/>
                <w:sz w:val="24"/>
                <w:szCs w:val="24"/>
                <w:highlight w:val="none"/>
                <w:u w:val="none" w:color="auto"/>
                <w:lang w:eastAsia="zh-CN"/>
              </w:rPr>
              <w:t>槽车</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val="en-US" w:eastAsia="zh-CN"/>
              </w:rPr>
            </w:pPr>
            <w:r>
              <w:rPr>
                <w:rFonts w:hint="eastAsia" w:ascii="宋体" w:hAnsi="宋体" w:eastAsia="宋体" w:cs="宋体"/>
                <w:color w:val="auto"/>
                <w:spacing w:val="0"/>
                <w:sz w:val="24"/>
                <w:szCs w:val="24"/>
                <w:highlight w:val="none"/>
                <w:u w:val="none" w:color="auto"/>
                <w:lang w:val="en-US" w:eastAsia="zh-CN"/>
              </w:rPr>
              <w:t>1</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3</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液氯汽化器</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Φ1200×1800</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4</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氯气缓冲器</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Φ800×1500</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特种设备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氯化反应釜</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30</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6</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一氯釜</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Φ1300×4000，3</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7</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二氯釜</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Φ1300×4000，3</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8</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二氯釜</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9</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脱气釜</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半成品罐</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Φ1300×4000，5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w w:val="99"/>
                <w:sz w:val="24"/>
                <w:szCs w:val="24"/>
                <w:highlight w:val="none"/>
                <w:u w:val="none" w:color="auto"/>
                <w:lang w:val="en-US" w:eastAsia="zh-CN"/>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碳钢搪瓷</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11</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盐酸池</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10000×16000×5000</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水泥衬玻璃钢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12</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循环水池</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540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水泥</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13</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冷却塔</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100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14</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萃净塔</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Φ500×6000，2</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15</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蜡水分离器</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Φ450×4500</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16</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石墨吸收塔</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Φ450×4500，20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val="en-US" w:eastAsia="zh-CN"/>
              </w:rPr>
            </w:pPr>
            <w:r>
              <w:rPr>
                <w:rFonts w:hint="eastAsia" w:ascii="宋体" w:hAnsi="宋体" w:eastAsia="宋体" w:cs="宋体"/>
                <w:color w:val="auto"/>
                <w:spacing w:val="0"/>
                <w:sz w:val="24"/>
                <w:szCs w:val="24"/>
                <w:highlight w:val="none"/>
                <w:u w:val="none" w:color="auto"/>
                <w:lang w:val="en-US" w:eastAsia="zh-CN"/>
              </w:rPr>
              <w:t>10</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17</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循环酸罐</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Φ1000×1500，4</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10</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18</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循环酸罐</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Φ1000×1500，2</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19</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空压机</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WF1/8，0.9</w:t>
            </w:r>
            <w:r>
              <w:rPr>
                <w:rFonts w:hint="eastAsia" w:ascii="宋体" w:hAnsi="宋体" w:eastAsia="宋体" w:cs="宋体"/>
                <w:color w:val="auto"/>
                <w:spacing w:val="0"/>
                <w:sz w:val="24"/>
                <w:szCs w:val="24"/>
                <w:highlight w:val="none"/>
                <w:u w:val="none" w:color="auto"/>
                <w:lang w:eastAsia="zh-CN"/>
              </w:rPr>
              <w:t>m³</w:t>
            </w:r>
            <w:r>
              <w:rPr>
                <w:rFonts w:hint="eastAsia" w:ascii="宋体" w:hAnsi="宋体" w:eastAsia="宋体" w:cs="宋体"/>
                <w:color w:val="auto"/>
                <w:spacing w:val="0"/>
                <w:sz w:val="24"/>
                <w:szCs w:val="24"/>
                <w:highlight w:val="none"/>
                <w:u w:val="none" w:color="auto"/>
              </w:rPr>
              <w:t>/h</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碳钢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20</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喷淋塔</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Φ450×4500，30</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15</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玻璃钢</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jc w:val="center"/>
        </w:trPr>
        <w:tc>
          <w:tcPr>
            <w:tcW w:w="78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21</w:t>
            </w:r>
          </w:p>
        </w:tc>
        <w:tc>
          <w:tcPr>
            <w:tcW w:w="155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冷却器</w:t>
            </w:r>
          </w:p>
        </w:tc>
        <w:tc>
          <w:tcPr>
            <w:tcW w:w="257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rPr>
              <w:t>Φ400×1500，15</w:t>
            </w:r>
            <w:r>
              <w:rPr>
                <w:rFonts w:hint="eastAsia" w:ascii="宋体" w:hAnsi="宋体" w:eastAsia="宋体" w:cs="宋体"/>
                <w:color w:val="auto"/>
                <w:spacing w:val="0"/>
                <w:sz w:val="24"/>
                <w:szCs w:val="24"/>
                <w:highlight w:val="none"/>
                <w:u w:val="none" w:color="auto"/>
                <w:lang w:eastAsia="zh-CN"/>
              </w:rPr>
              <w:t>m³</w:t>
            </w:r>
          </w:p>
        </w:tc>
        <w:tc>
          <w:tcPr>
            <w:tcW w:w="1113"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30</w:t>
            </w:r>
          </w:p>
        </w:tc>
        <w:tc>
          <w:tcPr>
            <w:tcW w:w="1531"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石墨</w:t>
            </w:r>
          </w:p>
        </w:tc>
        <w:tc>
          <w:tcPr>
            <w:tcW w:w="98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p>
        </w:tc>
      </w:tr>
    </w:tbl>
    <w:p>
      <w:pPr>
        <w:numPr>
          <w:ilvl w:val="0"/>
          <w:numId w:val="0"/>
        </w:numPr>
        <w:spacing w:line="520" w:lineRule="exact"/>
        <w:ind w:firstLine="560" w:firstLineChars="200"/>
        <w:jc w:val="both"/>
        <w:outlineLvl w:val="3"/>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（2）产品及主要原辅材料消耗</w:t>
      </w:r>
    </w:p>
    <w:p>
      <w:pPr>
        <w:pStyle w:val="13"/>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bookmarkStart w:id="111" w:name="_Toc107924572"/>
      <w:bookmarkStart w:id="112" w:name="_Toc161"/>
      <w:bookmarkStart w:id="113" w:name="_Toc19828"/>
      <w:r>
        <w:rPr>
          <w:rFonts w:hint="eastAsia" w:ascii="宋体" w:hAnsi="宋体" w:eastAsia="宋体" w:cs="宋体"/>
          <w:b/>
          <w:bCs/>
          <w:color w:val="auto"/>
          <w:sz w:val="28"/>
          <w:szCs w:val="21"/>
          <w:highlight w:val="none"/>
          <w:lang w:val="en-US" w:eastAsia="zh-CN"/>
        </w:rPr>
        <w:t>表4-2</w:t>
      </w:r>
      <w:r>
        <w:rPr>
          <w:rFonts w:hint="eastAsia" w:ascii="宋体" w:hAnsi="宋体" w:eastAsia="宋体" w:cs="宋体"/>
          <w:b/>
          <w:bCs/>
          <w:color w:val="auto"/>
          <w:sz w:val="28"/>
          <w:szCs w:val="21"/>
          <w:highlight w:val="none"/>
        </w:rPr>
        <w:t>原辅材料、中间产品涉及</w:t>
      </w:r>
      <w:r>
        <w:rPr>
          <w:rFonts w:hint="eastAsia" w:hAnsi="宋体" w:eastAsia="宋体" w:cs="宋体"/>
          <w:b/>
          <w:bCs/>
          <w:color w:val="auto"/>
          <w:sz w:val="28"/>
          <w:szCs w:val="21"/>
          <w:highlight w:val="none"/>
          <w:lang w:val="en-US" w:eastAsia="zh-CN"/>
        </w:rPr>
        <w:t>能源消耗</w:t>
      </w:r>
      <w:r>
        <w:rPr>
          <w:rFonts w:hint="eastAsia" w:ascii="宋体" w:hAnsi="宋体" w:eastAsia="宋体" w:cs="宋体"/>
          <w:b/>
          <w:bCs/>
          <w:color w:val="auto"/>
          <w:sz w:val="28"/>
          <w:szCs w:val="21"/>
          <w:highlight w:val="none"/>
        </w:rPr>
        <w:t>情况一览表</w:t>
      </w:r>
    </w:p>
    <w:tbl>
      <w:tblPr>
        <w:tblStyle w:val="21"/>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483"/>
        <w:gridCol w:w="1332"/>
        <w:gridCol w:w="2178"/>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序号</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原料名称</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形态</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单耗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kg/t产品</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储运装卸方式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液体石蜡</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液体</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504.45</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液氯</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液体</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1034.45</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瓶装、槽车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稳定剂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(三乙醇胺）</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液体</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3.0</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eastAsia="zh-CN"/>
              </w:rPr>
              <w:t>液碱（浓度</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eastAsia="zh-CN"/>
              </w:rPr>
              <w:t>）</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液体</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26.68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（片碱折算量）</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新鲜水</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1.486</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w:t>
            </w:r>
          </w:p>
        </w:tc>
        <w:tc>
          <w:tcPr>
            <w:tcW w:w="24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电</w:t>
            </w:r>
          </w:p>
        </w:tc>
        <w:tc>
          <w:tcPr>
            <w:tcW w:w="13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21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36kwh</w:t>
            </w:r>
          </w:p>
        </w:tc>
        <w:tc>
          <w:tcPr>
            <w:tcW w:w="17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auto"/>
                <w:sz w:val="24"/>
                <w:szCs w:val="24"/>
                <w:highlight w:val="none"/>
              </w:rPr>
            </w:pPr>
          </w:p>
        </w:tc>
      </w:tr>
    </w:tbl>
    <w:p>
      <w:pPr>
        <w:spacing w:line="360" w:lineRule="auto"/>
        <w:ind w:left="0" w:leftChars="0" w:firstLine="0" w:firstLineChars="0"/>
        <w:jc w:val="center"/>
        <w:rPr>
          <w:rFonts w:hint="default" w:ascii="宋体" w:hAnsi="宋体" w:eastAsia="宋体" w:cs="宋体"/>
          <w:b/>
          <w:bCs/>
          <w:color w:val="auto"/>
          <w:kern w:val="2"/>
          <w:sz w:val="28"/>
          <w:szCs w:val="21"/>
          <w:highlight w:val="none"/>
          <w:lang w:val="en-US" w:eastAsia="zh-CN" w:bidi="ar-SA"/>
        </w:rPr>
      </w:pPr>
      <w:r>
        <w:rPr>
          <w:rFonts w:hint="eastAsia" w:ascii="宋体" w:hAnsi="宋体" w:eastAsia="宋体" w:cs="宋体"/>
          <w:b/>
          <w:bCs/>
          <w:color w:val="auto"/>
          <w:kern w:val="2"/>
          <w:sz w:val="28"/>
          <w:szCs w:val="21"/>
          <w:highlight w:val="none"/>
          <w:lang w:val="en-US" w:eastAsia="zh-CN" w:bidi="ar-SA"/>
        </w:rPr>
        <w:t>表4-3  产品、副产品一览表</w:t>
      </w:r>
    </w:p>
    <w:tbl>
      <w:tblPr>
        <w:tblStyle w:val="21"/>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4"/>
        <w:gridCol w:w="3770"/>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产  品</w:t>
            </w:r>
          </w:p>
        </w:tc>
        <w:tc>
          <w:tcPr>
            <w:tcW w:w="3770"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设计产量</w:t>
            </w:r>
          </w:p>
        </w:tc>
        <w:tc>
          <w:tcPr>
            <w:tcW w:w="2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氯化石蜡</w:t>
            </w:r>
          </w:p>
        </w:tc>
        <w:tc>
          <w:tcPr>
            <w:tcW w:w="3770"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40000</w:t>
            </w:r>
          </w:p>
        </w:tc>
        <w:tc>
          <w:tcPr>
            <w:tcW w:w="2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盐酸（31%）</w:t>
            </w:r>
          </w:p>
        </w:tc>
        <w:tc>
          <w:tcPr>
            <w:tcW w:w="3770"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67602</w:t>
            </w:r>
          </w:p>
        </w:tc>
        <w:tc>
          <w:tcPr>
            <w:tcW w:w="2084" w:type="dxa"/>
            <w:vAlign w:val="center"/>
          </w:tcPr>
          <w:p>
            <w:pPr>
              <w:pStyle w:val="15"/>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吨</w:t>
            </w:r>
          </w:p>
        </w:tc>
      </w:tr>
    </w:tbl>
    <w:p>
      <w:pPr>
        <w:pStyle w:val="8"/>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14" w:name="_Toc26810"/>
      <w:r>
        <w:rPr>
          <w:rFonts w:hint="eastAsia" w:ascii="宋体" w:hAnsi="宋体" w:eastAsia="宋体" w:cs="宋体"/>
          <w:b/>
          <w:bCs/>
          <w:kern w:val="2"/>
          <w:sz w:val="28"/>
          <w:szCs w:val="32"/>
          <w:lang w:val="en-US" w:eastAsia="zh-CN" w:bidi="ar-SA"/>
        </w:rPr>
        <w:t>4.2企业生产工艺</w:t>
      </w:r>
      <w:bookmarkEnd w:id="111"/>
      <w:bookmarkEnd w:id="112"/>
      <w:bookmarkEnd w:id="113"/>
      <w:r>
        <w:rPr>
          <w:rFonts w:hint="eastAsia" w:ascii="宋体" w:hAnsi="宋体" w:eastAsia="宋体" w:cs="宋体"/>
          <w:b/>
          <w:bCs/>
          <w:kern w:val="2"/>
          <w:sz w:val="28"/>
          <w:szCs w:val="32"/>
          <w:lang w:val="en-US" w:eastAsia="zh-CN" w:bidi="ar-SA"/>
        </w:rPr>
        <w:t>及产排污环节</w:t>
      </w:r>
      <w:bookmarkEnd w:id="114"/>
    </w:p>
    <w:p>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b w:val="0"/>
          <w:bCs/>
          <w:color w:val="auto"/>
          <w:kern w:val="0"/>
          <w:sz w:val="28"/>
          <w:szCs w:val="28"/>
          <w:highlight w:val="none"/>
          <w:lang w:val="zh-CN"/>
        </w:rPr>
      </w:pPr>
      <w:bookmarkStart w:id="115" w:name="_Toc17786"/>
      <w:bookmarkStart w:id="116" w:name="_Toc30707"/>
      <w:bookmarkStart w:id="117" w:name="_Toc5120"/>
      <w:bookmarkStart w:id="118" w:name="_Toc12454"/>
      <w:bookmarkStart w:id="119" w:name="_Toc53736354"/>
      <w:bookmarkStart w:id="120" w:name="_Toc19887_WPSOffice_Level1"/>
      <w:bookmarkStart w:id="121" w:name="_Toc29431"/>
      <w:bookmarkStart w:id="122" w:name="_Toc26004781"/>
      <w:bookmarkStart w:id="123" w:name="_Toc19398"/>
      <w:bookmarkStart w:id="124" w:name="_Toc14776"/>
      <w:bookmarkStart w:id="125" w:name="_Toc22983"/>
      <w:bookmarkStart w:id="126" w:name="_Toc11417"/>
      <w:bookmarkStart w:id="127" w:name="_Toc29313_WPSOffice_Level1"/>
      <w:bookmarkStart w:id="128" w:name="_Toc15291"/>
      <w:bookmarkStart w:id="129" w:name="_Toc22500"/>
      <w:r>
        <w:rPr>
          <w:rFonts w:hint="eastAsia" w:ascii="宋体" w:hAnsi="宋体" w:eastAsia="宋体" w:cs="宋体"/>
          <w:b w:val="0"/>
          <w:bCs/>
          <w:color w:val="auto"/>
          <w:kern w:val="0"/>
          <w:sz w:val="28"/>
          <w:szCs w:val="28"/>
          <w:highlight w:val="none"/>
          <w:lang w:val="en-US" w:eastAsia="zh-CN"/>
        </w:rPr>
        <w:t>3.2.1</w:t>
      </w:r>
      <w:r>
        <w:rPr>
          <w:rFonts w:hint="eastAsia" w:ascii="宋体" w:hAnsi="宋体" w:eastAsia="宋体" w:cs="宋体"/>
          <w:b w:val="0"/>
          <w:bCs/>
          <w:color w:val="auto"/>
          <w:kern w:val="0"/>
          <w:sz w:val="28"/>
          <w:szCs w:val="28"/>
          <w:highlight w:val="none"/>
          <w:lang w:val="zh-CN"/>
        </w:rPr>
        <w:t>氯化石蜡工艺简述</w:t>
      </w:r>
    </w:p>
    <w:p>
      <w:pPr>
        <w:spacing w:line="520" w:lineRule="exact"/>
        <w:ind w:firstLine="565" w:firstLineChars="2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氯化石蜡生产装置主要以氯气、液蜡为原料，生产装置主要由液氯汽化器、氯化反应釜、半成品釜、副反应釜、脱气釜装置等工艺设备以及消防、水、电供应，原料、产品储存等生产辅助设施组成。</w:t>
      </w:r>
    </w:p>
    <w:p>
      <w:pPr>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氯化石蜡主要反应式如下:</w:t>
      </w:r>
    </w:p>
    <w:p>
      <w:pPr>
        <w:adjustRightInd w:val="0"/>
        <w:snapToGrid w:val="0"/>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C</w:t>
      </w:r>
      <w:r>
        <w:rPr>
          <w:rFonts w:hint="eastAsia" w:ascii="宋体" w:hAnsi="宋体" w:eastAsia="宋体" w:cs="宋体"/>
          <w:color w:val="auto"/>
          <w:sz w:val="28"/>
          <w:szCs w:val="28"/>
          <w:highlight w:val="none"/>
          <w:vertAlign w:val="subscript"/>
        </w:rPr>
        <w:t>15</w:t>
      </w:r>
      <w:r>
        <w:rPr>
          <w:rFonts w:hint="eastAsia" w:ascii="宋体" w:hAnsi="宋体" w:eastAsia="宋体" w:cs="宋体"/>
          <w:color w:val="auto"/>
          <w:sz w:val="28"/>
          <w:szCs w:val="28"/>
          <w:highlight w:val="none"/>
        </w:rPr>
        <w:t>H</w:t>
      </w:r>
      <w:r>
        <w:rPr>
          <w:rFonts w:hint="eastAsia" w:ascii="宋体" w:hAnsi="宋体" w:eastAsia="宋体" w:cs="宋体"/>
          <w:color w:val="auto"/>
          <w:sz w:val="28"/>
          <w:szCs w:val="28"/>
          <w:highlight w:val="none"/>
          <w:vertAlign w:val="subscript"/>
        </w:rPr>
        <w:t>32</w:t>
      </w:r>
      <w:r>
        <w:rPr>
          <w:rFonts w:hint="eastAsia" w:ascii="宋体" w:hAnsi="宋体" w:eastAsia="宋体" w:cs="宋体"/>
          <w:color w:val="auto"/>
          <w:sz w:val="28"/>
          <w:szCs w:val="28"/>
          <w:highlight w:val="none"/>
        </w:rPr>
        <w:t>+7Cl</w:t>
      </w:r>
      <w:r>
        <w:rPr>
          <w:rFonts w:hint="eastAsia" w:ascii="宋体" w:hAnsi="宋体" w:eastAsia="宋体" w:cs="宋体"/>
          <w:color w:val="auto"/>
          <w:sz w:val="28"/>
          <w:szCs w:val="28"/>
          <w:highlight w:val="none"/>
          <w:vertAlign w:val="subscript"/>
        </w:rPr>
        <w:t>2</w:t>
      </w:r>
      <w:r>
        <w:rPr>
          <w:rFonts w:hint="eastAsia" w:ascii="宋体" w:hAnsi="宋体" w:eastAsia="宋体" w:cs="宋体"/>
          <w:color w:val="auto"/>
          <w:sz w:val="28"/>
          <w:szCs w:val="28"/>
          <w:highlight w:val="none"/>
        </w:rPr>
        <w:t>——C</w:t>
      </w:r>
      <w:r>
        <w:rPr>
          <w:rFonts w:hint="eastAsia" w:ascii="宋体" w:hAnsi="宋体" w:eastAsia="宋体" w:cs="宋体"/>
          <w:color w:val="auto"/>
          <w:sz w:val="28"/>
          <w:szCs w:val="28"/>
          <w:highlight w:val="none"/>
          <w:vertAlign w:val="subscript"/>
        </w:rPr>
        <w:t>15</w:t>
      </w:r>
      <w:r>
        <w:rPr>
          <w:rFonts w:hint="eastAsia" w:ascii="宋体" w:hAnsi="宋体" w:eastAsia="宋体" w:cs="宋体"/>
          <w:color w:val="auto"/>
          <w:sz w:val="28"/>
          <w:szCs w:val="28"/>
          <w:highlight w:val="none"/>
        </w:rPr>
        <w:t>H</w:t>
      </w:r>
      <w:r>
        <w:rPr>
          <w:rFonts w:hint="eastAsia" w:ascii="宋体" w:hAnsi="宋体" w:eastAsia="宋体" w:cs="宋体"/>
          <w:color w:val="auto"/>
          <w:sz w:val="28"/>
          <w:szCs w:val="28"/>
          <w:highlight w:val="none"/>
          <w:vertAlign w:val="subscript"/>
        </w:rPr>
        <w:t>25</w:t>
      </w:r>
      <w:r>
        <w:rPr>
          <w:rFonts w:hint="eastAsia" w:ascii="宋体" w:hAnsi="宋体" w:eastAsia="宋体" w:cs="宋体"/>
          <w:color w:val="auto"/>
          <w:sz w:val="28"/>
          <w:szCs w:val="28"/>
          <w:highlight w:val="none"/>
        </w:rPr>
        <w:t>Cl</w:t>
      </w:r>
      <w:r>
        <w:rPr>
          <w:rFonts w:hint="eastAsia" w:ascii="宋体" w:hAnsi="宋体" w:eastAsia="宋体" w:cs="宋体"/>
          <w:color w:val="auto"/>
          <w:sz w:val="28"/>
          <w:szCs w:val="28"/>
          <w:highlight w:val="none"/>
          <w:vertAlign w:val="subscript"/>
        </w:rPr>
        <w:t>7</w:t>
      </w:r>
      <w:r>
        <w:rPr>
          <w:rFonts w:hint="eastAsia" w:ascii="宋体" w:hAnsi="宋体" w:eastAsia="宋体" w:cs="宋体"/>
          <w:color w:val="auto"/>
          <w:sz w:val="28"/>
          <w:szCs w:val="28"/>
          <w:highlight w:val="none"/>
        </w:rPr>
        <w:t>+7HCl↑+Q</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工艺流程为：</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1、液体石蜡精制</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原料液蜡经过自然静置沉降后，经流量计将定量的液体石蜡加入一氯釜（V109），然后依靠溢流依次进入二氯釜（V110）和三氯釜（R108）。</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2、氯化反应</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液氯钢瓶中的液态氯减压后进入汽化盘管，氯气经汽化槽内的热水加热（汽化加热时热水温度不得超过40℃）汽化后进入缓冲罐稳压、除杂（主要除去酸雾和三氯化铁粉尘），然后由氯气总管、支管经转子流量计计量后分别进入6台氯化反应釜（R101-R106）。在紫外线的照射下，控制氯气流量，使氯气与液体石蜡进行反应。</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液体石蜡经过三氯釜后首先进入R101，然后依靠溢流依次进入R102-R106，6台氯化反应釜（R101-R106）为串联布置。从R101到R106，液体石蜡的氯化程度逐渐升高，当氯化反应釜（R106）中物料比重达到1.23～1.25时为反应终点，将氯化反应釜（R106）中物料用泵抽入到半成品罐。在正常生产中，通过调节氯气和液体石蜡的流量来控制氯化的程度。氯化反应由紫外线提供能量反应，由于氯化反应是放热反应，达到一定的温度后需用冷却水冷却，氯化反应釜产生的氯化氢和微量的未反应的氯气进入三氯反应釜继续与液体石蜡反应。</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3、氯化石蜡精制</w:t>
      </w:r>
    </w:p>
    <w:p>
      <w:pPr>
        <w:tabs>
          <w:tab w:val="left" w:pos="540"/>
        </w:tabs>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氯化反应结束后，将半成品罐中的物料用泵抽入成品罐（V117），向成品罐（V117）中通入压缩空气，吹出氯化石蜡中溶解的氯化氢和氯气，吹出的气体送尾气吸收塔处理。吹气结束后，向成品罐（V117）加入稳定剂（乙二醇二缩水甘油醚）即成为氯化石蜡成品，从釜底部放出，经装桶包装后入库。由于稳定剂的用量很少，采用手工加入的方式，即经过计量后，在需要的时候，通过漏斗加入。</w:t>
      </w:r>
    </w:p>
    <w:p>
      <w:pPr>
        <w:adjustRightInd w:val="0"/>
        <w:snapToGrid w:val="0"/>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4、盐酸吸收</w:t>
      </w:r>
    </w:p>
    <w:p>
      <w:pPr>
        <w:adjustRightInd w:val="0"/>
        <w:snapToGrid w:val="0"/>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氯化反应产生的副产物氯化氢和微量的氯气及精制釜中吹出的氯化氢和氯气进入三氯釜（R108），在三氯釜（R108）中继续吸收氯化氢和微量的氯气，未被吸收的气体主要为氯化氢，经分离器后进入石墨改性聚丙烯降膜式吸收塔（T105），</w:t>
      </w:r>
      <w:r>
        <w:rPr>
          <w:rFonts w:hint="eastAsia" w:ascii="宋体" w:hAnsi="宋体" w:eastAsia="宋体" w:cs="宋体"/>
          <w:color w:val="auto"/>
          <w:sz w:val="28"/>
          <w:szCs w:val="28"/>
          <w:highlight w:val="none"/>
        </w:rPr>
        <w:t>用中浓度盐酸吸收氯化氢后，进入二氯釜（V110）与液体石蜡反应，尾气进入第二降膜吸收塔（T106）和一氯釜（V109），然后尾气进入三级喷淋吸收塔（T102、T103、T104）用水吸收，最终，尾气进入碱吸收塔吸收后放空。水经过逐级吸收氯化氢，盐酸浓度逐渐升高，最终</w:t>
      </w:r>
      <w:r>
        <w:rPr>
          <w:rFonts w:hint="eastAsia" w:ascii="宋体" w:hAnsi="宋体" w:eastAsia="宋体" w:cs="宋体"/>
          <w:color w:val="auto"/>
          <w:kern w:val="0"/>
          <w:sz w:val="28"/>
          <w:szCs w:val="28"/>
          <w:highlight w:val="none"/>
        </w:rPr>
        <w:t>得到的浓度为31.02%的盐酸进入盐酸循环罐（V105），再由酸泵（P102）打进盐酸罐储存，进行出售。</w:t>
      </w:r>
    </w:p>
    <w:p>
      <w:pPr>
        <w:pStyle w:val="18"/>
        <w:spacing w:beforeLines="50" w:beforeAutospacing="0" w:after="0" w:afterAutospacing="0" w:line="240" w:lineRule="auto"/>
        <w:ind w:left="301" w:hanging="240" w:hangingChars="100"/>
        <w:jc w:val="left"/>
        <w:outlineLvl w:val="9"/>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drawing>
          <wp:inline distT="0" distB="0" distL="114300" distR="114300">
            <wp:extent cx="5046980" cy="5414645"/>
            <wp:effectExtent l="0" t="0" r="7620" b="8255"/>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12"/>
                    <a:stretch>
                      <a:fillRect/>
                    </a:stretch>
                  </pic:blipFill>
                  <pic:spPr>
                    <a:xfrm>
                      <a:off x="0" y="0"/>
                      <a:ext cx="5046980" cy="5414645"/>
                    </a:xfrm>
                    <a:prstGeom prst="rect">
                      <a:avLst/>
                    </a:prstGeom>
                    <a:noFill/>
                    <a:ln>
                      <a:noFill/>
                    </a:ln>
                  </pic:spPr>
                </pic:pic>
              </a:graphicData>
            </a:graphic>
          </wp:inline>
        </w:drawing>
      </w:r>
    </w:p>
    <w:p>
      <w:pPr>
        <w:pStyle w:val="18"/>
        <w:spacing w:beforeLines="50" w:beforeAutospacing="0" w:after="0" w:afterAutospacing="0" w:line="240" w:lineRule="auto"/>
        <w:ind w:left="301" w:hanging="280" w:hangingChars="100"/>
        <w:jc w:val="center"/>
        <w:outlineLvl w:val="9"/>
        <w:rPr>
          <w:rFonts w:hint="eastAsia" w:hAnsi="宋体" w:cs="宋体"/>
          <w:b/>
          <w:bCs/>
          <w:color w:val="auto"/>
          <w:spacing w:val="0"/>
          <w:sz w:val="28"/>
          <w:szCs w:val="28"/>
          <w:highlight w:val="none"/>
          <w:u w:val="none" w:color="auto"/>
          <w:lang w:val="en-US" w:eastAsia="zh-CN"/>
        </w:rPr>
      </w:pPr>
    </w:p>
    <w:p>
      <w:pPr>
        <w:pStyle w:val="18"/>
        <w:spacing w:beforeLines="50" w:beforeAutospacing="0" w:after="0" w:afterAutospacing="0" w:line="240" w:lineRule="auto"/>
        <w:ind w:left="301" w:hanging="280" w:hangingChars="100"/>
        <w:jc w:val="center"/>
        <w:outlineLvl w:val="9"/>
        <w:rPr>
          <w:rFonts w:hint="default" w:ascii="宋体" w:hAnsi="宋体" w:eastAsia="宋体" w:cs="宋体"/>
          <w:b/>
          <w:bCs/>
          <w:color w:val="auto"/>
          <w:spacing w:val="0"/>
          <w:sz w:val="28"/>
          <w:szCs w:val="28"/>
          <w:highlight w:val="none"/>
          <w:u w:val="none" w:color="auto"/>
          <w:lang w:val="en-US" w:eastAsia="zh-CN"/>
        </w:rPr>
      </w:pPr>
      <w:r>
        <w:rPr>
          <w:rFonts w:hint="eastAsia" w:hAnsi="宋体" w:cs="宋体"/>
          <w:b/>
          <w:bCs/>
          <w:color w:val="auto"/>
          <w:spacing w:val="0"/>
          <w:sz w:val="28"/>
          <w:szCs w:val="28"/>
          <w:highlight w:val="none"/>
          <w:u w:val="none" w:color="auto"/>
          <w:lang w:val="en-US" w:eastAsia="zh-CN"/>
        </w:rPr>
        <w:t>图1 工艺流程及产污节点图</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leftChars="0" w:right="0" w:firstLine="0" w:firstLineChars="0"/>
        <w:jc w:val="left"/>
        <w:textAlignment w:val="auto"/>
        <w:outlineLvl w:val="1"/>
        <w:rPr>
          <w:rFonts w:hint="eastAsia" w:ascii="宋体" w:hAnsi="宋体" w:eastAsia="宋体" w:cs="宋体"/>
          <w:b/>
          <w:bCs/>
          <w:color w:val="auto"/>
          <w:sz w:val="28"/>
          <w:szCs w:val="28"/>
          <w:highlight w:val="none"/>
          <w:u w:val="none"/>
        </w:rPr>
      </w:pPr>
      <w:bookmarkStart w:id="130" w:name="_Toc16457"/>
      <w:bookmarkStart w:id="131" w:name="_Toc14496"/>
      <w:bookmarkStart w:id="132" w:name="_Toc4597"/>
      <w:r>
        <w:rPr>
          <w:rFonts w:hint="eastAsia" w:ascii="宋体" w:hAnsi="宋体" w:eastAsia="宋体" w:cs="宋体"/>
          <w:b/>
          <w:bCs/>
          <w:color w:val="auto"/>
          <w:sz w:val="28"/>
          <w:szCs w:val="28"/>
          <w:highlight w:val="none"/>
          <w:u w:val="none"/>
          <w:lang w:val="en-US" w:eastAsia="zh-CN"/>
        </w:rPr>
        <w:t>4.3</w:t>
      </w:r>
      <w:r>
        <w:rPr>
          <w:rFonts w:hint="eastAsia" w:ascii="宋体" w:hAnsi="宋体" w:eastAsia="宋体" w:cs="宋体"/>
          <w:b/>
          <w:bCs/>
          <w:color w:val="auto"/>
          <w:sz w:val="28"/>
          <w:szCs w:val="28"/>
          <w:highlight w:val="none"/>
          <w:u w:val="none"/>
        </w:rPr>
        <w:t>“三废”的产生及治理</w:t>
      </w:r>
      <w:bookmarkEnd w:id="130"/>
      <w:bookmarkEnd w:id="131"/>
      <w:bookmarkEnd w:id="132"/>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492"/>
        <w:jc w:val="left"/>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根据</w:t>
      </w:r>
      <w:r>
        <w:rPr>
          <w:rFonts w:hint="eastAsia" w:ascii="宋体" w:hAnsi="宋体" w:eastAsia="宋体" w:cs="宋体"/>
          <w:color w:val="auto"/>
          <w:spacing w:val="0"/>
          <w:sz w:val="28"/>
          <w:szCs w:val="28"/>
          <w:highlight w:val="none"/>
          <w:u w:val="none" w:color="auto"/>
          <w:lang w:val="en-US" w:eastAsia="zh-CN"/>
        </w:rPr>
        <w:t>原</w:t>
      </w:r>
      <w:r>
        <w:rPr>
          <w:rFonts w:hint="eastAsia" w:ascii="宋体" w:hAnsi="宋体" w:eastAsia="宋体" w:cs="宋体"/>
          <w:color w:val="auto"/>
          <w:spacing w:val="0"/>
          <w:sz w:val="28"/>
          <w:szCs w:val="28"/>
          <w:highlight w:val="none"/>
          <w:u w:val="none" w:color="auto"/>
        </w:rPr>
        <w:t>三门峡市</w:t>
      </w:r>
      <w:r>
        <w:rPr>
          <w:rFonts w:hint="eastAsia" w:ascii="宋体" w:hAnsi="宋体" w:eastAsia="宋体" w:cs="宋体"/>
          <w:color w:val="auto"/>
          <w:spacing w:val="0"/>
          <w:sz w:val="28"/>
          <w:szCs w:val="28"/>
          <w:highlight w:val="none"/>
          <w:u w:val="none" w:color="auto"/>
          <w:lang w:val="en-US" w:eastAsia="zh-CN"/>
        </w:rPr>
        <w:t>环保局《关于三门峡昊昱化工有限公司年产4万吨氯化石蜡项目环境影响报告书的审批意见》</w:t>
      </w:r>
      <w:r>
        <w:rPr>
          <w:rFonts w:hint="eastAsia" w:ascii="宋体" w:hAnsi="宋体" w:eastAsia="宋体" w:cs="宋体"/>
          <w:color w:val="auto"/>
          <w:spacing w:val="0"/>
          <w:sz w:val="28"/>
          <w:szCs w:val="28"/>
          <w:highlight w:val="none"/>
          <w:u w:val="none" w:color="auto"/>
          <w:lang w:eastAsia="zh-CN"/>
        </w:rPr>
        <w:t>（</w:t>
      </w:r>
      <w:r>
        <w:rPr>
          <w:rFonts w:hint="eastAsia" w:ascii="宋体" w:hAnsi="宋体" w:eastAsia="宋体" w:cs="宋体"/>
          <w:color w:val="auto"/>
          <w:spacing w:val="0"/>
          <w:sz w:val="28"/>
          <w:szCs w:val="28"/>
          <w:highlight w:val="none"/>
          <w:u w:val="none" w:color="auto"/>
        </w:rPr>
        <w:t>三环审〔2010〕229号文</w:t>
      </w:r>
      <w:r>
        <w:rPr>
          <w:rFonts w:hint="eastAsia" w:ascii="宋体" w:hAnsi="宋体" w:eastAsia="宋体" w:cs="宋体"/>
          <w:color w:val="auto"/>
          <w:spacing w:val="0"/>
          <w:sz w:val="28"/>
          <w:szCs w:val="28"/>
          <w:highlight w:val="none"/>
          <w:u w:val="none" w:color="auto"/>
          <w:lang w:eastAsia="zh-CN"/>
        </w:rPr>
        <w:t>）</w:t>
      </w:r>
      <w:r>
        <w:rPr>
          <w:rFonts w:hint="eastAsia" w:ascii="宋体" w:hAnsi="宋体" w:eastAsia="宋体" w:cs="宋体"/>
          <w:color w:val="auto"/>
          <w:spacing w:val="0"/>
          <w:sz w:val="28"/>
          <w:szCs w:val="28"/>
          <w:highlight w:val="none"/>
          <w:u w:val="none" w:color="auto"/>
        </w:rPr>
        <w:t>，本企业已按照环评批复要求将环保设施安装到位。</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1、废气治理措施</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560" w:firstLineChars="200"/>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本项目生产中主要产生氯化氢和氯气，具体产生情况如下表。</w:t>
      </w:r>
    </w:p>
    <w:p>
      <w:pPr>
        <w:keepNext w:val="0"/>
        <w:keepLines w:val="0"/>
        <w:pageBreakBefore w:val="0"/>
        <w:widowControl w:val="0"/>
        <w:tabs>
          <w:tab w:val="left" w:pos="4230"/>
        </w:tabs>
        <w:kinsoku/>
        <w:wordWrap/>
        <w:overflowPunct/>
        <w:topLinePunct w:val="0"/>
        <w:autoSpaceDE w:val="0"/>
        <w:autoSpaceDN w:val="0"/>
        <w:bidi w:val="0"/>
        <w:adjustRightInd/>
        <w:snapToGrid/>
        <w:spacing w:beforeAutospacing="0" w:after="0" w:afterAutospacing="0" w:line="360" w:lineRule="auto"/>
        <w:ind w:left="0" w:leftChars="0" w:right="0" w:firstLine="0" w:firstLineChars="0"/>
        <w:jc w:val="center"/>
        <w:textAlignment w:val="auto"/>
        <w:rPr>
          <w:rFonts w:hint="eastAsia" w:ascii="宋体" w:hAnsi="宋体" w:eastAsia="宋体" w:cs="宋体"/>
          <w:b/>
          <w:color w:val="auto"/>
          <w:spacing w:val="0"/>
          <w:sz w:val="28"/>
          <w:szCs w:val="28"/>
          <w:highlight w:val="none"/>
          <w:u w:val="none" w:color="auto"/>
        </w:rPr>
      </w:pPr>
      <w:r>
        <w:rPr>
          <w:rFonts w:hint="eastAsia" w:ascii="宋体" w:hAnsi="宋体" w:eastAsia="宋体" w:cs="宋体"/>
          <w:b/>
          <w:color w:val="auto"/>
          <w:spacing w:val="0"/>
          <w:sz w:val="28"/>
          <w:szCs w:val="28"/>
          <w:highlight w:val="none"/>
          <w:u w:val="none" w:color="auto"/>
        </w:rPr>
        <w:t>表</w:t>
      </w:r>
      <w:r>
        <w:rPr>
          <w:rFonts w:hint="eastAsia" w:ascii="宋体" w:hAnsi="宋体" w:cs="宋体"/>
          <w:b/>
          <w:color w:val="auto"/>
          <w:spacing w:val="0"/>
          <w:sz w:val="28"/>
          <w:szCs w:val="28"/>
          <w:highlight w:val="none"/>
          <w:u w:val="none" w:color="auto"/>
          <w:lang w:val="en-US" w:eastAsia="zh-CN"/>
        </w:rPr>
        <w:t xml:space="preserve">4-4 </w:t>
      </w:r>
      <w:r>
        <w:rPr>
          <w:rFonts w:hint="eastAsia" w:ascii="宋体" w:hAnsi="宋体" w:eastAsia="宋体" w:cs="宋体"/>
          <w:b/>
          <w:color w:val="auto"/>
          <w:spacing w:val="0"/>
          <w:sz w:val="28"/>
          <w:szCs w:val="28"/>
          <w:highlight w:val="none"/>
          <w:u w:val="none" w:color="auto"/>
        </w:rPr>
        <w:t>废气排放情况及治理措施</w:t>
      </w:r>
    </w:p>
    <w:tbl>
      <w:tblPr>
        <w:tblStyle w:val="20"/>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59"/>
        <w:gridCol w:w="1655"/>
        <w:gridCol w:w="1389"/>
        <w:gridCol w:w="1126"/>
        <w:gridCol w:w="1058"/>
        <w:gridCol w:w="955"/>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59"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p>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污染工序</w:t>
            </w:r>
          </w:p>
        </w:tc>
        <w:tc>
          <w:tcPr>
            <w:tcW w:w="1655"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p>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治理措施</w:t>
            </w:r>
          </w:p>
        </w:tc>
        <w:tc>
          <w:tcPr>
            <w:tcW w:w="1389"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p>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排气筒</w:t>
            </w:r>
          </w:p>
        </w:tc>
        <w:tc>
          <w:tcPr>
            <w:tcW w:w="1126"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p>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污染物</w:t>
            </w:r>
          </w:p>
        </w:tc>
        <w:tc>
          <w:tcPr>
            <w:tcW w:w="2889" w:type="dxa"/>
            <w:gridSpan w:val="3"/>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59"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655"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389"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126"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058"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lang w:eastAsia="zh-CN"/>
              </w:rPr>
            </w:pPr>
            <w:r>
              <w:rPr>
                <w:rFonts w:hint="eastAsia" w:ascii="宋体" w:hAnsi="宋体" w:eastAsia="宋体" w:cs="宋体"/>
                <w:b/>
                <w:color w:val="auto"/>
                <w:spacing w:val="0"/>
                <w:sz w:val="21"/>
                <w:szCs w:val="21"/>
                <w:highlight w:val="none"/>
                <w:u w:val="none" w:color="auto"/>
              </w:rPr>
              <w:t>mg/</w:t>
            </w:r>
            <w:r>
              <w:rPr>
                <w:rFonts w:hint="eastAsia" w:ascii="宋体" w:hAnsi="宋体" w:eastAsia="宋体" w:cs="宋体"/>
                <w:b/>
                <w:color w:val="auto"/>
                <w:spacing w:val="0"/>
                <w:sz w:val="21"/>
                <w:szCs w:val="21"/>
                <w:highlight w:val="none"/>
                <w:u w:val="none" w:color="auto"/>
                <w:lang w:eastAsia="zh-CN"/>
              </w:rPr>
              <w:t>m³</w:t>
            </w:r>
          </w:p>
        </w:tc>
        <w:tc>
          <w:tcPr>
            <w:tcW w:w="955"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kg/h</w:t>
            </w:r>
          </w:p>
        </w:tc>
        <w:tc>
          <w:tcPr>
            <w:tcW w:w="87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1"/>
                <w:szCs w:val="21"/>
                <w:highlight w:val="none"/>
                <w:u w:val="none" w:color="auto"/>
              </w:rPr>
            </w:pPr>
            <w:r>
              <w:rPr>
                <w:rFonts w:hint="eastAsia" w:ascii="宋体" w:hAnsi="宋体" w:eastAsia="宋体" w:cs="宋体"/>
                <w:b/>
                <w:color w:val="auto"/>
                <w:spacing w:val="0"/>
                <w:sz w:val="21"/>
                <w:szCs w:val="21"/>
                <w:highlight w:val="none"/>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59"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r>
              <w:rPr>
                <w:rFonts w:hint="eastAsia" w:ascii="宋体" w:hAnsi="宋体" w:eastAsia="宋体" w:cs="宋体"/>
                <w:color w:val="auto"/>
                <w:spacing w:val="0"/>
                <w:sz w:val="21"/>
                <w:szCs w:val="21"/>
                <w:highlight w:val="none"/>
                <w:u w:val="none" w:color="auto"/>
              </w:rPr>
              <w:t>氯化尾气、吹脱尾气、盐酸储槽及装车挥发气</w:t>
            </w:r>
          </w:p>
        </w:tc>
        <w:tc>
          <w:tcPr>
            <w:tcW w:w="1655"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both"/>
              <w:textAlignment w:val="auto"/>
              <w:rPr>
                <w:rFonts w:hint="eastAsia" w:ascii="宋体" w:hAnsi="宋体" w:eastAsia="宋体" w:cs="宋体"/>
                <w:color w:val="auto"/>
                <w:spacing w:val="0"/>
                <w:sz w:val="21"/>
                <w:szCs w:val="21"/>
                <w:highlight w:val="none"/>
                <w:u w:val="none" w:color="auto"/>
              </w:rPr>
            </w:pPr>
            <w:r>
              <w:rPr>
                <w:rFonts w:hint="eastAsia" w:ascii="宋体" w:hAnsi="宋体" w:eastAsia="宋体" w:cs="宋体"/>
                <w:color w:val="auto"/>
                <w:spacing w:val="0"/>
                <w:sz w:val="21"/>
                <w:szCs w:val="21"/>
                <w:highlight w:val="none"/>
                <w:u w:val="none" w:color="auto"/>
              </w:rPr>
              <w:t>二级石墨降膜吸收塔+三级盐酸填料塔+二级碱吸收</w:t>
            </w:r>
          </w:p>
        </w:tc>
        <w:tc>
          <w:tcPr>
            <w:tcW w:w="1389" w:type="dxa"/>
            <w:vMerge w:val="restart"/>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eastAsia="zh-CN"/>
              </w:rPr>
            </w:pPr>
            <w:r>
              <w:rPr>
                <w:rFonts w:hint="eastAsia" w:ascii="宋体" w:hAnsi="宋体" w:eastAsia="宋体" w:cs="宋体"/>
                <w:color w:val="auto"/>
                <w:spacing w:val="0"/>
                <w:sz w:val="21"/>
                <w:szCs w:val="21"/>
                <w:highlight w:val="none"/>
                <w:u w:val="none" w:color="auto"/>
                <w:lang w:val="en-US" w:eastAsia="zh-CN"/>
              </w:rPr>
              <w:t>尾气吸收排放口</w:t>
            </w:r>
          </w:p>
        </w:tc>
        <w:tc>
          <w:tcPr>
            <w:tcW w:w="112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r>
              <w:rPr>
                <w:rFonts w:hint="eastAsia" w:ascii="宋体" w:hAnsi="宋体" w:eastAsia="宋体" w:cs="宋体"/>
                <w:color w:val="auto"/>
                <w:spacing w:val="0"/>
                <w:sz w:val="21"/>
                <w:szCs w:val="21"/>
                <w:highlight w:val="none"/>
                <w:u w:val="none" w:color="auto"/>
              </w:rPr>
              <w:t>氯化氢</w:t>
            </w:r>
          </w:p>
        </w:tc>
        <w:tc>
          <w:tcPr>
            <w:tcW w:w="1058"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lang w:val="en-US" w:eastAsia="zh-CN"/>
              </w:rPr>
              <w:t>3.79</w:t>
            </w:r>
          </w:p>
        </w:tc>
        <w:tc>
          <w:tcPr>
            <w:tcW w:w="955"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rPr>
              <w:t>0.00</w:t>
            </w:r>
            <w:r>
              <w:rPr>
                <w:rFonts w:hint="eastAsia" w:ascii="宋体" w:hAnsi="宋体" w:eastAsia="宋体" w:cs="宋体"/>
                <w:color w:val="auto"/>
                <w:spacing w:val="0"/>
                <w:sz w:val="21"/>
                <w:szCs w:val="21"/>
                <w:highlight w:val="none"/>
                <w:u w:val="none" w:color="auto"/>
                <w:lang w:val="en-US" w:eastAsia="zh-CN"/>
              </w:rPr>
              <w:t>945</w:t>
            </w:r>
          </w:p>
        </w:tc>
        <w:tc>
          <w:tcPr>
            <w:tcW w:w="87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rPr>
              <w:t>0.0</w:t>
            </w:r>
            <w:r>
              <w:rPr>
                <w:rFonts w:hint="eastAsia" w:ascii="宋体" w:hAnsi="宋体" w:eastAsia="宋体" w:cs="宋体"/>
                <w:color w:val="auto"/>
                <w:spacing w:val="0"/>
                <w:sz w:val="21"/>
                <w:szCs w:val="21"/>
                <w:highlight w:val="none"/>
                <w:u w:val="none" w:color="auto"/>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1759"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655"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389"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p>
        </w:tc>
        <w:tc>
          <w:tcPr>
            <w:tcW w:w="112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rPr>
            </w:pPr>
            <w:r>
              <w:rPr>
                <w:rFonts w:hint="eastAsia" w:ascii="宋体" w:hAnsi="宋体" w:eastAsia="宋体" w:cs="宋体"/>
                <w:color w:val="auto"/>
                <w:spacing w:val="0"/>
                <w:sz w:val="21"/>
                <w:szCs w:val="21"/>
                <w:highlight w:val="none"/>
                <w:u w:val="none" w:color="auto"/>
              </w:rPr>
              <w:t>氯气</w:t>
            </w:r>
          </w:p>
        </w:tc>
        <w:tc>
          <w:tcPr>
            <w:tcW w:w="1058"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lang w:val="en-US" w:eastAsia="zh-CN"/>
              </w:rPr>
              <w:t>12.2</w:t>
            </w:r>
          </w:p>
        </w:tc>
        <w:tc>
          <w:tcPr>
            <w:tcW w:w="955"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lang w:val="en-US" w:eastAsia="zh-CN"/>
              </w:rPr>
              <w:t>0.00303</w:t>
            </w:r>
          </w:p>
        </w:tc>
        <w:tc>
          <w:tcPr>
            <w:tcW w:w="876" w:type="dxa"/>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1"/>
                <w:szCs w:val="21"/>
                <w:highlight w:val="none"/>
                <w:u w:val="none" w:color="auto"/>
                <w:lang w:val="en-US" w:eastAsia="zh-CN"/>
              </w:rPr>
            </w:pPr>
            <w:r>
              <w:rPr>
                <w:rFonts w:hint="eastAsia" w:ascii="宋体" w:hAnsi="宋体" w:eastAsia="宋体" w:cs="宋体"/>
                <w:color w:val="auto"/>
                <w:spacing w:val="0"/>
                <w:sz w:val="21"/>
                <w:szCs w:val="21"/>
                <w:highlight w:val="none"/>
                <w:u w:val="none" w:color="auto"/>
                <w:lang w:val="en-US" w:eastAsia="zh-CN"/>
              </w:rPr>
              <w:t>0.0436</w:t>
            </w:r>
          </w:p>
        </w:tc>
      </w:tr>
    </w:tbl>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492"/>
        <w:jc w:val="left"/>
        <w:textAlignment w:val="auto"/>
        <w:rPr>
          <w:rFonts w:hint="eastAsia" w:ascii="宋体" w:hAnsi="宋体" w:eastAsia="宋体" w:cs="宋体"/>
          <w:color w:val="auto"/>
          <w:spacing w:val="0"/>
          <w:sz w:val="28"/>
          <w:szCs w:val="28"/>
          <w:highlight w:val="none"/>
          <w:u w:val="none" w:color="auto"/>
          <w:lang w:val="en-US" w:eastAsia="zh-CN"/>
        </w:rPr>
      </w:pPr>
      <w:r>
        <w:rPr>
          <w:rFonts w:hint="eastAsia" w:ascii="宋体" w:hAnsi="宋体" w:eastAsia="宋体" w:cs="宋体"/>
          <w:color w:val="auto"/>
          <w:spacing w:val="0"/>
          <w:sz w:val="28"/>
          <w:szCs w:val="28"/>
          <w:highlight w:val="none"/>
          <w:u w:val="none" w:color="auto"/>
          <w:lang w:val="en-US" w:eastAsia="zh-CN"/>
        </w:rPr>
        <w:t>生产废气采用“二级石墨降膜吸收塔+三级盐酸填料塔+二级碱吸收塔”进行处理，石墨降膜塔内为石墨团球填料，将水和氯化氢一起加入塔内可以加大水与氯化氢气体的接触面积及接触时间，提高氯化氢的吸收效率，碱吸收塔通过添加少量氢氧化钠作为吸收液，对废气中的氯化氢和氯气进行中和反应，生产次氯酸钠溶液。根据实际运行数据，二级石墨降膜塔HCl吸收效率可以达到99%，碱吸收HC1吸收效率可以达到90%，对氯化氢的总体处理效率可以达到99.9%；碱吸收塔氯气吸收效率可以达到90%，生成的盐酸作为副产品外售。生产废气经“二级石墨降膜吸收塔+三级盐酸填料塔+二级碱吸收进行处理”处理后氯化氢和氯气的排放浓度和排放速率均满足《大气污染物综合排放标准》(GB16297-1996)表2排放标准要求。</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492"/>
        <w:jc w:val="left"/>
        <w:textAlignment w:val="auto"/>
        <w:rPr>
          <w:rFonts w:hint="eastAsia" w:ascii="宋体" w:hAnsi="宋体" w:eastAsia="宋体" w:cs="宋体"/>
          <w:color w:val="auto"/>
          <w:spacing w:val="0"/>
          <w:sz w:val="28"/>
          <w:szCs w:val="28"/>
          <w:highlight w:val="none"/>
          <w:u w:val="none" w:color="auto"/>
          <w:lang w:val="en-US" w:eastAsia="zh-CN"/>
        </w:rPr>
      </w:pPr>
      <w:r>
        <w:rPr>
          <w:rFonts w:hint="eastAsia" w:ascii="宋体" w:hAnsi="宋体" w:eastAsia="宋体" w:cs="宋体"/>
          <w:color w:val="auto"/>
          <w:spacing w:val="0"/>
          <w:sz w:val="28"/>
          <w:szCs w:val="28"/>
          <w:highlight w:val="none"/>
          <w:u w:val="none" w:color="auto"/>
          <w:lang w:val="en-US" w:eastAsia="zh-CN"/>
        </w:rPr>
        <w:t>2、废水</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492"/>
        <w:jc w:val="left"/>
        <w:textAlignment w:val="auto"/>
        <w:rPr>
          <w:rFonts w:hint="eastAsia" w:ascii="宋体" w:hAnsi="宋体" w:eastAsia="宋体" w:cs="宋体"/>
          <w:color w:val="auto"/>
          <w:spacing w:val="0"/>
          <w:sz w:val="28"/>
          <w:szCs w:val="28"/>
          <w:highlight w:val="none"/>
          <w:u w:val="none" w:color="auto"/>
          <w:lang w:val="en-US" w:eastAsia="zh-CN"/>
        </w:rPr>
      </w:pPr>
      <w:r>
        <w:rPr>
          <w:rFonts w:hint="eastAsia" w:ascii="宋体" w:hAnsi="宋体" w:eastAsia="宋体" w:cs="宋体"/>
          <w:color w:val="auto"/>
          <w:spacing w:val="0"/>
          <w:sz w:val="28"/>
          <w:szCs w:val="28"/>
          <w:highlight w:val="none"/>
          <w:u w:val="none" w:color="auto"/>
          <w:lang w:val="en-US" w:eastAsia="zh-CN"/>
        </w:rPr>
        <w:t>本企业产生的废水主要为生活污水，厂区自建有一体化污水处理装置一套，经处理后的废水回用于厂区绿化，不外排。</w:t>
      </w:r>
    </w:p>
    <w:p>
      <w:pPr>
        <w:keepNext w:val="0"/>
        <w:keepLines w:val="0"/>
        <w:pageBreakBefore w:val="0"/>
        <w:widowControl w:val="0"/>
        <w:tabs>
          <w:tab w:val="left" w:pos="4302"/>
        </w:tabs>
        <w:kinsoku/>
        <w:wordWrap/>
        <w:overflowPunct/>
        <w:topLinePunct w:val="0"/>
        <w:autoSpaceDE w:val="0"/>
        <w:autoSpaceDN w:val="0"/>
        <w:bidi w:val="0"/>
        <w:adjustRightInd/>
        <w:snapToGrid/>
        <w:spacing w:beforeAutospacing="0" w:after="0" w:afterAutospacing="0" w:line="240" w:lineRule="auto"/>
        <w:ind w:left="0" w:right="0" w:firstLine="0"/>
        <w:jc w:val="center"/>
        <w:textAlignment w:val="auto"/>
        <w:rPr>
          <w:rFonts w:hint="eastAsia" w:ascii="宋体" w:hAnsi="宋体" w:eastAsia="宋体" w:cs="宋体"/>
          <w:b/>
          <w:color w:val="auto"/>
          <w:spacing w:val="0"/>
          <w:sz w:val="28"/>
          <w:szCs w:val="28"/>
          <w:highlight w:val="none"/>
          <w:u w:val="none" w:color="auto"/>
        </w:rPr>
      </w:pPr>
      <w:r>
        <w:rPr>
          <w:rFonts w:hint="eastAsia" w:ascii="宋体" w:hAnsi="宋体" w:eastAsia="宋体" w:cs="宋体"/>
          <w:b/>
          <w:color w:val="auto"/>
          <w:spacing w:val="0"/>
          <w:sz w:val="28"/>
          <w:szCs w:val="28"/>
          <w:highlight w:val="none"/>
          <w:u w:val="none" w:color="auto"/>
        </w:rPr>
        <w:t>表</w:t>
      </w:r>
      <w:r>
        <w:rPr>
          <w:rFonts w:hint="eastAsia" w:ascii="宋体" w:hAnsi="宋体" w:cs="宋体"/>
          <w:b/>
          <w:color w:val="auto"/>
          <w:spacing w:val="0"/>
          <w:sz w:val="28"/>
          <w:szCs w:val="28"/>
          <w:highlight w:val="none"/>
          <w:u w:val="none" w:color="auto"/>
          <w:lang w:val="en-US" w:eastAsia="zh-CN"/>
        </w:rPr>
        <w:t xml:space="preserve">4-5 </w:t>
      </w:r>
      <w:r>
        <w:rPr>
          <w:rFonts w:hint="eastAsia" w:ascii="宋体" w:hAnsi="宋体" w:eastAsia="宋体" w:cs="宋体"/>
          <w:b/>
          <w:color w:val="auto"/>
          <w:spacing w:val="0"/>
          <w:sz w:val="28"/>
          <w:szCs w:val="28"/>
          <w:highlight w:val="none"/>
          <w:u w:val="none" w:color="auto"/>
        </w:rPr>
        <w:t>废水排放情况及治理措施</w:t>
      </w:r>
    </w:p>
    <w:tbl>
      <w:tblPr>
        <w:tblStyle w:val="20"/>
        <w:tblW w:w="825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9"/>
        <w:gridCol w:w="1224"/>
        <w:gridCol w:w="3525"/>
        <w:gridCol w:w="969"/>
        <w:gridCol w:w="13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1" w:hRule="atLeast"/>
          <w:jc w:val="center"/>
        </w:trPr>
        <w:tc>
          <w:tcPr>
            <w:tcW w:w="1229" w:type="dxa"/>
            <w:tcBorders>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废水类别</w:t>
            </w:r>
          </w:p>
        </w:tc>
        <w:tc>
          <w:tcPr>
            <w:tcW w:w="1224" w:type="dxa"/>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产生量</w:t>
            </w:r>
            <w:r>
              <w:rPr>
                <w:rFonts w:hint="eastAsia" w:ascii="宋体" w:hAnsi="宋体" w:eastAsia="宋体" w:cs="宋体"/>
                <w:b/>
                <w:color w:val="auto"/>
                <w:spacing w:val="0"/>
                <w:sz w:val="24"/>
                <w:szCs w:val="24"/>
                <w:highlight w:val="none"/>
                <w:u w:val="none" w:color="auto"/>
                <w:lang w:eastAsia="zh-CN"/>
              </w:rPr>
              <w:t>m³</w:t>
            </w:r>
            <w:r>
              <w:rPr>
                <w:rFonts w:hint="eastAsia" w:ascii="宋体" w:hAnsi="宋体" w:eastAsia="宋体" w:cs="宋体"/>
                <w:b/>
                <w:color w:val="auto"/>
                <w:spacing w:val="0"/>
                <w:sz w:val="24"/>
                <w:szCs w:val="24"/>
                <w:highlight w:val="none"/>
                <w:u w:val="none" w:color="auto"/>
              </w:rPr>
              <w:t>/a</w:t>
            </w:r>
          </w:p>
        </w:tc>
        <w:tc>
          <w:tcPr>
            <w:tcW w:w="4494" w:type="dxa"/>
            <w:gridSpan w:val="2"/>
            <w:tcBorders>
              <w:left w:val="single" w:color="000000" w:sz="4" w:space="0"/>
              <w:bottom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治理措施</w:t>
            </w:r>
          </w:p>
        </w:tc>
        <w:tc>
          <w:tcPr>
            <w:tcW w:w="1310" w:type="dxa"/>
            <w:tcBorders>
              <w:left w:val="single" w:color="000000" w:sz="4" w:space="0"/>
              <w:bottom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排放量</w:t>
            </w:r>
            <w:r>
              <w:rPr>
                <w:rFonts w:hint="eastAsia" w:ascii="宋体" w:hAnsi="宋体" w:eastAsia="宋体" w:cs="宋体"/>
                <w:b/>
                <w:color w:val="auto"/>
                <w:spacing w:val="0"/>
                <w:sz w:val="24"/>
                <w:szCs w:val="24"/>
                <w:highlight w:val="none"/>
                <w:u w:val="none" w:color="auto"/>
                <w:lang w:eastAsia="zh-CN"/>
              </w:rPr>
              <w:t>m³</w:t>
            </w:r>
            <w:r>
              <w:rPr>
                <w:rFonts w:hint="eastAsia" w:ascii="宋体" w:hAnsi="宋体" w:eastAsia="宋体" w:cs="宋体"/>
                <w:b/>
                <w:color w:val="auto"/>
                <w:spacing w:val="0"/>
                <w:sz w:val="24"/>
                <w:szCs w:val="24"/>
                <w:highlight w:val="none"/>
                <w:u w:val="none" w:color="auto"/>
              </w:rPr>
              <w: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4" w:hRule="atLeast"/>
          <w:jc w:val="center"/>
        </w:trPr>
        <w:tc>
          <w:tcPr>
            <w:tcW w:w="1229" w:type="dxa"/>
            <w:tcBorders>
              <w:top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生活污水</w:t>
            </w:r>
          </w:p>
        </w:tc>
        <w:tc>
          <w:tcPr>
            <w:tcW w:w="1224" w:type="dxa"/>
            <w:tcBorders>
              <w:top w:val="single" w:color="000000" w:sz="4" w:space="0"/>
              <w:left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720</w:t>
            </w:r>
          </w:p>
        </w:tc>
        <w:tc>
          <w:tcPr>
            <w:tcW w:w="3525" w:type="dxa"/>
            <w:tcBorders>
              <w:top w:val="single" w:color="000000" w:sz="4" w:space="0"/>
              <w:left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化粪池+地埋式一体化污水处理装置</w:t>
            </w:r>
          </w:p>
        </w:tc>
        <w:tc>
          <w:tcPr>
            <w:tcW w:w="969" w:type="dxa"/>
            <w:tcBorders>
              <w:top w:val="single" w:color="000000" w:sz="4" w:space="0"/>
              <w:left w:val="single" w:color="000000" w:sz="4" w:space="0"/>
              <w:righ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厂区回用</w:t>
            </w:r>
          </w:p>
        </w:tc>
        <w:tc>
          <w:tcPr>
            <w:tcW w:w="1310" w:type="dxa"/>
            <w:tcBorders>
              <w:top w:val="single" w:color="000000" w:sz="4" w:space="0"/>
              <w:left w:val="single" w:color="000000" w:sz="4" w:space="0"/>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0</w:t>
            </w:r>
          </w:p>
        </w:tc>
      </w:tr>
    </w:tbl>
    <w:p>
      <w:pPr>
        <w:pStyle w:val="3"/>
        <w:keepNext w:val="0"/>
        <w:keepLines w:val="0"/>
        <w:pageBreakBefore w:val="0"/>
        <w:kinsoku/>
        <w:wordWrap/>
        <w:overflowPunct/>
        <w:topLinePunct w:val="0"/>
        <w:bidi w:val="0"/>
        <w:spacing w:before="0" w:beforeAutospacing="0" w:afterAutospacing="0" w:line="360" w:lineRule="auto"/>
        <w:ind w:left="0" w:right="0" w:firstLine="559"/>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活污水采用地埋式一体化污水处理装置对厂区生活污水进行处理，地埋式一体化污水处理是一种模块化的高效污水生物处理设备，该一体化处理装置具备物理过滤、生物降解等工艺，可有效去除有机物质同时通过</w:t>
      </w:r>
      <w:r>
        <w:rPr>
          <w:rFonts w:hint="eastAsia" w:ascii="宋体" w:hAnsi="宋体" w:eastAsia="宋体" w:cs="宋体"/>
          <w:color w:val="auto"/>
          <w:spacing w:val="3"/>
          <w:sz w:val="28"/>
          <w:szCs w:val="28"/>
          <w:highlight w:val="none"/>
        </w:rPr>
        <w:t>与微生物的协做以达到去除</w:t>
      </w:r>
      <w:r>
        <w:rPr>
          <w:rFonts w:hint="eastAsia" w:ascii="宋体" w:hAnsi="宋体" w:eastAsia="宋体" w:cs="宋体"/>
          <w:color w:val="auto"/>
          <w:sz w:val="28"/>
          <w:szCs w:val="28"/>
          <w:highlight w:val="none"/>
        </w:rPr>
        <w:t>N</w:t>
      </w:r>
      <w:r>
        <w:rPr>
          <w:rFonts w:hint="eastAsia" w:ascii="宋体" w:hAnsi="宋体" w:eastAsia="宋体" w:cs="宋体"/>
          <w:color w:val="auto"/>
          <w:sz w:val="28"/>
          <w:szCs w:val="28"/>
          <w:highlight w:val="none"/>
          <w:lang w:val="en-US" w:eastAsia="zh-CN"/>
        </w:rPr>
        <w:t>和</w:t>
      </w:r>
      <w:r>
        <w:rPr>
          <w:rFonts w:hint="eastAsia" w:ascii="宋体" w:hAnsi="宋体" w:eastAsia="宋体" w:cs="宋体"/>
          <w:color w:val="auto"/>
          <w:sz w:val="28"/>
          <w:szCs w:val="28"/>
          <w:highlight w:val="none"/>
        </w:rPr>
        <w:t>P的目的。</w:t>
      </w:r>
    </w:p>
    <w:p>
      <w:pPr>
        <w:pStyle w:val="8"/>
        <w:keepNext w:val="0"/>
        <w:keepLines w:val="0"/>
        <w:pageBreakBefore w:val="0"/>
        <w:widowControl w:val="0"/>
        <w:numPr>
          <w:ilvl w:val="0"/>
          <w:numId w:val="0"/>
        </w:numPr>
        <w:tabs>
          <w:tab w:val="left" w:pos="948"/>
        </w:tabs>
        <w:kinsoku/>
        <w:wordWrap/>
        <w:overflowPunct/>
        <w:topLinePunct w:val="0"/>
        <w:autoSpaceDE w:val="0"/>
        <w:autoSpaceDN w:val="0"/>
        <w:bidi w:val="0"/>
        <w:adjustRightInd/>
        <w:snapToGrid/>
        <w:spacing w:beforeAutospacing="0" w:after="0" w:afterAutospacing="0" w:line="360" w:lineRule="auto"/>
        <w:ind w:left="0" w:leftChars="0" w:right="0" w:rightChars="0"/>
        <w:jc w:val="left"/>
        <w:textAlignment w:val="auto"/>
        <w:outlineLvl w:val="1"/>
        <w:rPr>
          <w:rFonts w:hint="eastAsia" w:ascii="宋体" w:hAnsi="宋体" w:eastAsia="宋体" w:cs="宋体"/>
          <w:color w:val="auto"/>
          <w:spacing w:val="0"/>
          <w:sz w:val="28"/>
          <w:szCs w:val="28"/>
          <w:highlight w:val="none"/>
          <w:u w:val="none" w:color="auto"/>
        </w:rPr>
      </w:pPr>
      <w:bookmarkStart w:id="133" w:name="3.4.2危险化学品的储存情况"/>
      <w:bookmarkEnd w:id="133"/>
      <w:bookmarkStart w:id="134" w:name="_Toc21234"/>
      <w:r>
        <w:rPr>
          <w:rFonts w:hint="eastAsia" w:ascii="宋体" w:hAnsi="宋体" w:eastAsia="宋体" w:cs="宋体"/>
          <w:color w:val="auto"/>
          <w:spacing w:val="0"/>
          <w:sz w:val="28"/>
          <w:szCs w:val="28"/>
          <w:highlight w:val="none"/>
          <w:u w:val="none" w:color="auto"/>
          <w:lang w:val="en-US" w:eastAsia="zh-CN"/>
        </w:rPr>
        <w:t xml:space="preserve">4.4 </w:t>
      </w:r>
      <w:r>
        <w:rPr>
          <w:rFonts w:hint="eastAsia" w:ascii="宋体" w:hAnsi="宋体" w:eastAsia="宋体" w:cs="宋体"/>
          <w:color w:val="auto"/>
          <w:spacing w:val="0"/>
          <w:sz w:val="28"/>
          <w:szCs w:val="28"/>
          <w:highlight w:val="none"/>
          <w:u w:val="none" w:color="auto"/>
        </w:rPr>
        <w:t>危险化学品的储存情况</w:t>
      </w:r>
      <w:bookmarkEnd w:id="134"/>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1、项目危险物质存储情况</w:t>
      </w:r>
    </w:p>
    <w:p>
      <w:pPr>
        <w:pStyle w:val="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color w:val="auto"/>
          <w:spacing w:val="0"/>
          <w:sz w:val="28"/>
          <w:szCs w:val="28"/>
          <w:highlight w:val="none"/>
          <w:u w:val="none" w:color="auto"/>
        </w:rPr>
      </w:pPr>
      <w:r>
        <w:rPr>
          <w:rFonts w:hint="eastAsia" w:ascii="宋体" w:hAnsi="宋体" w:eastAsia="宋体" w:cs="宋体"/>
          <w:color w:val="auto"/>
          <w:spacing w:val="0"/>
          <w:sz w:val="28"/>
          <w:szCs w:val="28"/>
          <w:highlight w:val="none"/>
          <w:u w:val="none" w:color="auto"/>
        </w:rPr>
        <w:t>该项目危险物质储存情况见</w:t>
      </w:r>
      <w:r>
        <w:rPr>
          <w:rFonts w:hint="eastAsia" w:cs="宋体"/>
          <w:color w:val="auto"/>
          <w:spacing w:val="0"/>
          <w:sz w:val="28"/>
          <w:szCs w:val="28"/>
          <w:highlight w:val="none"/>
          <w:u w:val="none" w:color="auto"/>
          <w:lang w:val="en-US" w:eastAsia="zh-CN"/>
        </w:rPr>
        <w:t>下表</w:t>
      </w:r>
      <w:r>
        <w:rPr>
          <w:rFonts w:hint="eastAsia" w:ascii="宋体" w:hAnsi="宋体" w:eastAsia="宋体" w:cs="宋体"/>
          <w:color w:val="auto"/>
          <w:spacing w:val="0"/>
          <w:sz w:val="28"/>
          <w:szCs w:val="28"/>
          <w:highlight w:val="none"/>
          <w:u w:val="none" w:color="auto"/>
        </w:rPr>
        <w:t>。</w:t>
      </w:r>
    </w:p>
    <w:p>
      <w:pPr>
        <w:keepNext w:val="0"/>
        <w:keepLines w:val="0"/>
        <w:pageBreakBefore w:val="0"/>
        <w:widowControl w:val="0"/>
        <w:tabs>
          <w:tab w:val="left" w:pos="1159"/>
        </w:tabs>
        <w:kinsoku/>
        <w:wordWrap/>
        <w:overflowPunct/>
        <w:topLinePunct w:val="0"/>
        <w:autoSpaceDE w:val="0"/>
        <w:autoSpaceDN w:val="0"/>
        <w:bidi w:val="0"/>
        <w:adjustRightInd/>
        <w:snapToGrid/>
        <w:spacing w:beforeAutospacing="0" w:after="0" w:afterAutospacing="0" w:line="360" w:lineRule="auto"/>
        <w:ind w:left="0" w:leftChars="0" w:right="0" w:firstLine="0" w:firstLineChars="0"/>
        <w:jc w:val="center"/>
        <w:textAlignment w:val="auto"/>
        <w:rPr>
          <w:rFonts w:hint="eastAsia" w:ascii="宋体" w:hAnsi="宋体" w:eastAsia="宋体" w:cs="宋体"/>
          <w:b/>
          <w:color w:val="auto"/>
          <w:spacing w:val="0"/>
          <w:sz w:val="28"/>
          <w:szCs w:val="28"/>
          <w:highlight w:val="none"/>
          <w:u w:val="none" w:color="auto"/>
        </w:rPr>
      </w:pPr>
      <w:r>
        <w:rPr>
          <w:rFonts w:hint="eastAsia" w:ascii="宋体" w:hAnsi="宋体" w:eastAsia="宋体" w:cs="宋体"/>
          <w:b/>
          <w:color w:val="auto"/>
          <w:spacing w:val="0"/>
          <w:sz w:val="28"/>
          <w:szCs w:val="28"/>
          <w:highlight w:val="none"/>
          <w:u w:val="none" w:color="auto"/>
        </w:rPr>
        <w:t>表</w:t>
      </w:r>
      <w:r>
        <w:rPr>
          <w:rFonts w:hint="eastAsia" w:ascii="宋体" w:hAnsi="宋体" w:cs="宋体"/>
          <w:b/>
          <w:color w:val="auto"/>
          <w:spacing w:val="0"/>
          <w:sz w:val="28"/>
          <w:szCs w:val="28"/>
          <w:highlight w:val="none"/>
          <w:u w:val="none" w:color="auto"/>
          <w:lang w:val="en-US" w:eastAsia="zh-CN"/>
        </w:rPr>
        <w:t xml:space="preserve">4=6 </w:t>
      </w:r>
      <w:r>
        <w:rPr>
          <w:rFonts w:hint="eastAsia" w:ascii="宋体" w:hAnsi="宋体" w:eastAsia="宋体" w:cs="宋体"/>
          <w:b/>
          <w:color w:val="auto"/>
          <w:spacing w:val="0"/>
          <w:sz w:val="28"/>
          <w:szCs w:val="28"/>
          <w:highlight w:val="none"/>
          <w:u w:val="none" w:color="auto"/>
        </w:rPr>
        <w:t>企业风险物质储存情况一览表</w:t>
      </w:r>
    </w:p>
    <w:tbl>
      <w:tblPr>
        <w:tblStyle w:val="20"/>
        <w:tblW w:w="889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36"/>
        <w:gridCol w:w="1478"/>
        <w:gridCol w:w="1602"/>
        <w:gridCol w:w="952"/>
        <w:gridCol w:w="846"/>
        <w:gridCol w:w="1145"/>
        <w:gridCol w:w="1319"/>
        <w:gridCol w:w="9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49"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序号</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名称</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规格含量</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形态</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w w:val="95"/>
                <w:sz w:val="24"/>
                <w:szCs w:val="24"/>
                <w:highlight w:val="none"/>
                <w:u w:val="none" w:color="auto"/>
              </w:rPr>
              <w:t>最大</w:t>
            </w:r>
          </w:p>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w w:val="95"/>
                <w:sz w:val="24"/>
                <w:szCs w:val="24"/>
                <w:highlight w:val="none"/>
                <w:u w:val="none" w:color="auto"/>
              </w:rPr>
              <w:t>储量</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包装方式</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储存场所</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b/>
                <w:color w:val="auto"/>
                <w:spacing w:val="0"/>
                <w:sz w:val="24"/>
                <w:szCs w:val="24"/>
                <w:highlight w:val="none"/>
                <w:u w:val="none" w:color="auto"/>
              </w:rPr>
            </w:pPr>
            <w:r>
              <w:rPr>
                <w:rFonts w:hint="eastAsia" w:ascii="宋体" w:hAnsi="宋体" w:eastAsia="宋体" w:cs="宋体"/>
                <w:b/>
                <w:color w:val="auto"/>
                <w:spacing w:val="0"/>
                <w:sz w:val="24"/>
                <w:szCs w:val="24"/>
                <w:highlight w:val="none"/>
                <w:u w:val="none" w:color="auto"/>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1</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液氯</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99.6%合格品</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lang w:val="en-US" w:eastAsia="zh-CN"/>
              </w:rPr>
              <w:t>27t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lang w:eastAsia="zh-CN"/>
              </w:rPr>
              <w:t>槽车</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lang w:eastAsia="zh-CN"/>
              </w:rPr>
            </w:pPr>
            <w:r>
              <w:rPr>
                <w:rFonts w:hint="eastAsia" w:ascii="宋体" w:hAnsi="宋体" w:eastAsia="宋体" w:cs="宋体"/>
                <w:color w:val="auto"/>
                <w:spacing w:val="0"/>
                <w:sz w:val="24"/>
                <w:szCs w:val="24"/>
                <w:highlight w:val="none"/>
                <w:u w:val="none" w:color="auto"/>
                <w:lang w:eastAsia="zh-CN"/>
              </w:rPr>
              <w:t>氯气库</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原料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2</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液蜡</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300#</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650t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地上储罐</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液蜡储罐区</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原料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3</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氢氧化钠</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32%</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lang w:val="en-US" w:eastAsia="zh-CN"/>
              </w:rPr>
              <w:t>30</w:t>
            </w:r>
            <w:r>
              <w:rPr>
                <w:rFonts w:hint="eastAsia" w:ascii="宋体" w:hAnsi="宋体" w:eastAsia="宋体" w:cs="宋体"/>
                <w:color w:val="auto"/>
                <w:spacing w:val="0"/>
                <w:sz w:val="24"/>
                <w:szCs w:val="24"/>
                <w:highlight w:val="none"/>
                <w:u w:val="none" w:color="auto"/>
              </w:rPr>
              <w:t>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地上储罐</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尾气吸收区</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原料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4</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氯化氢</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气体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废气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5</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氯化石蜡</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52%</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lang w:val="en-US" w:eastAsia="zh-CN"/>
              </w:rPr>
              <w:t>1100</w:t>
            </w:r>
            <w:r>
              <w:rPr>
                <w:rFonts w:hint="eastAsia" w:ascii="宋体" w:hAnsi="宋体" w:eastAsia="宋体" w:cs="宋体"/>
                <w:color w:val="auto"/>
                <w:spacing w:val="0"/>
                <w:sz w:val="24"/>
                <w:szCs w:val="24"/>
                <w:highlight w:val="none"/>
                <w:u w:val="none" w:color="auto"/>
              </w:rPr>
              <w:t>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地上储罐</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成品库</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产品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5"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6</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盐酸</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31%</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lang w:val="en-US" w:eastAsia="zh-CN"/>
              </w:rPr>
              <w:t>240</w:t>
            </w:r>
            <w:r>
              <w:rPr>
                <w:rFonts w:hint="eastAsia" w:ascii="宋体" w:hAnsi="宋体" w:eastAsia="宋体" w:cs="宋体"/>
                <w:color w:val="auto"/>
                <w:spacing w:val="0"/>
                <w:sz w:val="24"/>
                <w:szCs w:val="24"/>
                <w:highlight w:val="none"/>
                <w:u w:val="none" w:color="auto"/>
              </w:rPr>
              <w:t>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地下</w:t>
            </w:r>
            <w:r>
              <w:rPr>
                <w:rFonts w:hint="eastAsia" w:ascii="宋体" w:hAnsi="宋体" w:eastAsia="宋体" w:cs="宋体"/>
                <w:color w:val="auto"/>
                <w:spacing w:val="0"/>
                <w:sz w:val="24"/>
                <w:szCs w:val="24"/>
                <w:highlight w:val="none"/>
                <w:u w:val="none" w:color="auto"/>
                <w:lang w:val="en-US" w:eastAsia="zh-CN"/>
              </w:rPr>
              <w:t>和地上结合式</w:t>
            </w:r>
            <w:r>
              <w:rPr>
                <w:rFonts w:hint="eastAsia" w:ascii="宋体" w:hAnsi="宋体" w:eastAsia="宋体" w:cs="宋体"/>
                <w:color w:val="auto"/>
                <w:spacing w:val="0"/>
                <w:sz w:val="24"/>
                <w:szCs w:val="24"/>
                <w:highlight w:val="none"/>
                <w:u w:val="none" w:color="auto"/>
              </w:rPr>
              <w:t>储罐</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盐酸池</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副产品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3"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7</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次氯酸钠溶液</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有效氯：10.0%</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液态</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lang w:val="en-US" w:eastAsia="zh-CN"/>
              </w:rPr>
              <w:t>30</w:t>
            </w:r>
            <w:r>
              <w:rPr>
                <w:rFonts w:hint="eastAsia" w:ascii="宋体" w:hAnsi="宋体" w:eastAsia="宋体" w:cs="宋体"/>
                <w:color w:val="auto"/>
                <w:spacing w:val="0"/>
                <w:sz w:val="24"/>
                <w:szCs w:val="24"/>
                <w:highlight w:val="none"/>
                <w:u w:val="none" w:color="auto"/>
              </w:rPr>
              <w:t>t</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地上PE罐</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尾气吸收</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副产品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6" w:hRule="atLeast"/>
          <w:jc w:val="center"/>
        </w:trPr>
        <w:tc>
          <w:tcPr>
            <w:tcW w:w="63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8</w:t>
            </w:r>
          </w:p>
        </w:tc>
        <w:tc>
          <w:tcPr>
            <w:tcW w:w="147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二氧化硫</w:t>
            </w:r>
          </w:p>
        </w:tc>
        <w:tc>
          <w:tcPr>
            <w:tcW w:w="160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w w:val="99"/>
                <w:sz w:val="24"/>
                <w:szCs w:val="24"/>
                <w:highlight w:val="none"/>
                <w:u w:val="none" w:color="auto"/>
              </w:rPr>
              <w:t>―</w:t>
            </w:r>
          </w:p>
        </w:tc>
        <w:tc>
          <w:tcPr>
            <w:tcW w:w="952"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气体</w:t>
            </w:r>
          </w:p>
        </w:tc>
        <w:tc>
          <w:tcPr>
            <w:tcW w:w="846"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1145"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1319"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不储存</w:t>
            </w:r>
          </w:p>
        </w:tc>
        <w:tc>
          <w:tcPr>
            <w:tcW w:w="918" w:type="dxa"/>
            <w:tcBorders>
              <w:tl2br w:val="nil"/>
              <w:tr2bl w:val="nil"/>
            </w:tcBorders>
            <w:noWrap w:val="0"/>
            <w:vAlign w:val="center"/>
          </w:tcPr>
          <w:p>
            <w:pPr>
              <w:pStyle w:val="30"/>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0" w:right="0" w:firstLine="0" w:firstLineChars="0"/>
              <w:jc w:val="center"/>
              <w:textAlignment w:val="auto"/>
              <w:rPr>
                <w:rFonts w:hint="eastAsia" w:ascii="宋体" w:hAnsi="宋体" w:eastAsia="宋体" w:cs="宋体"/>
                <w:color w:val="auto"/>
                <w:spacing w:val="0"/>
                <w:sz w:val="24"/>
                <w:szCs w:val="24"/>
                <w:highlight w:val="none"/>
                <w:u w:val="none" w:color="auto"/>
              </w:rPr>
            </w:pPr>
            <w:r>
              <w:rPr>
                <w:rFonts w:hint="eastAsia" w:ascii="宋体" w:hAnsi="宋体" w:eastAsia="宋体" w:cs="宋体"/>
                <w:color w:val="auto"/>
                <w:spacing w:val="0"/>
                <w:sz w:val="24"/>
                <w:szCs w:val="24"/>
                <w:highlight w:val="none"/>
                <w:u w:val="none" w:color="auto"/>
              </w:rPr>
              <w:t>废气</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35" w:name="_Toc19297"/>
      <w:r>
        <w:rPr>
          <w:rFonts w:hint="eastAsia" w:ascii="宋体" w:hAnsi="宋体" w:eastAsia="宋体" w:cs="宋体"/>
          <w:b/>
          <w:bCs/>
          <w:kern w:val="2"/>
          <w:sz w:val="28"/>
          <w:szCs w:val="32"/>
          <w:lang w:val="en-US" w:eastAsia="zh-CN" w:bidi="ar-SA"/>
        </w:rPr>
        <w:t>4.5企业总平面布置</w:t>
      </w:r>
      <w:bookmarkEnd w:id="115"/>
      <w:bookmarkEnd w:id="116"/>
      <w:bookmarkEnd w:id="135"/>
    </w:p>
    <w:p>
      <w:pPr>
        <w:widowControl w:val="0"/>
        <w:snapToGrid/>
        <w:spacing w:after="0" w:line="520" w:lineRule="exact"/>
        <w:ind w:firstLine="541" w:firstLineChars="202"/>
        <w:jc w:val="both"/>
        <w:rPr>
          <w:rFonts w:hint="eastAsia" w:ascii="宋体" w:hAnsi="宋体" w:eastAsia="宋体" w:cs="宋体"/>
          <w:color w:val="auto"/>
          <w:sz w:val="28"/>
          <w:szCs w:val="28"/>
          <w:highlight w:val="green"/>
        </w:rPr>
      </w:pPr>
      <w:r>
        <w:rPr>
          <w:rFonts w:hint="eastAsia" w:ascii="宋体" w:hAnsi="宋体" w:eastAsia="宋体" w:cs="宋体"/>
          <w:spacing w:val="-6"/>
          <w:sz w:val="28"/>
          <w:szCs w:val="28"/>
          <w:lang w:val="zh-CN" w:eastAsia="zh-CN" w:bidi="zh-CN"/>
        </w:rPr>
        <w:t>三门峡十化昊昱化工有限公司</w:t>
      </w:r>
      <w:r>
        <w:rPr>
          <w:rFonts w:hint="eastAsia" w:ascii="宋体" w:hAnsi="宋体" w:eastAsia="宋体" w:cs="宋体"/>
          <w:b w:val="0"/>
          <w:bCs w:val="0"/>
          <w:color w:val="auto"/>
          <w:spacing w:val="0"/>
          <w:sz w:val="28"/>
          <w:szCs w:val="28"/>
          <w:highlight w:val="none"/>
          <w:u w:val="none" w:color="auto"/>
        </w:rPr>
        <w:t>区总占地面积16657</w:t>
      </w:r>
      <w:r>
        <w:rPr>
          <w:rFonts w:hint="eastAsia" w:ascii="宋体" w:hAnsi="宋体" w:eastAsia="宋体" w:cs="宋体"/>
          <w:b w:val="0"/>
          <w:bCs w:val="0"/>
          <w:color w:val="auto"/>
          <w:spacing w:val="0"/>
          <w:sz w:val="28"/>
          <w:szCs w:val="28"/>
          <w:highlight w:val="none"/>
          <w:u w:val="none" w:color="auto"/>
          <w:lang w:eastAsia="zh-CN"/>
        </w:rPr>
        <w:t>㎡（</w:t>
      </w:r>
      <w:r>
        <w:rPr>
          <w:rFonts w:hint="eastAsia" w:ascii="宋体" w:hAnsi="宋体" w:eastAsia="宋体" w:cs="宋体"/>
          <w:b w:val="0"/>
          <w:bCs w:val="0"/>
          <w:color w:val="auto"/>
          <w:spacing w:val="0"/>
          <w:sz w:val="28"/>
          <w:szCs w:val="28"/>
          <w:highlight w:val="none"/>
          <w:u w:val="none" w:color="auto"/>
          <w:lang w:val="en-US" w:eastAsia="zh-CN"/>
        </w:rPr>
        <w:t>25亩</w:t>
      </w:r>
      <w:r>
        <w:rPr>
          <w:rFonts w:hint="eastAsia" w:ascii="宋体" w:hAnsi="宋体" w:eastAsia="宋体" w:cs="宋体"/>
          <w:b w:val="0"/>
          <w:bCs w:val="0"/>
          <w:color w:val="auto"/>
          <w:spacing w:val="0"/>
          <w:sz w:val="28"/>
          <w:szCs w:val="28"/>
          <w:highlight w:val="none"/>
          <w:u w:val="none" w:color="auto"/>
          <w:lang w:eastAsia="zh-CN"/>
        </w:rPr>
        <w:t>），</w:t>
      </w:r>
      <w:r>
        <w:rPr>
          <w:rFonts w:hint="eastAsia" w:ascii="宋体" w:hAnsi="宋体" w:eastAsia="宋体" w:cs="宋体"/>
          <w:color w:val="auto"/>
          <w:sz w:val="28"/>
          <w:szCs w:val="28"/>
          <w:highlight w:val="none"/>
        </w:rPr>
        <w:t>用地性质为</w:t>
      </w:r>
      <w:r>
        <w:rPr>
          <w:rFonts w:hint="eastAsia" w:ascii="宋体" w:hAnsi="宋体" w:eastAsia="宋体" w:cs="宋体"/>
          <w:color w:val="auto"/>
          <w:sz w:val="28"/>
          <w:szCs w:val="28"/>
          <w:highlight w:val="none"/>
          <w:lang w:val="en-US" w:eastAsia="zh-CN"/>
        </w:rPr>
        <w:t>三类</w:t>
      </w:r>
      <w:r>
        <w:rPr>
          <w:rFonts w:hint="eastAsia" w:ascii="宋体" w:hAnsi="宋体" w:eastAsia="宋体" w:cs="宋体"/>
          <w:color w:val="auto"/>
          <w:sz w:val="28"/>
          <w:szCs w:val="28"/>
          <w:highlight w:val="none"/>
        </w:rPr>
        <w:t>工业用地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总平面布置见附图</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pPr>
        <w:pStyle w:val="8"/>
        <w:outlineLvl w:val="1"/>
        <w:rPr>
          <w:rFonts w:hint="eastAsia" w:ascii="宋体" w:hAnsi="宋体" w:eastAsia="宋体" w:cs="宋体"/>
          <w:color w:val="auto"/>
          <w:highlight w:val="none"/>
        </w:rPr>
      </w:pPr>
      <w:bookmarkStart w:id="136" w:name="_Toc7055"/>
      <w:r>
        <w:rPr>
          <w:rFonts w:hint="eastAsia" w:ascii="宋体" w:hAnsi="宋体" w:eastAsia="宋体" w:cs="宋体"/>
          <w:b/>
          <w:bCs/>
          <w:kern w:val="2"/>
          <w:sz w:val="28"/>
          <w:szCs w:val="32"/>
          <w:lang w:val="en-US" w:eastAsia="zh-CN" w:bidi="ar-SA"/>
        </w:rPr>
        <w:t>4.</w:t>
      </w:r>
      <w:bookmarkEnd w:id="117"/>
      <w:bookmarkEnd w:id="118"/>
      <w:bookmarkEnd w:id="119"/>
      <w:bookmarkEnd w:id="120"/>
      <w:bookmarkEnd w:id="121"/>
      <w:bookmarkEnd w:id="122"/>
      <w:bookmarkEnd w:id="123"/>
      <w:bookmarkEnd w:id="124"/>
      <w:bookmarkEnd w:id="125"/>
      <w:bookmarkEnd w:id="126"/>
      <w:bookmarkEnd w:id="127"/>
      <w:bookmarkEnd w:id="128"/>
      <w:bookmarkEnd w:id="129"/>
      <w:r>
        <w:rPr>
          <w:rFonts w:hint="eastAsia" w:ascii="宋体" w:hAnsi="宋体" w:eastAsia="宋体" w:cs="宋体"/>
          <w:b/>
          <w:bCs/>
          <w:kern w:val="2"/>
          <w:sz w:val="28"/>
          <w:szCs w:val="32"/>
          <w:lang w:val="en-US" w:eastAsia="zh-CN" w:bidi="ar-SA"/>
        </w:rPr>
        <w:t>6各重点场所、重点设施设备情况</w:t>
      </w:r>
      <w:bookmarkEnd w:id="136"/>
    </w:p>
    <w:p>
      <w:pPr>
        <w:widowControl/>
        <w:spacing w:line="520" w:lineRule="exact"/>
        <w:ind w:firstLine="560" w:firstLineChars="200"/>
        <w:rPr>
          <w:rFonts w:hint="eastAsia" w:ascii="宋体" w:hAnsi="宋体" w:eastAsia="宋体" w:cs="宋体"/>
          <w:color w:val="auto"/>
          <w:sz w:val="28"/>
          <w:highlight w:val="none"/>
        </w:rPr>
      </w:pPr>
      <w:r>
        <w:rPr>
          <w:rFonts w:hint="eastAsia" w:ascii="宋体" w:hAnsi="宋体" w:eastAsia="宋体" w:cs="宋体"/>
          <w:color w:val="auto"/>
          <w:sz w:val="28"/>
          <w:szCs w:val="28"/>
          <w:highlight w:val="none"/>
          <w:u w:val="none"/>
        </w:rPr>
        <w:t>通过上述分析</w:t>
      </w:r>
      <w:r>
        <w:rPr>
          <w:rFonts w:hint="eastAsia" w:ascii="宋体" w:hAnsi="宋体" w:eastAsia="宋体" w:cs="宋体"/>
          <w:color w:val="auto"/>
          <w:sz w:val="28"/>
          <w:szCs w:val="28"/>
          <w:highlight w:val="none"/>
          <w:u w:val="none"/>
          <w:lang w:eastAsia="zh-CN"/>
        </w:rPr>
        <w:t>及</w:t>
      </w:r>
      <w:r>
        <w:rPr>
          <w:rFonts w:hint="eastAsia" w:ascii="宋体" w:hAnsi="宋体" w:eastAsia="宋体" w:cs="宋体"/>
          <w:color w:val="auto"/>
          <w:sz w:val="28"/>
          <w:szCs w:val="28"/>
          <w:highlight w:val="none"/>
          <w:u w:val="none"/>
        </w:rPr>
        <w:t>设备设施情况的了解，确定该企业</w:t>
      </w:r>
      <w:r>
        <w:rPr>
          <w:rFonts w:hint="eastAsia" w:ascii="宋体" w:hAnsi="宋体" w:eastAsia="宋体" w:cs="宋体"/>
          <w:color w:val="auto"/>
          <w:sz w:val="28"/>
          <w:szCs w:val="28"/>
          <w:highlight w:val="none"/>
          <w:u w:val="none"/>
          <w:lang w:eastAsia="zh-CN"/>
        </w:rPr>
        <w:t>厂区</w:t>
      </w:r>
      <w:r>
        <w:rPr>
          <w:rFonts w:hint="eastAsia" w:ascii="宋体" w:hAnsi="宋体" w:eastAsia="宋体" w:cs="宋体"/>
          <w:color w:val="auto"/>
          <w:sz w:val="28"/>
          <w:szCs w:val="28"/>
          <w:highlight w:val="none"/>
          <w:u w:val="none"/>
          <w:lang w:val="en-US" w:eastAsia="zh-CN"/>
        </w:rPr>
        <w:t>成品仓库、液氯气化区、应急罐、液氯槽车区、液蜡罐区、盐酸罐区、氯化车间、盐酸吸收区、烧碱、成品次氯酸钠区等</w:t>
      </w:r>
      <w:r>
        <w:rPr>
          <w:rFonts w:hint="eastAsia" w:ascii="宋体" w:hAnsi="宋体" w:eastAsia="宋体" w:cs="宋体"/>
          <w:color w:val="auto"/>
          <w:sz w:val="28"/>
          <w:szCs w:val="28"/>
          <w:highlight w:val="none"/>
          <w:u w:val="none"/>
          <w:lang w:eastAsia="zh-CN"/>
        </w:rPr>
        <w:t>为重点区域。</w:t>
      </w:r>
      <w:r>
        <w:rPr>
          <w:rFonts w:hint="eastAsia" w:ascii="宋体" w:hAnsi="宋体" w:eastAsia="宋体" w:cs="宋体"/>
          <w:b w:val="0"/>
          <w:bCs w:val="0"/>
          <w:color w:val="auto"/>
          <w:sz w:val="28"/>
          <w:szCs w:val="36"/>
          <w:highlight w:val="none"/>
          <w:vertAlign w:val="baseline"/>
          <w:lang w:val="en-US" w:eastAsia="zh-CN"/>
        </w:rPr>
        <w:t>通过前期调查过程和对资料进行分析、总结和评价，根据各区域及设施信息、特征污染物类型、污染物进入土壤和地</w:t>
      </w:r>
      <w:r>
        <w:rPr>
          <w:rFonts w:hint="eastAsia" w:ascii="宋体" w:hAnsi="宋体" w:eastAsia="宋体" w:cs="宋体"/>
          <w:color w:val="auto"/>
          <w:sz w:val="28"/>
          <w:szCs w:val="28"/>
          <w:highlight w:val="none"/>
          <w:u w:val="none"/>
        </w:rPr>
        <w:t>下水的途径等，识别企业内部存在土壤及地下水污染隐患的区域及设施，记录重点区域及设施相关信息。它们在生产经营活动中产生的污染物经大气流动、渗透、沉降到地面，可能对附近土壤造成污染</w:t>
      </w:r>
      <w:r>
        <w:rPr>
          <w:rFonts w:hint="eastAsia" w:ascii="宋体" w:hAnsi="宋体" w:eastAsia="宋体" w:cs="宋体"/>
          <w:color w:val="auto"/>
          <w:sz w:val="28"/>
          <w:highlight w:val="none"/>
        </w:rPr>
        <w:t>详细见</w:t>
      </w:r>
      <w:r>
        <w:rPr>
          <w:rFonts w:hint="eastAsia" w:ascii="宋体" w:hAnsi="宋体" w:eastAsia="宋体" w:cs="宋体"/>
          <w:color w:val="auto"/>
          <w:sz w:val="28"/>
          <w:highlight w:val="none"/>
          <w:lang w:val="en-US" w:eastAsia="zh-CN"/>
        </w:rPr>
        <w:t>下表</w:t>
      </w:r>
      <w:r>
        <w:rPr>
          <w:rFonts w:hint="eastAsia" w:ascii="宋体" w:hAnsi="宋体" w:eastAsia="宋体" w:cs="宋体"/>
          <w:color w:val="auto"/>
          <w:sz w:val="28"/>
          <w:highlight w:val="none"/>
        </w:rPr>
        <w:t>。</w:t>
      </w:r>
    </w:p>
    <w:p>
      <w:pPr>
        <w:widowControl w:val="0"/>
        <w:spacing w:line="520" w:lineRule="exact"/>
        <w:ind w:left="0" w:firstLine="0"/>
        <w:jc w:val="center"/>
        <w:outlineLvl w:val="9"/>
        <w:rPr>
          <w:rFonts w:hint="eastAsia" w:ascii="宋体" w:hAnsi="宋体" w:eastAsia="宋体" w:cs="宋体"/>
          <w:b/>
          <w:bCs/>
          <w:color w:val="auto"/>
          <w:kern w:val="2"/>
          <w:sz w:val="32"/>
          <w:szCs w:val="32"/>
          <w:lang w:val="zh-CN" w:eastAsia="zh-CN" w:bidi="zh-CN"/>
        </w:rPr>
      </w:pPr>
      <w:bookmarkStart w:id="137" w:name="_Toc5401"/>
      <w:bookmarkStart w:id="138" w:name="_Toc17448"/>
      <w:r>
        <w:rPr>
          <w:rFonts w:hint="eastAsia" w:ascii="宋体" w:hAnsi="宋体" w:eastAsia="宋体" w:cs="宋体"/>
          <w:b/>
          <w:bCs/>
          <w:kern w:val="2"/>
          <w:sz w:val="24"/>
          <w:szCs w:val="24"/>
          <w:lang w:val="zh-CN" w:eastAsia="zh-CN" w:bidi="zh-CN"/>
        </w:rPr>
        <w:t>表4-</w:t>
      </w:r>
      <w:r>
        <w:rPr>
          <w:rFonts w:hint="eastAsia" w:ascii="宋体" w:hAnsi="宋体" w:eastAsia="宋体" w:cs="宋体"/>
          <w:b/>
          <w:bCs/>
          <w:kern w:val="2"/>
          <w:sz w:val="24"/>
          <w:szCs w:val="24"/>
          <w:lang w:val="en-US" w:eastAsia="zh-CN" w:bidi="zh-CN"/>
        </w:rPr>
        <w:t>7</w:t>
      </w:r>
      <w:r>
        <w:rPr>
          <w:rFonts w:hint="eastAsia" w:ascii="宋体" w:hAnsi="宋体" w:eastAsia="宋体" w:cs="宋体"/>
          <w:b/>
          <w:bCs/>
          <w:kern w:val="2"/>
          <w:sz w:val="24"/>
          <w:szCs w:val="24"/>
          <w:lang w:val="zh-CN" w:eastAsia="zh-CN" w:bidi="zh-CN"/>
        </w:rPr>
        <w:t>重点场所及重点设备清单</w:t>
      </w:r>
      <w:bookmarkEnd w:id="137"/>
      <w:bookmarkEnd w:id="138"/>
    </w:p>
    <w:tbl>
      <w:tblPr>
        <w:tblStyle w:val="20"/>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125"/>
        <w:gridCol w:w="1298"/>
        <w:gridCol w:w="804"/>
        <w:gridCol w:w="868"/>
        <w:gridCol w:w="1341"/>
        <w:gridCol w:w="833"/>
        <w:gridCol w:w="780"/>
        <w:gridCol w:w="498"/>
        <w:gridCol w:w="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企业名称</w:t>
            </w:r>
          </w:p>
        </w:tc>
        <w:tc>
          <w:tcPr>
            <w:tcW w:w="4627"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三门峡十化昊昱化工有限公司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填写日期</w:t>
            </w:r>
          </w:p>
        </w:tc>
        <w:tc>
          <w:tcPr>
            <w:tcW w:w="178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2023年6月</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填报人员</w:t>
            </w:r>
          </w:p>
        </w:tc>
        <w:tc>
          <w:tcPr>
            <w:tcW w:w="7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孟丽</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联系方式</w:t>
            </w:r>
          </w:p>
        </w:tc>
        <w:tc>
          <w:tcPr>
            <w:tcW w:w="11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15138172720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8" w:hRule="atLeast"/>
          <w:jc w:val="center"/>
        </w:trPr>
        <w:tc>
          <w:tcPr>
            <w:tcW w:w="3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序号</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eastAsia="zh-CN"/>
              </w:rPr>
              <w:t>单元内需要检测的重点场所</w:t>
            </w:r>
          </w:p>
        </w:tc>
        <w:tc>
          <w:tcPr>
            <w:tcW w:w="7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功能（即该重点场所</w:t>
            </w:r>
            <w:r>
              <w:rPr>
                <w:rFonts w:hint="eastAsia" w:ascii="宋体" w:hAnsi="宋体" w:eastAsia="宋体" w:cs="宋体"/>
                <w:color w:val="auto"/>
                <w:sz w:val="21"/>
                <w:szCs w:val="21"/>
                <w:highlight w:val="none"/>
                <w:u w:val="none"/>
                <w:lang w:val="en-US" w:eastAsia="zh-CN"/>
              </w:rPr>
              <w:t>/设施/设备实际的生产活动</w:t>
            </w:r>
            <w:r>
              <w:rPr>
                <w:rFonts w:hint="eastAsia" w:ascii="宋体" w:hAnsi="宋体" w:eastAsia="宋体" w:cs="宋体"/>
                <w:color w:val="auto"/>
                <w:sz w:val="21"/>
                <w:szCs w:val="21"/>
                <w:highlight w:val="none"/>
                <w:u w:val="none"/>
                <w:lang w:eastAsia="zh-CN"/>
              </w:rPr>
              <w:t>）</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涉及有毒有害物质清单</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关注污染物</w:t>
            </w:r>
          </w:p>
        </w:tc>
        <w:tc>
          <w:tcPr>
            <w:tcW w:w="7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设施坐标</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是否为隐蔽性设施</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单元类别</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该单元对应的检测测点位编号及坐标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9" w:hRule="atLeast"/>
          <w:jc w:val="center"/>
        </w:trPr>
        <w:tc>
          <w:tcPr>
            <w:tcW w:w="3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eastAsia="zh-CN"/>
              </w:rPr>
              <w:t>单元</w:t>
            </w:r>
            <w:r>
              <w:rPr>
                <w:rFonts w:hint="eastAsia" w:ascii="宋体" w:hAnsi="宋体" w:eastAsia="宋体" w:cs="宋体"/>
                <w:color w:val="auto"/>
                <w:sz w:val="21"/>
                <w:szCs w:val="21"/>
                <w:highlight w:val="none"/>
                <w:u w:val="none"/>
                <w:lang w:val="en-US" w:eastAsia="zh-CN"/>
              </w:rPr>
              <w:t>A</w:t>
            </w: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成品罐区、成品库区</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成品罐、成品库</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23.633</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25.008</w:t>
            </w:r>
            <w:r>
              <w:rPr>
                <w:rFonts w:hint="eastAsia" w:ascii="宋体" w:hAnsi="宋体" w:eastAsia="宋体" w:cs="宋体"/>
                <w:color w:val="auto"/>
                <w:kern w:val="0"/>
                <w:sz w:val="21"/>
                <w:szCs w:val="21"/>
                <w:highlight w:val="none"/>
              </w:rPr>
              <w:t>'</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二类</w:t>
            </w:r>
          </w:p>
        </w:tc>
        <w:tc>
          <w:tcPr>
            <w:tcW w:w="27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土壤</w:t>
            </w: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液蜡罐区</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液蜡罐</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2"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地面已硬化现场不具备取样条件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盐酸罐区</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盐酸罐</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氯化氢</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吸收区</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吸收装置</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氯化氢、氯气</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气化区、生产装置区</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气化、生产装置</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氯化氢、氯气</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eastAsia="zh-CN"/>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氯气库、液氯应急罐区 </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氯气库、液氯应急罐</w:t>
            </w:r>
          </w:p>
        </w:tc>
        <w:tc>
          <w:tcPr>
            <w:tcW w:w="443"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氯气</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val="en-US" w:eastAsia="zh-CN"/>
              </w:rPr>
              <w:t>/</w:t>
            </w:r>
          </w:p>
        </w:tc>
        <w:tc>
          <w:tcPr>
            <w:tcW w:w="4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46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7" w:hRule="atLeast"/>
          <w:jc w:val="center"/>
        </w:trPr>
        <w:tc>
          <w:tcPr>
            <w:tcW w:w="3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p>
        </w:tc>
        <w:tc>
          <w:tcPr>
            <w:tcW w:w="6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u w:val="none"/>
              </w:rPr>
              <w:t>土壤背景监测点</w:t>
            </w:r>
          </w:p>
        </w:tc>
        <w:tc>
          <w:tcPr>
            <w:tcW w:w="71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rPr>
              <w:t>土壤背景监测点</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26.849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13.623</w:t>
            </w:r>
            <w:r>
              <w:rPr>
                <w:rFonts w:hint="eastAsia" w:ascii="宋体" w:hAnsi="宋体" w:eastAsia="宋体" w:cs="宋体"/>
                <w:color w:val="auto"/>
                <w:kern w:val="0"/>
                <w:sz w:val="21"/>
                <w:szCs w:val="21"/>
                <w:highlight w:val="none"/>
              </w:rPr>
              <w:t>''</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否</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二类</w:t>
            </w:r>
          </w:p>
        </w:tc>
        <w:tc>
          <w:tcPr>
            <w:tcW w:w="27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r>
    </w:tbl>
    <w:p>
      <w:pPr>
        <w:rPr>
          <w:rFonts w:hint="eastAsia" w:ascii="宋体" w:hAnsi="宋体" w:eastAsia="宋体" w:cs="宋体"/>
          <w:color w:val="auto"/>
          <w:highlight w:val="none"/>
          <w:lang w:bidi="ar"/>
        </w:rPr>
      </w:pPr>
    </w:p>
    <w:p>
      <w:pPr>
        <w:widowControl w:val="0"/>
        <w:bidi w:val="0"/>
        <w:spacing w:line="520" w:lineRule="exact"/>
        <w:ind w:left="0" w:firstLine="0"/>
        <w:jc w:val="both"/>
        <w:outlineLvl w:val="0"/>
        <w:rPr>
          <w:rFonts w:hint="eastAsia" w:ascii="宋体" w:hAnsi="宋体" w:eastAsia="宋体" w:cs="宋体"/>
          <w:b/>
          <w:bCs/>
          <w:kern w:val="2"/>
          <w:sz w:val="32"/>
          <w:szCs w:val="32"/>
          <w:lang w:val="en-US" w:eastAsia="zh-CN" w:bidi="zh-CN"/>
        </w:rPr>
      </w:pPr>
      <w:bookmarkStart w:id="139" w:name="_Toc13590"/>
      <w:bookmarkStart w:id="140" w:name="_Toc107924576"/>
      <w:bookmarkStart w:id="141" w:name="_Toc1177"/>
      <w:bookmarkStart w:id="142" w:name="_Toc31621"/>
      <w:r>
        <w:rPr>
          <w:rFonts w:hint="eastAsia" w:ascii="宋体" w:hAnsi="宋体" w:eastAsia="宋体" w:cs="宋体"/>
          <w:b/>
          <w:bCs/>
          <w:kern w:val="2"/>
          <w:sz w:val="32"/>
          <w:szCs w:val="32"/>
          <w:lang w:val="en-US" w:eastAsia="zh-CN" w:bidi="zh-CN"/>
        </w:rPr>
        <w:t>5重点监测单元识别与分类</w:t>
      </w:r>
      <w:bookmarkEnd w:id="139"/>
      <w:bookmarkEnd w:id="140"/>
      <w:bookmarkEnd w:id="141"/>
      <w:bookmarkEnd w:id="142"/>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43" w:name="_Toc8453"/>
      <w:bookmarkStart w:id="144" w:name="_Toc8286"/>
      <w:bookmarkStart w:id="145" w:name="_Toc13137"/>
      <w:bookmarkStart w:id="146" w:name="_Toc107924577"/>
      <w:r>
        <w:rPr>
          <w:rFonts w:hint="eastAsia" w:ascii="宋体" w:hAnsi="宋体" w:eastAsia="宋体" w:cs="宋体"/>
          <w:b/>
          <w:bCs/>
          <w:kern w:val="2"/>
          <w:sz w:val="28"/>
          <w:szCs w:val="32"/>
          <w:lang w:val="en-US" w:eastAsia="zh-CN" w:bidi="ar-SA"/>
        </w:rPr>
        <w:t>5.1重点监测单元识别</w:t>
      </w:r>
      <w:bookmarkEnd w:id="143"/>
      <w:bookmarkEnd w:id="144"/>
      <w:bookmarkEnd w:id="145"/>
      <w:bookmarkEnd w:id="146"/>
    </w:p>
    <w:p>
      <w:pPr>
        <w:widowControl/>
        <w:spacing w:line="520" w:lineRule="exact"/>
        <w:ind w:firstLine="560" w:firstLineChars="200"/>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lang w:val="en-US" w:eastAsia="zh-CN"/>
        </w:rPr>
        <w:t>根据企业实际生产情况结合资料搜集、现场踏勘和人员访谈的结果分析，为具有针对性的展开调查工作，以场地主要功能区为基础，将各区域主要特征总结。确定企业内有潜在土壤污染隐患的重点场所及重点设施设备为</w:t>
      </w:r>
      <w:r>
        <w:rPr>
          <w:rFonts w:hint="eastAsia" w:ascii="宋体" w:hAnsi="宋体" w:eastAsia="宋体" w:cs="宋体"/>
          <w:color w:val="auto"/>
          <w:sz w:val="28"/>
          <w:szCs w:val="28"/>
          <w:highlight w:val="none"/>
          <w:u w:val="none"/>
          <w:lang w:eastAsia="zh-CN"/>
        </w:rPr>
        <w:t>成品仓库、液氯气化区、应急罐、液氯槽车区、液蜡罐区、盐酸罐区、氯化车间、盐酸吸收区、烧碱、成品次氯酸钠区、消防罐区等为重点区域。</w:t>
      </w:r>
      <w:r>
        <w:rPr>
          <w:rFonts w:hint="eastAsia" w:ascii="宋体" w:hAnsi="宋体" w:eastAsia="宋体" w:cs="宋体"/>
          <w:color w:val="auto"/>
          <w:sz w:val="28"/>
          <w:szCs w:val="28"/>
          <w:highlight w:val="none"/>
          <w:u w:val="none"/>
        </w:rPr>
        <w:t>具体信息见表5-1。</w:t>
      </w:r>
    </w:p>
    <w:p>
      <w:pPr>
        <w:jc w:val="center"/>
        <w:rPr>
          <w:rFonts w:hint="eastAsia" w:ascii="宋体" w:hAnsi="宋体" w:eastAsia="宋体" w:cs="宋体"/>
          <w:b/>
          <w:bCs/>
          <w:color w:val="auto"/>
          <w:kern w:val="0"/>
          <w:sz w:val="28"/>
          <w:szCs w:val="28"/>
          <w:highlight w:val="none"/>
          <w:lang w:eastAsia="zh-CN" w:bidi="ar"/>
        </w:rPr>
      </w:pPr>
      <w:r>
        <w:rPr>
          <w:rFonts w:hint="eastAsia" w:ascii="宋体" w:hAnsi="宋体" w:eastAsia="宋体" w:cs="宋体"/>
          <w:b/>
          <w:bCs/>
          <w:color w:val="auto"/>
          <w:kern w:val="0"/>
          <w:sz w:val="28"/>
          <w:szCs w:val="28"/>
          <w:highlight w:val="none"/>
          <w:lang w:eastAsia="zh-CN" w:bidi="ar"/>
        </w:rPr>
        <w:t>表5-1重点监测单元及重点区域信息表</w:t>
      </w:r>
    </w:p>
    <w:tbl>
      <w:tblPr>
        <w:tblStyle w:val="21"/>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bCs/>
                <w:color w:val="auto"/>
                <w:sz w:val="24"/>
                <w:szCs w:val="32"/>
                <w:highlight w:val="none"/>
                <w:vertAlign w:val="baseline"/>
                <w:lang w:val="en-US" w:eastAsia="zh-CN"/>
              </w:rPr>
            </w:pPr>
            <w:r>
              <w:rPr>
                <w:rFonts w:hint="eastAsia" w:ascii="宋体" w:hAnsi="宋体" w:eastAsia="宋体" w:cs="宋体"/>
                <w:b/>
                <w:bCs/>
                <w:color w:val="auto"/>
                <w:sz w:val="24"/>
                <w:szCs w:val="32"/>
                <w:highlight w:val="none"/>
                <w:vertAlign w:val="baseline"/>
                <w:lang w:val="en-US" w:eastAsia="zh-CN"/>
              </w:rPr>
              <w:t>编号</w:t>
            </w:r>
          </w:p>
        </w:tc>
        <w:tc>
          <w:tcPr>
            <w:tcW w:w="7500" w:type="dxa"/>
            <w:vAlign w:val="center"/>
          </w:tcPr>
          <w:p>
            <w:pPr>
              <w:numPr>
                <w:ilvl w:val="0"/>
                <w:numId w:val="0"/>
              </w:numPr>
              <w:jc w:val="center"/>
              <w:rPr>
                <w:rFonts w:hint="eastAsia" w:ascii="宋体" w:hAnsi="宋体" w:eastAsia="宋体" w:cs="宋体"/>
                <w:b/>
                <w:bCs/>
                <w:color w:val="auto"/>
                <w:sz w:val="24"/>
                <w:szCs w:val="32"/>
                <w:highlight w:val="none"/>
                <w:vertAlign w:val="baseline"/>
                <w:lang w:val="en-US" w:eastAsia="zh-CN"/>
              </w:rPr>
            </w:pPr>
            <w:r>
              <w:rPr>
                <w:rFonts w:hint="eastAsia" w:ascii="宋体" w:hAnsi="宋体" w:eastAsia="宋体" w:cs="宋体"/>
                <w:b/>
                <w:bCs/>
                <w:color w:val="auto"/>
                <w:sz w:val="24"/>
                <w:szCs w:val="32"/>
                <w:highlight w:val="none"/>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highlight w:val="none"/>
                <w:vertAlign w:val="baseline"/>
                <w:lang w:val="en-US" w:eastAsia="zh-CN" w:bidi="ar-SA"/>
              </w:rPr>
            </w:pPr>
            <w:r>
              <w:rPr>
                <w:rFonts w:hint="eastAsia" w:ascii="宋体" w:hAnsi="宋体" w:eastAsia="宋体" w:cs="宋体"/>
                <w:b w:val="0"/>
                <w:bCs w:val="0"/>
                <w:color w:val="auto"/>
                <w:sz w:val="24"/>
                <w:szCs w:val="32"/>
                <w:highlight w:val="none"/>
                <w:vertAlign w:val="baseline"/>
                <w:lang w:val="en-US" w:eastAsia="zh-CN"/>
              </w:rPr>
              <w:t>1#</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kern w:val="2"/>
                <w:sz w:val="24"/>
                <w:szCs w:val="32"/>
                <w:highlight w:val="none"/>
                <w:vertAlign w:val="baseline"/>
                <w:lang w:val="en-US" w:eastAsia="zh-CN" w:bidi="ar-SA"/>
              </w:rPr>
            </w:pPr>
            <w:r>
              <w:rPr>
                <w:rFonts w:hint="eastAsia" w:ascii="宋体" w:hAnsi="宋体" w:eastAsia="宋体" w:cs="宋体"/>
                <w:b w:val="0"/>
                <w:bCs w:val="0"/>
                <w:color w:val="auto"/>
                <w:kern w:val="2"/>
                <w:sz w:val="24"/>
                <w:szCs w:val="32"/>
                <w:highlight w:val="none"/>
                <w:vertAlign w:val="baseline"/>
                <w:lang w:val="en-US" w:eastAsia="zh-CN" w:bidi="ar-SA"/>
              </w:rPr>
              <w:t>液蜡罐区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2#</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盐酸罐区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3#</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成品罐区、成品库区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4#</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吸收区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5#</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气化区、生产装置区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6#</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氯气库、液氯应急罐区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7#</w:t>
            </w:r>
          </w:p>
        </w:tc>
        <w:tc>
          <w:tcPr>
            <w:tcW w:w="7500"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24"/>
                <w:highlight w:val="none"/>
                <w:u w:val="none"/>
              </w:rPr>
              <w:t>土壤背景监测点</w:t>
            </w:r>
          </w:p>
        </w:tc>
      </w:tr>
    </w:tbl>
    <w:p>
      <w:pPr>
        <w:pStyle w:val="27"/>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color w:val="auto"/>
          <w:sz w:val="28"/>
          <w:szCs w:val="28"/>
          <w:highlight w:val="none"/>
          <w:u w:val="none"/>
          <w:lang w:eastAsia="zh-CN"/>
        </w:rPr>
        <w:t>土壤检测</w:t>
      </w:r>
      <w:r>
        <w:rPr>
          <w:rFonts w:hint="eastAsia" w:ascii="宋体" w:hAnsi="宋体" w:eastAsia="宋体" w:cs="宋体"/>
          <w:color w:val="auto"/>
          <w:sz w:val="28"/>
          <w:szCs w:val="28"/>
          <w:highlight w:val="none"/>
          <w:u w:val="none"/>
        </w:rPr>
        <w:t>因子：</w:t>
      </w:r>
      <w:r>
        <w:rPr>
          <w:rFonts w:hint="eastAsia" w:ascii="宋体" w:hAnsi="宋体" w:eastAsia="宋体" w:cs="宋体"/>
          <w:sz w:val="28"/>
          <w:szCs w:val="28"/>
          <w:u w:val="none"/>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sz w:val="28"/>
          <w:szCs w:val="28"/>
          <w:u w:val="none"/>
          <w:lang w:val="en-US" w:eastAsia="zh-CN"/>
        </w:rPr>
        <w:t>45项；特征污染物：pH</w:t>
      </w:r>
      <w:r>
        <w:rPr>
          <w:rFonts w:hint="eastAsia" w:ascii="宋体" w:hAnsi="宋体" w:eastAsia="宋体" w:cs="宋体"/>
          <w:color w:val="auto"/>
          <w:sz w:val="28"/>
          <w:szCs w:val="28"/>
          <w:highlight w:val="none"/>
          <w:u w:val="none"/>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360" w:lineRule="auto"/>
        <w:ind w:right="0" w:firstLine="560" w:firstLineChars="200"/>
        <w:jc w:val="left"/>
        <w:textAlignment w:val="auto"/>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u w:val="none"/>
          <w:lang w:val="en-US" w:eastAsia="zh-CN" w:bidi="ar-SA"/>
        </w:rPr>
        <w:t>三门峡十化昊昱化工有限公司厂区内无地下水监测井，公司于2018年8月委托中水电第十一工程局(郑州)有限公司编制了《三门峡十化昊昱化工有限公司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三门峡十化昊昱化工有限公司建设项目岩土工程勘察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val="en-US" w:eastAsia="zh-CN"/>
        </w:rPr>
      </w:pPr>
      <w:bookmarkStart w:id="147" w:name="_Toc31099"/>
      <w:bookmarkStart w:id="148" w:name="_Toc107924578"/>
      <w:bookmarkStart w:id="149" w:name="_Toc3020"/>
      <w:bookmarkStart w:id="150" w:name="_Toc857_WPSOffice_Level2"/>
      <w:bookmarkStart w:id="151" w:name="_Toc12836"/>
      <w:bookmarkStart w:id="152" w:name="_Toc6025_WPSOffice_Level2"/>
      <w:bookmarkStart w:id="153" w:name="_Toc13293_WPSOffice_Level1"/>
      <w:bookmarkStart w:id="154" w:name="_Toc15018"/>
      <w:r>
        <w:rPr>
          <w:rFonts w:hint="eastAsia" w:ascii="宋体" w:hAnsi="宋体" w:eastAsia="宋体" w:cs="宋体"/>
          <w:color w:val="auto"/>
          <w:sz w:val="28"/>
          <w:szCs w:val="28"/>
          <w:highlight w:val="none"/>
          <w:u w:val="none"/>
          <w:lang w:val="en-US" w:eastAsia="zh-CN"/>
        </w:rPr>
        <w:t>鉴于以上情况，2023年6月18日-6月28日，公司委托洛阳市达峰环境检测有限公司对厂区土壤开展监测。根据2023年6月28日出具的《三门峡十化昊昱化工有限公司土壤检测报告》（报告编号：DFJC-008-06-2023），报告中结合企业厂区生产设施分布和生产工艺等实际情况，确定土壤监测点位置及数量7个（其中6个监控点，1个背景点），但具备取样条件的土壤监测点位置及数量为2个（1个成品罐区、成品库区监控点，1个土壤背景监测点）。其他5个点位不具备取样条件的原因为：液蜡罐区、盐酸罐区、吸收区、气化区和生产装置区、氯气库和液氯应急罐区5个点位地面已硬化无法取样。</w:t>
      </w:r>
    </w:p>
    <w:p>
      <w:pPr>
        <w:pStyle w:val="9"/>
        <w:numPr>
          <w:ilvl w:val="2"/>
          <w:numId w:val="0"/>
        </w:numPr>
        <w:spacing w:before="0" w:beforeLines="-2147483648" w:beforeAutospacing="0" w:after="0" w:afterLines="-2147483648" w:afterAutospacing="0" w:line="520" w:lineRule="exact"/>
        <w:ind w:firstLine="560" w:firstLineChars="200"/>
        <w:outlineLvl w:val="2"/>
        <w:rPr>
          <w:rFonts w:hint="eastAsia" w:ascii="宋体" w:hAnsi="宋体" w:eastAsia="宋体" w:cs="宋体"/>
          <w:b w:val="0"/>
          <w:bCs w:val="0"/>
          <w:color w:val="auto"/>
          <w:sz w:val="28"/>
          <w:szCs w:val="28"/>
          <w:highlight w:val="none"/>
          <w:u w:val="none"/>
          <w:shd w:val="clear" w:color="auto" w:fill="auto"/>
        </w:rPr>
      </w:pPr>
      <w:r>
        <w:rPr>
          <w:rFonts w:hint="eastAsia" w:ascii="宋体" w:hAnsi="宋体" w:eastAsia="宋体" w:cs="宋体"/>
          <w:b w:val="0"/>
          <w:bCs w:val="0"/>
          <w:color w:val="auto"/>
          <w:sz w:val="28"/>
          <w:szCs w:val="28"/>
          <w:highlight w:val="none"/>
          <w:u w:val="none"/>
          <w:shd w:val="clear" w:color="auto" w:fill="auto"/>
          <w:lang w:val="en-US" w:eastAsia="zh-CN"/>
        </w:rPr>
        <w:t>鉴于三门峡十化昊昱化工有限公司现场地面已硬化不具备取样条件的实际情况，生态环境部《关于土壤破坏性监测问题的回复》明确，如果项目场地已经做了防腐防渗(包括硬化)处理无法取样，可不取样监测，但需要详细说明无法取样原因。</w:t>
      </w:r>
    </w:p>
    <w:p>
      <w:pPr>
        <w:rPr>
          <w:rFonts w:hint="eastAsia" w:ascii="宋体" w:hAnsi="宋体" w:eastAsia="宋体" w:cs="宋体"/>
          <w:b/>
          <w:bCs/>
          <w:kern w:val="2"/>
          <w:sz w:val="28"/>
          <w:szCs w:val="32"/>
          <w:lang w:val="en-US" w:eastAsia="zh-CN" w:bidi="ar-SA"/>
        </w:rPr>
      </w:pPr>
      <w:bookmarkStart w:id="155" w:name="_Toc26961"/>
      <w:r>
        <w:rPr>
          <w:rFonts w:hint="eastAsia" w:ascii="宋体" w:hAnsi="宋体" w:eastAsia="宋体" w:cs="宋体"/>
          <w:b/>
          <w:bCs/>
          <w:kern w:val="2"/>
          <w:sz w:val="28"/>
          <w:szCs w:val="32"/>
          <w:lang w:val="en-US" w:eastAsia="zh-CN" w:bidi="ar-SA"/>
        </w:rPr>
        <w:br w:type="page"/>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r>
        <w:rPr>
          <w:rFonts w:hint="eastAsia" w:ascii="宋体" w:hAnsi="宋体" w:eastAsia="宋体" w:cs="宋体"/>
          <w:b/>
          <w:bCs/>
          <w:kern w:val="2"/>
          <w:sz w:val="28"/>
          <w:szCs w:val="32"/>
          <w:lang w:val="en-US" w:eastAsia="zh-CN" w:bidi="ar-SA"/>
        </w:rPr>
        <w:t>5.2识别/分类结果及原因</w:t>
      </w:r>
      <w:bookmarkEnd w:id="147"/>
      <w:bookmarkEnd w:id="148"/>
      <w:bookmarkEnd w:id="149"/>
      <w:bookmarkEnd w:id="155"/>
    </w:p>
    <w:p>
      <w:pPr>
        <w:bidi w:val="0"/>
        <w:spacing w:line="520" w:lineRule="exact"/>
        <w:jc w:val="left"/>
        <w:outlineLvl w:val="9"/>
        <w:rPr>
          <w:rFonts w:hint="eastAsia" w:ascii="宋体" w:hAnsi="宋体" w:eastAsia="宋体" w:cs="宋体"/>
          <w:b/>
          <w:color w:val="auto"/>
          <w:kern w:val="2"/>
          <w:sz w:val="28"/>
          <w:szCs w:val="28"/>
          <w:highlight w:val="none"/>
          <w:lang w:val="en-US" w:eastAsia="zh-CN" w:bidi="ar-SA"/>
        </w:rPr>
      </w:pPr>
      <w:bookmarkStart w:id="156" w:name="_Toc23988"/>
      <w:bookmarkStart w:id="157" w:name="_Toc7870"/>
      <w:bookmarkStart w:id="158" w:name="_Toc107924579"/>
      <w:r>
        <w:rPr>
          <w:rFonts w:hint="eastAsia" w:ascii="宋体" w:hAnsi="宋体" w:eastAsia="宋体" w:cs="宋体"/>
          <w:b/>
          <w:color w:val="auto"/>
          <w:kern w:val="2"/>
          <w:sz w:val="28"/>
          <w:szCs w:val="28"/>
          <w:highlight w:val="none"/>
          <w:lang w:val="en-US" w:eastAsia="zh-CN" w:bidi="ar-SA"/>
        </w:rPr>
        <w:t>5.2.1识别原因</w:t>
      </w:r>
      <w:bookmarkEnd w:id="156"/>
      <w:bookmarkEnd w:id="157"/>
      <w:bookmarkEnd w:id="158"/>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按照《在产企业土壤及地下水自行监测技术指南》（HJ1209-2021）的相关规定，本次地下水自行监测对重点设施及重点区域的划分将遵循以下几个方面开展：</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（1）重点设施（一般包括但不仅限于）</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a）涉及有毒有害物质的生产区或生产设施；</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b）涉及有毒有害物质的原辅材料、产品、固体废物等的贮存或堆放区；</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c）涉及有毒有害物质的原辅材料、产品、固体废物等的转运、传送或装卸区；</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d）贮存或运输有毒有害物质的各类罐槽或管线；</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e）三废（废气、废水、固体废物）处理处置或排放区。</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（2）重点区域：重点设施分布较为密集的区域</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依据《在产企业土壤及地下水自行监测技术指南》（HJ1209-2021）、《建设用地土壤污染状况调查技术导则》（HJ25.1-2019）、《建设用地土壤环境调查评估技术指南》等要求，结合土壤及地下水隐患排查结果、现场踏勘和人员访谈，采用专业判断法进行土壤监测点布设，每个重点设施周边布设1-2个土壤监测点，每个重点监测单元布设最少1个土壤监测点，具体数量可根据设施大小或区域内设施数量等实际情况进行适当调整。</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由于企业生产性质，为防止造成二次污染，本次布点均在厂区靠近重点区域绿化带无硬化地面。</w:t>
      </w:r>
    </w:p>
    <w:p>
      <w:pPr>
        <w:keepNext/>
        <w:keepLines/>
        <w:widowControl w:val="0"/>
        <w:spacing w:line="520" w:lineRule="exact"/>
        <w:jc w:val="both"/>
        <w:outlineLvl w:val="9"/>
        <w:rPr>
          <w:rFonts w:hint="eastAsia" w:ascii="宋体" w:hAnsi="宋体" w:eastAsia="宋体" w:cs="宋体"/>
          <w:b/>
          <w:color w:val="auto"/>
          <w:kern w:val="2"/>
          <w:sz w:val="28"/>
          <w:szCs w:val="28"/>
          <w:highlight w:val="none"/>
          <w:lang w:val="en-US" w:eastAsia="zh-CN" w:bidi="ar-SA"/>
        </w:rPr>
      </w:pPr>
      <w:bookmarkStart w:id="159" w:name="_Toc107924580"/>
      <w:bookmarkStart w:id="160" w:name="_Toc12031"/>
      <w:bookmarkStart w:id="161" w:name="_Toc24841"/>
      <w:r>
        <w:rPr>
          <w:rFonts w:hint="eastAsia" w:ascii="宋体" w:hAnsi="宋体" w:eastAsia="宋体" w:cs="宋体"/>
          <w:b/>
          <w:color w:val="auto"/>
          <w:kern w:val="2"/>
          <w:sz w:val="28"/>
          <w:szCs w:val="28"/>
          <w:highlight w:val="none"/>
          <w:lang w:val="en-US" w:eastAsia="zh-CN" w:bidi="ar-SA"/>
        </w:rPr>
        <w:t>5.2.2污染物潜在迁移途径</w:t>
      </w:r>
      <w:bookmarkEnd w:id="159"/>
      <w:bookmarkEnd w:id="160"/>
      <w:bookmarkEnd w:id="161"/>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根据水文地质资料和现场踏勘等工作分析，本场地土壤若存在污染物，其污染扩散途径包括为：</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（1）污染物垂直向下迁移：落地的污染物在外部降雨或自身重力垂直向下迁移，在迁移过程中吸附在土壤介质表面或溶解于降水进而影响土壤。</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（2）污染物水平迁移：落地污染物随雨水、风力等的水平迁移扩散。随雨水等地表径流扩散主要和场地地形有关，从场地地势高部分向地势低处扩散。</w:t>
      </w:r>
    </w:p>
    <w:p>
      <w:pPr>
        <w:bidi w:val="0"/>
        <w:spacing w:line="520" w:lineRule="exact"/>
        <w:ind w:firstLine="560" w:firstLineChars="200"/>
        <w:jc w:val="left"/>
        <w:outlineLvl w:val="9"/>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（3）污染物地下迁移：污染物渗透进入地下，随地下水径流向下游迁移，影响土壤。</w:t>
      </w:r>
      <w:bookmarkStart w:id="162" w:name="_Toc2810"/>
      <w:bookmarkStart w:id="163" w:name="_Toc107924581"/>
      <w:bookmarkStart w:id="164" w:name="_Toc11150"/>
    </w:p>
    <w:p>
      <w:pPr>
        <w:bidi w:val="0"/>
        <w:spacing w:line="520" w:lineRule="exact"/>
        <w:ind w:firstLine="562" w:firstLineChars="200"/>
        <w:jc w:val="left"/>
        <w:outlineLvl w:val="9"/>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5.2.3重点监测单元分类结果</w:t>
      </w:r>
      <w:bookmarkEnd w:id="162"/>
      <w:bookmarkEnd w:id="163"/>
      <w:bookmarkEnd w:id="164"/>
    </w:p>
    <w:p>
      <w:pPr>
        <w:bidi w:val="0"/>
        <w:spacing w:line="520" w:lineRule="exact"/>
        <w:ind w:firstLine="560" w:firstLineChars="200"/>
        <w:jc w:val="left"/>
        <w:outlineLvl w:val="9"/>
        <w:rPr>
          <w:rFonts w:hint="eastAsia" w:ascii="宋体" w:hAnsi="宋体" w:eastAsia="宋体" w:cs="宋体"/>
          <w:b/>
          <w:bCs/>
          <w:kern w:val="2"/>
          <w:sz w:val="28"/>
          <w:szCs w:val="32"/>
          <w:lang w:val="en-US" w:eastAsia="zh-CN" w:bidi="ar-SA"/>
        </w:rPr>
      </w:pPr>
      <w:r>
        <w:rPr>
          <w:rFonts w:hint="eastAsia" w:ascii="宋体" w:hAnsi="宋体" w:eastAsia="宋体" w:cs="宋体"/>
          <w:color w:val="auto"/>
          <w:sz w:val="28"/>
          <w:highlight w:val="none"/>
          <w:lang w:val="en-US" w:eastAsia="zh-CN"/>
        </w:rPr>
        <w:t>根据本项目土壤隐患排查结果，参照《工业企业土壤和地下水自行监测技术指南（试行）》HJ1209-2021，该项目确实具有土壤污染隐患的重点场所或重点设施设备，应进行重点监测单元开展土壤和地下水监测工作，根据“5.1重点单元情况”可知，确定</w:t>
      </w:r>
      <w:bookmarkStart w:id="165" w:name="_Toc1154"/>
      <w:bookmarkStart w:id="166" w:name="_Toc25993"/>
      <w:bookmarkStart w:id="167" w:name="_Toc107924582"/>
      <w:r>
        <w:rPr>
          <w:rFonts w:hint="eastAsia" w:ascii="宋体" w:hAnsi="宋体" w:eastAsia="宋体" w:cs="宋体"/>
          <w:color w:val="auto"/>
          <w:kern w:val="0"/>
          <w:sz w:val="28"/>
          <w:szCs w:val="28"/>
          <w:highlight w:val="none"/>
          <w:lang w:eastAsia="zh-CN" w:bidi="ar"/>
        </w:rPr>
        <w:t>厂区成品仓库、液氯气化区、应急罐、液氯槽车区、液蜡罐区、盐酸罐区、氯化车间、盐酸吸收区、烧碱、成品次氯酸钠区等为重点区域。</w:t>
      </w:r>
    </w:p>
    <w:p>
      <w:pPr>
        <w:keepNext/>
        <w:keepLines/>
        <w:widowControl w:val="0"/>
        <w:numPr>
          <w:ilvl w:val="1"/>
          <w:numId w:val="1"/>
        </w:numPr>
        <w:bidi w:val="0"/>
        <w:spacing w:line="520" w:lineRule="exact"/>
        <w:ind w:firstLine="560" w:firstLineChars="0"/>
        <w:jc w:val="left"/>
        <w:outlineLvl w:val="1"/>
        <w:rPr>
          <w:rFonts w:hint="eastAsia" w:ascii="宋体" w:hAnsi="宋体" w:eastAsia="宋体" w:cs="宋体"/>
          <w:b/>
          <w:bCs/>
          <w:kern w:val="2"/>
          <w:sz w:val="28"/>
          <w:szCs w:val="32"/>
          <w:lang w:val="en-US" w:eastAsia="zh-CN" w:bidi="ar-SA"/>
        </w:rPr>
      </w:pPr>
      <w:bookmarkStart w:id="168" w:name="_Toc16851"/>
      <w:r>
        <w:rPr>
          <w:rFonts w:hint="eastAsia" w:ascii="宋体" w:hAnsi="宋体" w:eastAsia="宋体" w:cs="宋体"/>
          <w:b/>
          <w:bCs/>
          <w:kern w:val="2"/>
          <w:sz w:val="28"/>
          <w:szCs w:val="32"/>
          <w:lang w:val="en-US" w:eastAsia="zh-CN" w:bidi="ar-SA"/>
        </w:rPr>
        <w:t>5.3关注污染物</w:t>
      </w:r>
      <w:bookmarkEnd w:id="165"/>
      <w:bookmarkEnd w:id="166"/>
      <w:bookmarkEnd w:id="167"/>
      <w:bookmarkEnd w:id="168"/>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重点监测单元及关注污染物见表5-3。</w:t>
      </w:r>
    </w:p>
    <w:p>
      <w:pPr>
        <w:bidi w:val="0"/>
        <w:spacing w:line="520" w:lineRule="exact"/>
        <w:ind w:firstLine="562" w:firstLineChars="200"/>
        <w:jc w:val="center"/>
        <w:rPr>
          <w:rFonts w:hint="eastAsia" w:ascii="宋体" w:hAnsi="宋体" w:eastAsia="宋体" w:cs="宋体"/>
          <w:b/>
          <w:bCs/>
          <w:color w:val="auto"/>
          <w:sz w:val="28"/>
          <w:highlight w:val="none"/>
          <w:lang w:val="en-US" w:eastAsia="zh-CN"/>
        </w:rPr>
      </w:pPr>
      <w:r>
        <w:rPr>
          <w:rFonts w:hint="eastAsia" w:ascii="宋体" w:hAnsi="宋体" w:eastAsia="宋体" w:cs="宋体"/>
          <w:b/>
          <w:bCs/>
          <w:color w:val="auto"/>
          <w:sz w:val="28"/>
          <w:highlight w:val="none"/>
          <w:lang w:val="en-US" w:eastAsia="zh-CN"/>
        </w:rPr>
        <w:t>表5-3 重点监测单元及关注污染物</w:t>
      </w:r>
    </w:p>
    <w:tbl>
      <w:tblPr>
        <w:tblStyle w:val="20"/>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879"/>
        <w:gridCol w:w="1929"/>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潜在污染物区域名称</w:t>
            </w:r>
          </w:p>
        </w:tc>
        <w:tc>
          <w:tcPr>
            <w:tcW w:w="1028"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污染源</w:t>
            </w:r>
          </w:p>
        </w:tc>
        <w:tc>
          <w:tcPr>
            <w:tcW w:w="1055"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可能造成的污染</w:t>
            </w:r>
          </w:p>
        </w:tc>
        <w:tc>
          <w:tcPr>
            <w:tcW w:w="1604"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可能会对土壤造成风险的污染物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成品罐区、成品库区</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rPr>
              <w:t>成品罐、成品库</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液蜡罐区</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液蜡罐</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盐酸罐区</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盐酸罐</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吸收区</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吸收装置</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氯化氢、氯气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气化区、生产装置区</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气化、生产装置</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氯化氢、氯气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1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 xml:space="preserve">氯气库、液氯应急罐区 </w:t>
            </w:r>
          </w:p>
        </w:tc>
        <w:tc>
          <w:tcPr>
            <w:tcW w:w="102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氯气库、液氯应急罐</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4"/>
                <w:szCs w:val="24"/>
                <w:highlight w:val="none"/>
                <w:vertAlign w:val="baseline"/>
                <w:lang w:val="en-US" w:eastAsia="zh-CN" w:bidi="ar-SA"/>
              </w:rPr>
            </w:pPr>
            <w:bookmarkStart w:id="169" w:name="_Toc17328"/>
            <w:bookmarkStart w:id="170" w:name="_Toc107924583"/>
            <w:bookmarkStart w:id="171" w:name="_Toc12326"/>
            <w:r>
              <w:rPr>
                <w:rFonts w:hint="eastAsia" w:ascii="宋体" w:hAnsi="宋体" w:eastAsia="宋体" w:cs="宋体"/>
                <w:b w:val="0"/>
                <w:bCs w:val="0"/>
                <w:color w:val="auto"/>
                <w:sz w:val="24"/>
                <w:szCs w:val="24"/>
                <w:highlight w:val="none"/>
                <w:u w:val="none"/>
              </w:rPr>
              <w:t>土壤背景监测点</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0" w:type="auto"/>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bl>
    <w:p>
      <w:pPr>
        <w:pStyle w:val="7"/>
        <w:bidi w:val="0"/>
        <w:rPr>
          <w:rFonts w:hint="eastAsia" w:ascii="宋体" w:hAnsi="宋体" w:eastAsia="宋体" w:cs="宋体"/>
          <w:lang w:val="en-US" w:eastAsia="zh-CN"/>
        </w:rPr>
      </w:pPr>
      <w:bookmarkStart w:id="172" w:name="_Toc20666"/>
      <w:r>
        <w:rPr>
          <w:rFonts w:hint="eastAsia" w:ascii="宋体" w:hAnsi="宋体" w:eastAsia="宋体" w:cs="宋体"/>
          <w:lang w:val="en-US" w:eastAsia="zh-CN"/>
        </w:rPr>
        <w:t>6监测点位布设方案</w:t>
      </w:r>
      <w:bookmarkEnd w:id="169"/>
      <w:bookmarkEnd w:id="170"/>
      <w:bookmarkEnd w:id="171"/>
      <w:bookmarkEnd w:id="172"/>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73" w:name="_Toc752"/>
      <w:bookmarkStart w:id="174" w:name="_Toc19684"/>
      <w:bookmarkStart w:id="175" w:name="_Toc107924584"/>
      <w:bookmarkStart w:id="176" w:name="_Toc22305"/>
      <w:r>
        <w:rPr>
          <w:rFonts w:hint="eastAsia" w:ascii="宋体" w:hAnsi="宋体" w:eastAsia="宋体" w:cs="宋体"/>
          <w:b/>
          <w:bCs/>
          <w:kern w:val="2"/>
          <w:sz w:val="28"/>
          <w:szCs w:val="32"/>
          <w:lang w:val="en-US" w:eastAsia="zh-CN" w:bidi="ar-SA"/>
        </w:rPr>
        <w:t>6.1重点单元及相应监测点/监测井的布设位置</w:t>
      </w:r>
      <w:bookmarkEnd w:id="173"/>
      <w:bookmarkEnd w:id="174"/>
      <w:bookmarkEnd w:id="175"/>
      <w:bookmarkEnd w:id="176"/>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77" w:name="_Toc107924585"/>
      <w:r>
        <w:rPr>
          <w:rFonts w:hint="eastAsia" w:ascii="宋体" w:hAnsi="宋体" w:eastAsia="宋体" w:cs="宋体"/>
          <w:b/>
          <w:color w:val="auto"/>
          <w:kern w:val="2"/>
          <w:sz w:val="28"/>
          <w:szCs w:val="28"/>
          <w:highlight w:val="none"/>
          <w:lang w:val="en-US" w:eastAsia="zh-CN" w:bidi="ar-SA"/>
        </w:rPr>
        <w:t>6.1.1点位原则</w:t>
      </w:r>
      <w:bookmarkEnd w:id="177"/>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监测点位应布设在重点单元周边并尽量接近重点单元。统筹规划重点区域内部监测点位的布设时，布设位置应尽量接近重点区域内污染隐患较大的重点单元。监测点位的布设应遵循不影响企业正常生产且不造成安全隐患与二次污染的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重点单元、重点区域及监测点/监测井的布设位置均应在企业平面布置图中标记，标记图应纳入监测报告。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除在原有基础上增加监测点位外，监测点位一经确定不宜随意变动，每次采样时土壤监测点距离上次同一点位采样位置原则上不大于1m，地下水监测井应与上次采样井相同。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根据地勘资料无土壤或地下水可采的区域，可不进行相应监测，但应在监测报告中提供地勘资料并予以说明。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企业或邻近区域内现有的地下水监测井，如果符合本标准要求，可以作为地下水对照点或污染物监测井。</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78" w:name="_Toc107924586"/>
      <w:r>
        <w:rPr>
          <w:rFonts w:hint="eastAsia" w:ascii="宋体" w:hAnsi="宋体" w:eastAsia="宋体" w:cs="宋体"/>
          <w:b/>
          <w:color w:val="auto"/>
          <w:kern w:val="2"/>
          <w:sz w:val="28"/>
          <w:szCs w:val="28"/>
          <w:highlight w:val="none"/>
          <w:lang w:val="en-US" w:eastAsia="zh-CN" w:bidi="ar-SA"/>
        </w:rPr>
        <w:t>6.1.2土壤监测点位</w:t>
      </w:r>
      <w:bookmarkEnd w:id="178"/>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（1）布点原则：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1）一类单元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企业一类单元涉及的每个隐蔽性重点设施设备周边原则上均应布设至少1个深层土壤监测点，单元内部或周边还应布设至少1个表层土壤监测点。</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2）二类单元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二类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（2）选点位置：本次土壤共设5个监测点，企业内的车间、道路附近有绿化区，地面全硬化的区域在附近绿化带内取点，监测点选在未硬化或者附近绿化点，采样后做好采样点位的防护工作，方便下次取样。</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（3）采样深度：本次土壤监测以监测区域内表层土壤（0-0.5m处）为重点采样层，开展采样工作。</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79" w:name="_Toc107924587"/>
      <w:r>
        <w:rPr>
          <w:rFonts w:hint="eastAsia" w:ascii="宋体" w:hAnsi="宋体" w:eastAsia="宋体" w:cs="宋体"/>
          <w:b/>
          <w:color w:val="auto"/>
          <w:kern w:val="2"/>
          <w:sz w:val="28"/>
          <w:szCs w:val="28"/>
          <w:highlight w:val="none"/>
          <w:lang w:val="en-US" w:eastAsia="zh-CN" w:bidi="ar-SA"/>
        </w:rPr>
        <w:t>6.1.3地下水监测点位</w:t>
      </w:r>
      <w:bookmarkEnd w:id="179"/>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企业原则上应布设至少1个地下水对照点，地下水对照点应布设在企业用地地下水流向上游处，与污染物监测井设置在同一含水层，并应尽量保证不受自行监测企业生产过程影响。</w:t>
      </w:r>
    </w:p>
    <w:p>
      <w:pPr>
        <w:keepNext/>
        <w:keepLines/>
        <w:widowControl w:val="0"/>
        <w:numPr>
          <w:ilvl w:val="0"/>
          <w:numId w:val="0"/>
        </w:numPr>
        <w:bidi w:val="0"/>
        <w:spacing w:line="520" w:lineRule="exact"/>
        <w:ind w:leftChars="0"/>
        <w:jc w:val="left"/>
        <w:outlineLvl w:val="1"/>
        <w:rPr>
          <w:rFonts w:hint="eastAsia" w:ascii="宋体" w:hAnsi="宋体" w:eastAsia="宋体" w:cs="宋体"/>
          <w:b/>
          <w:bCs/>
          <w:kern w:val="2"/>
          <w:sz w:val="28"/>
          <w:szCs w:val="32"/>
          <w:lang w:val="en-US" w:eastAsia="zh-CN" w:bidi="ar-SA"/>
        </w:rPr>
      </w:pPr>
      <w:bookmarkStart w:id="180" w:name="_Toc5886"/>
      <w:bookmarkStart w:id="181" w:name="_Toc19623"/>
      <w:bookmarkStart w:id="182" w:name="_Toc21760"/>
      <w:bookmarkStart w:id="183" w:name="_Toc107924588"/>
      <w:r>
        <w:rPr>
          <w:rFonts w:hint="eastAsia" w:ascii="宋体" w:hAnsi="宋体" w:eastAsia="宋体" w:cs="宋体"/>
          <w:b/>
          <w:bCs/>
          <w:kern w:val="2"/>
          <w:sz w:val="28"/>
          <w:szCs w:val="32"/>
          <w:lang w:val="en-US" w:eastAsia="zh-CN" w:bidi="ar-SA"/>
        </w:rPr>
        <w:t>6.2监测点位布设</w:t>
      </w:r>
      <w:bookmarkEnd w:id="180"/>
      <w:bookmarkEnd w:id="181"/>
      <w:bookmarkEnd w:id="182"/>
      <w:bookmarkEnd w:id="183"/>
    </w:p>
    <w:p>
      <w:pPr>
        <w:jc w:val="center"/>
        <w:outlineLvl w:val="9"/>
        <w:rPr>
          <w:rFonts w:hint="eastAsia" w:ascii="宋体" w:hAnsi="宋体" w:eastAsia="宋体" w:cs="宋体"/>
          <w:b/>
          <w:bCs/>
          <w:sz w:val="28"/>
          <w:highlight w:val="none"/>
          <w:lang w:val="en-US" w:eastAsia="zh-CN"/>
        </w:rPr>
      </w:pPr>
      <w:bookmarkStart w:id="184" w:name="_Toc20353"/>
      <w:bookmarkStart w:id="185" w:name="_Toc28642"/>
      <w:r>
        <w:rPr>
          <w:rFonts w:hint="eastAsia" w:ascii="宋体" w:hAnsi="宋体" w:eastAsia="宋体" w:cs="宋体"/>
          <w:b/>
          <w:bCs/>
          <w:sz w:val="28"/>
          <w:highlight w:val="none"/>
          <w:lang w:val="en-US" w:eastAsia="zh-CN"/>
        </w:rPr>
        <w:t>表6-1土壤检测点位一览表</w:t>
      </w:r>
      <w:bookmarkEnd w:id="184"/>
      <w:bookmarkEnd w:id="185"/>
    </w:p>
    <w:tbl>
      <w:tblPr>
        <w:tblStyle w:val="21"/>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bCs/>
                <w:color w:val="auto"/>
                <w:sz w:val="24"/>
                <w:szCs w:val="32"/>
                <w:highlight w:val="none"/>
                <w:vertAlign w:val="baseline"/>
                <w:lang w:val="en-US" w:eastAsia="zh-CN"/>
              </w:rPr>
            </w:pPr>
            <w:r>
              <w:rPr>
                <w:rFonts w:hint="eastAsia" w:ascii="宋体" w:hAnsi="宋体" w:eastAsia="宋体" w:cs="宋体"/>
                <w:b/>
                <w:bCs/>
                <w:color w:val="auto"/>
                <w:sz w:val="24"/>
                <w:szCs w:val="32"/>
                <w:highlight w:val="none"/>
                <w:vertAlign w:val="baseline"/>
                <w:lang w:val="en-US" w:eastAsia="zh-CN"/>
              </w:rPr>
              <w:t>编号</w:t>
            </w:r>
          </w:p>
        </w:tc>
        <w:tc>
          <w:tcPr>
            <w:tcW w:w="7500" w:type="dxa"/>
            <w:vAlign w:val="center"/>
          </w:tcPr>
          <w:p>
            <w:pPr>
              <w:numPr>
                <w:ilvl w:val="0"/>
                <w:numId w:val="0"/>
              </w:numPr>
              <w:jc w:val="center"/>
              <w:rPr>
                <w:rFonts w:hint="eastAsia" w:ascii="宋体" w:hAnsi="宋体" w:eastAsia="宋体" w:cs="宋体"/>
                <w:b/>
                <w:bCs/>
                <w:color w:val="auto"/>
                <w:sz w:val="24"/>
                <w:szCs w:val="32"/>
                <w:highlight w:val="none"/>
                <w:vertAlign w:val="baseline"/>
                <w:lang w:val="en-US" w:eastAsia="zh-CN"/>
              </w:rPr>
            </w:pPr>
            <w:r>
              <w:rPr>
                <w:rFonts w:hint="eastAsia" w:ascii="宋体" w:hAnsi="宋体" w:eastAsia="宋体" w:cs="宋体"/>
                <w:b/>
                <w:bCs/>
                <w:color w:val="auto"/>
                <w:sz w:val="24"/>
                <w:szCs w:val="32"/>
                <w:highlight w:val="none"/>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highlight w:val="none"/>
                <w:vertAlign w:val="baseline"/>
                <w:lang w:val="en-US" w:eastAsia="zh-CN" w:bidi="ar-SA"/>
              </w:rPr>
            </w:pPr>
            <w:r>
              <w:rPr>
                <w:rFonts w:hint="eastAsia" w:ascii="宋体" w:hAnsi="宋体" w:eastAsia="宋体" w:cs="宋体"/>
                <w:b w:val="0"/>
                <w:bCs w:val="0"/>
                <w:color w:val="auto"/>
                <w:sz w:val="24"/>
                <w:szCs w:val="32"/>
                <w:highlight w:val="none"/>
                <w:vertAlign w:val="baseline"/>
                <w:lang w:val="en-US" w:eastAsia="zh-CN"/>
              </w:rPr>
              <w:t>1#</w:t>
            </w:r>
          </w:p>
        </w:tc>
        <w:tc>
          <w:tcPr>
            <w:tcW w:w="7500" w:type="dxa"/>
            <w:vAlign w:val="center"/>
          </w:tcPr>
          <w:p>
            <w:pPr>
              <w:numPr>
                <w:ilvl w:val="0"/>
                <w:numId w:val="0"/>
              </w:numPr>
              <w:ind w:left="0" w:leftChars="0" w:firstLine="0" w:firstLineChars="0"/>
              <w:jc w:val="center"/>
              <w:rPr>
                <w:rFonts w:hint="default" w:ascii="宋体" w:hAnsi="宋体" w:eastAsia="宋体" w:cs="宋体"/>
                <w:b w:val="0"/>
                <w:bCs w:val="0"/>
                <w:color w:val="auto"/>
                <w:kern w:val="2"/>
                <w:sz w:val="24"/>
                <w:szCs w:val="32"/>
                <w:highlight w:val="none"/>
                <w:vertAlign w:val="baseline"/>
                <w:lang w:val="en-US" w:eastAsia="zh-CN" w:bidi="ar-SA"/>
              </w:rPr>
            </w:pPr>
            <w:r>
              <w:rPr>
                <w:rFonts w:hint="eastAsia" w:ascii="宋体" w:hAnsi="宋体" w:eastAsia="宋体" w:cs="宋体"/>
                <w:b w:val="0"/>
                <w:bCs w:val="0"/>
                <w:color w:val="auto"/>
                <w:kern w:val="2"/>
                <w:sz w:val="24"/>
                <w:szCs w:val="32"/>
                <w:highlight w:val="none"/>
                <w:vertAlign w:val="baseline"/>
                <w:lang w:val="en-US" w:eastAsia="zh-CN" w:bidi="ar-SA"/>
              </w:rPr>
              <w:t>液蜡罐区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2#</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盐酸罐区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3#</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成品罐区、成品库区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4#</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吸收区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5#</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气化区、生产装置区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6#</w:t>
            </w:r>
          </w:p>
        </w:tc>
        <w:tc>
          <w:tcPr>
            <w:tcW w:w="7500" w:type="dxa"/>
            <w:vAlign w:val="center"/>
          </w:tcPr>
          <w:p>
            <w:pPr>
              <w:numPr>
                <w:ilvl w:val="0"/>
                <w:numId w:val="0"/>
              </w:numPr>
              <w:jc w:val="center"/>
              <w:rPr>
                <w:rFonts w:hint="default"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氯气库、液氯应急罐区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32"/>
                <w:highlight w:val="none"/>
                <w:vertAlign w:val="baseline"/>
                <w:lang w:val="en-US" w:eastAsia="zh-CN"/>
              </w:rPr>
              <w:t>7#</w:t>
            </w:r>
          </w:p>
        </w:tc>
        <w:tc>
          <w:tcPr>
            <w:tcW w:w="7500" w:type="dxa"/>
            <w:vAlign w:val="center"/>
          </w:tcPr>
          <w:p>
            <w:pPr>
              <w:numPr>
                <w:ilvl w:val="0"/>
                <w:numId w:val="0"/>
              </w:numPr>
              <w:jc w:val="center"/>
              <w:rPr>
                <w:rFonts w:hint="eastAsia" w:ascii="宋体" w:hAnsi="宋体" w:eastAsia="宋体" w:cs="宋体"/>
                <w:b w:val="0"/>
                <w:bCs w:val="0"/>
                <w:color w:val="auto"/>
                <w:sz w:val="24"/>
                <w:szCs w:val="32"/>
                <w:highlight w:val="none"/>
                <w:vertAlign w:val="baseline"/>
                <w:lang w:val="en-US" w:eastAsia="zh-CN"/>
              </w:rPr>
            </w:pPr>
            <w:r>
              <w:rPr>
                <w:rFonts w:hint="eastAsia" w:ascii="宋体" w:hAnsi="宋体" w:eastAsia="宋体" w:cs="宋体"/>
                <w:b w:val="0"/>
                <w:bCs w:val="0"/>
                <w:color w:val="auto"/>
                <w:sz w:val="24"/>
                <w:szCs w:val="24"/>
                <w:highlight w:val="none"/>
                <w:u w:val="none"/>
              </w:rPr>
              <w:t>土壤背景监测点</w:t>
            </w:r>
          </w:p>
        </w:tc>
      </w:tr>
    </w:tbl>
    <w:p>
      <w:pPr>
        <w:rPr>
          <w:rFonts w:hint="eastAsia" w:ascii="宋体" w:hAnsi="宋体" w:eastAsia="宋体" w:cs="宋体"/>
          <w:b/>
          <w:bCs/>
          <w:kern w:val="2"/>
          <w:sz w:val="28"/>
          <w:szCs w:val="32"/>
          <w:highlight w:val="none"/>
          <w:lang w:val="en-US" w:eastAsia="zh-CN" w:bidi="ar-SA"/>
        </w:rPr>
      </w:pPr>
      <w:bookmarkStart w:id="186" w:name="_Toc17528"/>
      <w:bookmarkStart w:id="187" w:name="_Toc4208"/>
      <w:bookmarkStart w:id="188" w:name="_Toc10675"/>
      <w:bookmarkStart w:id="189" w:name="_Toc28993"/>
      <w:r>
        <w:rPr>
          <w:rFonts w:hint="eastAsia" w:ascii="宋体" w:hAnsi="宋体" w:eastAsia="宋体" w:cs="宋体"/>
          <w:b/>
          <w:bCs/>
          <w:kern w:val="2"/>
          <w:sz w:val="28"/>
          <w:szCs w:val="32"/>
          <w:highlight w:val="none"/>
          <w:lang w:val="en-US" w:eastAsia="zh-CN" w:bidi="ar-SA"/>
        </w:rPr>
        <w:br w:type="page"/>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r>
        <w:rPr>
          <w:rFonts w:hint="eastAsia" w:ascii="宋体" w:hAnsi="宋体" w:eastAsia="宋体" w:cs="宋体"/>
          <w:b/>
          <w:bCs/>
          <w:kern w:val="2"/>
          <w:sz w:val="28"/>
          <w:szCs w:val="32"/>
          <w:highlight w:val="none"/>
          <w:lang w:val="en-US" w:eastAsia="zh-CN" w:bidi="ar-SA"/>
        </w:rPr>
        <w:t>6.3各点位监测指标及选取原因</w:t>
      </w:r>
      <w:bookmarkEnd w:id="186"/>
      <w:bookmarkEnd w:id="187"/>
      <w:bookmarkEnd w:id="188"/>
      <w:bookmarkEnd w:id="189"/>
    </w:p>
    <w:p>
      <w:pPr>
        <w:bidi w:val="0"/>
        <w:spacing w:line="520" w:lineRule="exact"/>
        <w:ind w:firstLine="560" w:firstLineChars="200"/>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lang w:val="en-US" w:eastAsia="zh-CN"/>
        </w:rPr>
        <w:t>监测因子</w:t>
      </w:r>
      <w:r>
        <w:rPr>
          <w:rFonts w:hint="eastAsia" w:ascii="宋体" w:hAnsi="宋体" w:eastAsia="宋体" w:cs="宋体"/>
          <w:color w:val="auto"/>
          <w:sz w:val="28"/>
          <w:highlight w:val="none"/>
        </w:rPr>
        <w:t>按照《工业企业土壤和地下水自行监测技术指南（试行）》HJ1209-2021，本企业为</w:t>
      </w:r>
      <w:r>
        <w:rPr>
          <w:rFonts w:hint="eastAsia" w:ascii="宋体" w:hAnsi="宋体" w:eastAsia="宋体" w:cs="宋体"/>
          <w:color w:val="auto"/>
          <w:sz w:val="28"/>
          <w:highlight w:val="none"/>
          <w:lang w:eastAsia="zh-CN"/>
        </w:rPr>
        <w:t>该标准实施后第一年监测</w:t>
      </w:r>
      <w:r>
        <w:rPr>
          <w:rFonts w:hint="eastAsia" w:ascii="宋体" w:hAnsi="宋体" w:eastAsia="宋体" w:cs="宋体"/>
          <w:color w:val="auto"/>
          <w:sz w:val="28"/>
          <w:highlight w:val="none"/>
        </w:rPr>
        <w:t>，原则上所有土壤监测点的监测指标至少应包括GB36600表1基本项目（45项）</w:t>
      </w:r>
      <w:r>
        <w:rPr>
          <w:rFonts w:hint="eastAsia" w:ascii="宋体" w:hAnsi="宋体" w:eastAsia="宋体" w:cs="宋体"/>
          <w:color w:val="auto"/>
          <w:sz w:val="28"/>
          <w:highlight w:val="none"/>
          <w:lang w:eastAsia="zh-CN"/>
        </w:rPr>
        <w:t>及特征因子，地下水监测井的监测指标至少应包括GB/T14848表1常规指标（微生物指标、放射性指标除外</w:t>
      </w:r>
      <w:r>
        <w:rPr>
          <w:rFonts w:hint="eastAsia" w:ascii="宋体" w:hAnsi="宋体" w:eastAsia="宋体" w:cs="宋体"/>
          <w:color w:val="auto"/>
          <w:sz w:val="28"/>
          <w:highlight w:val="none"/>
        </w:rPr>
        <w:t>。具体监测项目见表6-</w:t>
      </w:r>
      <w:r>
        <w:rPr>
          <w:rFonts w:hint="eastAsia" w:ascii="宋体" w:hAnsi="宋体" w:eastAsia="宋体" w:cs="宋体"/>
          <w:color w:val="auto"/>
          <w:sz w:val="28"/>
          <w:highlight w:val="none"/>
          <w:lang w:val="en-US" w:eastAsia="zh-CN"/>
        </w:rPr>
        <w:t>3、6-4</w:t>
      </w:r>
      <w:r>
        <w:rPr>
          <w:rFonts w:hint="eastAsia" w:ascii="宋体" w:hAnsi="宋体" w:eastAsia="宋体" w:cs="宋体"/>
          <w:color w:val="auto"/>
          <w:sz w:val="28"/>
          <w:highlight w:val="none"/>
        </w:rPr>
        <w:t>。</w:t>
      </w:r>
    </w:p>
    <w:p>
      <w:pPr>
        <w:autoSpaceDE w:val="0"/>
        <w:adjustRightInd w:val="0"/>
        <w:snapToGrid w:val="0"/>
        <w:spacing w:line="520" w:lineRule="exact"/>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表6-</w:t>
      </w:r>
      <w:r>
        <w:rPr>
          <w:rFonts w:hint="eastAsia" w:ascii="宋体" w:hAnsi="宋体" w:eastAsia="宋体" w:cs="宋体"/>
          <w:b/>
          <w:sz w:val="24"/>
          <w:szCs w:val="24"/>
          <w:lang w:val="en-US" w:eastAsia="zh-CN"/>
        </w:rPr>
        <w:t>3</w:t>
      </w:r>
      <w:r>
        <w:rPr>
          <w:rFonts w:hint="eastAsia" w:ascii="宋体" w:hAnsi="宋体" w:eastAsia="宋体" w:cs="宋体"/>
          <w:b/>
          <w:sz w:val="24"/>
          <w:szCs w:val="24"/>
        </w:rPr>
        <w:t>土壤监测项目一览表</w:t>
      </w:r>
    </w:p>
    <w:tbl>
      <w:tblPr>
        <w:tblStyle w:val="28"/>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类别</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土壤</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土壤检测</w:t>
            </w:r>
            <w:r>
              <w:rPr>
                <w:rFonts w:hint="eastAsia" w:ascii="宋体" w:hAnsi="宋体" w:eastAsia="宋体" w:cs="宋体"/>
                <w:bCs/>
                <w:kern w:val="0"/>
                <w:sz w:val="21"/>
                <w:szCs w:val="21"/>
              </w:rPr>
              <w:t>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bCs/>
                <w:kern w:val="0"/>
                <w:sz w:val="21"/>
                <w:szCs w:val="21"/>
                <w:lang w:val="en-US" w:eastAsia="zh-CN"/>
              </w:rPr>
              <w:t>45项；特征污染物：pH</w:t>
            </w:r>
            <w:r>
              <w:rPr>
                <w:rFonts w:hint="eastAsia" w:ascii="宋体" w:hAnsi="宋体" w:eastAsia="宋体" w:cs="宋体"/>
                <w:bCs/>
                <w:kern w:val="0"/>
                <w:sz w:val="21"/>
                <w:szCs w:val="21"/>
                <w:lang w:eastAsia="zh-CN"/>
              </w:rPr>
              <w:t>。</w:t>
            </w:r>
          </w:p>
        </w:tc>
      </w:tr>
    </w:tbl>
    <w:p>
      <w:pPr>
        <w:keepNext/>
        <w:keepLines/>
        <w:widowControl w:val="0"/>
        <w:tabs>
          <w:tab w:val="left" w:pos="223"/>
        </w:tabs>
        <w:spacing w:line="520" w:lineRule="exact"/>
        <w:ind w:firstLine="562" w:firstLineChars="200"/>
        <w:jc w:val="both"/>
        <w:outlineLvl w:val="1"/>
        <w:rPr>
          <w:rFonts w:hint="eastAsia" w:ascii="宋体" w:hAnsi="宋体" w:eastAsia="宋体" w:cs="宋体"/>
          <w:b/>
          <w:bCs/>
          <w:color w:val="auto"/>
          <w:kern w:val="2"/>
          <w:sz w:val="28"/>
          <w:szCs w:val="28"/>
          <w:highlight w:val="none"/>
          <w:lang w:val="en-US" w:eastAsia="zh-CN" w:bidi="ar-SA"/>
        </w:rPr>
      </w:pPr>
      <w:bookmarkStart w:id="190" w:name="_Toc524"/>
      <w:bookmarkStart w:id="191" w:name="_Toc107924590"/>
      <w:r>
        <w:rPr>
          <w:rFonts w:hint="eastAsia" w:ascii="宋体" w:hAnsi="宋体" w:eastAsia="宋体" w:cs="宋体"/>
          <w:b/>
          <w:bCs/>
          <w:color w:val="auto"/>
          <w:kern w:val="2"/>
          <w:sz w:val="28"/>
          <w:szCs w:val="28"/>
          <w:highlight w:val="none"/>
          <w:lang w:val="en-US" w:eastAsia="zh-CN" w:bidi="ar-SA"/>
        </w:rPr>
        <w:t>6.4监测频次</w:t>
      </w:r>
      <w:bookmarkEnd w:id="190"/>
      <w:bookmarkEnd w:id="191"/>
    </w:p>
    <w:p>
      <w:pPr>
        <w:spacing w:line="520" w:lineRule="exact"/>
        <w:ind w:firstLine="560" w:firstLineChars="200"/>
        <w:jc w:val="both"/>
        <w:rPr>
          <w:rFonts w:hint="eastAsia" w:ascii="宋体" w:hAnsi="宋体" w:eastAsia="宋体" w:cs="宋体"/>
          <w:sz w:val="28"/>
          <w:szCs w:val="28"/>
        </w:rPr>
      </w:pPr>
      <w:r>
        <w:rPr>
          <w:rFonts w:hint="eastAsia" w:ascii="宋体" w:hAnsi="宋体" w:eastAsia="宋体" w:cs="宋体"/>
          <w:sz w:val="28"/>
          <w:szCs w:val="28"/>
        </w:rPr>
        <w:t>根据《工业企业土壤和地下水自行监测技术指南（试行）》HJ1209-2021，土壤环境重点监管企业土壤频次见下表。</w:t>
      </w:r>
    </w:p>
    <w:p>
      <w:pPr>
        <w:keepNext w:val="0"/>
        <w:keepLines w:val="0"/>
        <w:pageBreakBefore w:val="0"/>
        <w:tabs>
          <w:tab w:val="left" w:pos="2278"/>
        </w:tabs>
        <w:kinsoku/>
        <w:wordWrap/>
        <w:overflowPunct/>
        <w:topLinePunct w:val="0"/>
        <w:autoSpaceDE/>
        <w:autoSpaceDN/>
        <w:bidi w:val="0"/>
        <w:spacing w:line="520" w:lineRule="exact"/>
        <w:ind w:firstLine="482" w:firstLineChars="20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表6-5自行监测的监测频次</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5"/>
        <w:gridCol w:w="4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监测对象</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土壤</w:t>
            </w:r>
          </w:p>
        </w:tc>
        <w:tc>
          <w:tcPr>
            <w:tcW w:w="2703"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采样深度为表层土壤的点位每年1次，采样深度为深层土壤的每3年1次</w:t>
            </w:r>
          </w:p>
        </w:tc>
      </w:tr>
    </w:tbl>
    <w:p>
      <w:pPr>
        <w:pStyle w:val="13"/>
        <w:keepNext w:val="0"/>
        <w:keepLines w:val="0"/>
        <w:pageBreakBefore w:val="0"/>
        <w:widowControl w:val="0"/>
        <w:kinsoku/>
        <w:wordWrap/>
        <w:overflowPunct/>
        <w:topLinePunct w:val="0"/>
        <w:autoSpaceDE/>
        <w:autoSpaceDN/>
        <w:bidi w:val="0"/>
        <w:adjustRightInd w:val="0"/>
        <w:snapToGrid w:val="0"/>
        <w:spacing w:line="360" w:lineRule="auto"/>
        <w:ind w:right="0" w:firstLine="560" w:firstLineChars="200"/>
        <w:jc w:val="both"/>
        <w:textAlignment w:val="auto"/>
        <w:rPr>
          <w:rFonts w:hint="eastAsia" w:ascii="宋体" w:hAnsi="宋体" w:eastAsia="宋体" w:cs="宋体"/>
          <w:color w:val="auto"/>
          <w:sz w:val="28"/>
          <w:szCs w:val="28"/>
          <w:highlight w:val="none"/>
          <w:u w:val="none"/>
          <w:lang w:val="en-US" w:eastAsia="zh-CN"/>
        </w:rPr>
      </w:pPr>
      <w:bookmarkStart w:id="192" w:name="_Toc3178"/>
      <w:bookmarkStart w:id="193" w:name="_Toc2213"/>
      <w:bookmarkStart w:id="194" w:name="_Toc7156"/>
      <w:r>
        <w:rPr>
          <w:rFonts w:hint="eastAsia" w:ascii="宋体" w:hAnsi="宋体" w:eastAsia="宋体" w:cs="宋体"/>
          <w:color w:val="auto"/>
          <w:sz w:val="28"/>
          <w:szCs w:val="36"/>
          <w:highlight w:val="none"/>
          <w:u w:val="none"/>
          <w:lang w:val="en-US" w:eastAsia="zh-CN"/>
        </w:rPr>
        <w:t>三门峡十化昊昱化工有限公司厂区内无地下水监测井，公司于201</w:t>
      </w:r>
      <w:r>
        <w:rPr>
          <w:rFonts w:hint="eastAsia" w:hAnsi="宋体" w:cs="宋体"/>
          <w:color w:val="auto"/>
          <w:sz w:val="28"/>
          <w:szCs w:val="36"/>
          <w:highlight w:val="none"/>
          <w:u w:val="none"/>
          <w:lang w:val="en-US" w:eastAsia="zh-CN"/>
        </w:rPr>
        <w:t>8</w:t>
      </w:r>
      <w:r>
        <w:rPr>
          <w:rFonts w:hint="eastAsia" w:ascii="宋体" w:hAnsi="宋体" w:eastAsia="宋体" w:cs="宋体"/>
          <w:color w:val="auto"/>
          <w:sz w:val="28"/>
          <w:szCs w:val="36"/>
          <w:highlight w:val="none"/>
          <w:u w:val="none"/>
          <w:lang w:val="en-US" w:eastAsia="zh-CN"/>
        </w:rPr>
        <w:t>年</w:t>
      </w:r>
      <w:r>
        <w:rPr>
          <w:rFonts w:hint="eastAsia" w:hAnsi="宋体" w:cs="宋体"/>
          <w:color w:val="auto"/>
          <w:sz w:val="28"/>
          <w:szCs w:val="36"/>
          <w:highlight w:val="none"/>
          <w:u w:val="none"/>
          <w:lang w:val="en-US" w:eastAsia="zh-CN"/>
        </w:rPr>
        <w:t>8</w:t>
      </w:r>
      <w:r>
        <w:rPr>
          <w:rFonts w:hint="eastAsia" w:ascii="宋体" w:hAnsi="宋体" w:eastAsia="宋体" w:cs="宋体"/>
          <w:color w:val="auto"/>
          <w:sz w:val="28"/>
          <w:szCs w:val="36"/>
          <w:highlight w:val="none"/>
          <w:u w:val="none"/>
          <w:lang w:val="en-US" w:eastAsia="zh-CN"/>
        </w:rPr>
        <w:t>月委托中水电第十一工程局(郑州)有限公司编制了《</w:t>
      </w:r>
      <w:r>
        <w:rPr>
          <w:rFonts w:hint="eastAsia" w:hAnsi="宋体" w:cs="宋体"/>
          <w:color w:val="auto"/>
          <w:sz w:val="28"/>
          <w:szCs w:val="36"/>
          <w:highlight w:val="none"/>
          <w:u w:val="none"/>
          <w:lang w:val="en-US" w:eastAsia="zh-CN"/>
        </w:rPr>
        <w:t>三门峡十化昊昱化工有限公司</w:t>
      </w:r>
      <w:r>
        <w:rPr>
          <w:rFonts w:hint="eastAsia" w:ascii="宋体" w:hAnsi="宋体" w:eastAsia="宋体" w:cs="宋体"/>
          <w:color w:val="auto"/>
          <w:sz w:val="28"/>
          <w:szCs w:val="36"/>
          <w:highlight w:val="none"/>
          <w:u w:val="none"/>
          <w:lang w:val="en-US" w:eastAsia="zh-CN"/>
        </w:rPr>
        <w:t>岩土工程勘察报告》，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w:t>
      </w:r>
      <w:r>
        <w:rPr>
          <w:rFonts w:hint="eastAsia" w:hAnsi="宋体" w:cs="宋体"/>
          <w:color w:val="auto"/>
          <w:sz w:val="28"/>
          <w:szCs w:val="36"/>
          <w:highlight w:val="none"/>
          <w:u w:val="none"/>
          <w:lang w:val="en-US" w:eastAsia="zh-CN"/>
        </w:rPr>
        <w:t>附件3三</w:t>
      </w:r>
      <w:r>
        <w:rPr>
          <w:rFonts w:hint="eastAsia" w:ascii="宋体" w:hAnsi="宋体" w:eastAsia="宋体" w:cs="宋体"/>
          <w:color w:val="auto"/>
          <w:sz w:val="28"/>
          <w:szCs w:val="28"/>
          <w:highlight w:val="none"/>
          <w:u w:val="none"/>
          <w:lang w:val="en-US" w:eastAsia="zh-CN"/>
        </w:rPr>
        <w:t>门峡十化昊昱化工有限公司建设项目岩土工程勘察报告）。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val="en-US" w:eastAsia="zh-CN"/>
        </w:rPr>
      </w:pPr>
      <w:r>
        <w:rPr>
          <w:rFonts w:hint="eastAsia" w:ascii="宋体" w:hAnsi="宋体" w:eastAsia="宋体" w:cs="宋体"/>
          <w:color w:val="auto"/>
          <w:sz w:val="28"/>
          <w:szCs w:val="28"/>
          <w:highlight w:val="none"/>
          <w:u w:val="none"/>
          <w:lang w:val="en-US" w:eastAsia="zh-CN"/>
        </w:rPr>
        <w:t>鉴于以上情况，2023年6月18日-6月28日，公司委托洛阳市达峰环境检测有限公司对厂区土壤开展监测。根据2023年6月28日出具的《三门峡十化昊昱化工有限公司土壤检测报告》（报告编号：DFJC-008-06-2023），报告中结合企业厂区生产设施分布和生产工艺等实际情况，确定土壤监测点位置及数量7个（其中6个监控点，1个背景点），但具备取样条件的土壤监测点位置及数量为2个（1个成品罐区、成品库区监控点，1个土壤背景监测点）。其他5个点位不具备取样条件的原因为：液蜡罐区、盐酸罐区、吸收区、气化区和生产装置区、氯气库和液氯应急罐区5个点位地面已硬化无法取样。</w:t>
      </w:r>
    </w:p>
    <w:p>
      <w:pPr>
        <w:pStyle w:val="9"/>
        <w:numPr>
          <w:ilvl w:val="2"/>
          <w:numId w:val="0"/>
        </w:numPr>
        <w:spacing w:before="0" w:beforeLines="-2147483648" w:beforeAutospacing="0" w:after="0" w:afterLines="-2147483648" w:afterAutospacing="0" w:line="520" w:lineRule="exact"/>
        <w:ind w:firstLine="560" w:firstLineChars="200"/>
        <w:outlineLvl w:val="2"/>
        <w:rPr>
          <w:rFonts w:hint="eastAsia" w:ascii="宋体" w:hAnsi="宋体" w:eastAsia="宋体" w:cs="宋体"/>
          <w:b w:val="0"/>
          <w:bCs w:val="0"/>
          <w:color w:val="auto"/>
          <w:sz w:val="28"/>
          <w:szCs w:val="28"/>
          <w:highlight w:val="none"/>
          <w:u w:val="none"/>
          <w:shd w:val="clear" w:color="auto" w:fill="auto"/>
        </w:rPr>
      </w:pPr>
      <w:r>
        <w:rPr>
          <w:rFonts w:hint="eastAsia" w:ascii="宋体" w:hAnsi="宋体" w:eastAsia="宋体" w:cs="宋体"/>
          <w:b w:val="0"/>
          <w:bCs w:val="0"/>
          <w:color w:val="auto"/>
          <w:sz w:val="28"/>
          <w:szCs w:val="28"/>
          <w:highlight w:val="none"/>
          <w:u w:val="none"/>
          <w:shd w:val="clear" w:color="auto" w:fill="auto"/>
          <w:lang w:val="en-US" w:eastAsia="zh-CN"/>
        </w:rPr>
        <w:t>鉴于三门峡十化昊昱化工有限公司现场地面已硬化不具备取样条件的实际情况，生态环境部《关于土壤破坏性监测问题的回复》明确，如果项目场地已经做了防腐防渗(包括硬化)处理无法取样，可不取样监测，但需要详细说明无法取样原因。</w:t>
      </w:r>
    </w:p>
    <w:p>
      <w:pPr>
        <w:pStyle w:val="7"/>
        <w:bidi w:val="0"/>
        <w:rPr>
          <w:rFonts w:hint="eastAsia" w:ascii="宋体" w:hAnsi="宋体" w:eastAsia="宋体" w:cs="宋体"/>
          <w:lang w:val="en-US" w:eastAsia="zh-CN"/>
        </w:rPr>
      </w:pPr>
      <w:bookmarkStart w:id="195" w:name="_Toc11892"/>
      <w:r>
        <w:rPr>
          <w:rFonts w:hint="eastAsia" w:ascii="宋体" w:hAnsi="宋体" w:eastAsia="宋体" w:cs="宋体"/>
          <w:lang w:val="en-US" w:eastAsia="zh-CN"/>
        </w:rPr>
        <w:t>7样品采集、保存、流转与制备</w:t>
      </w:r>
      <w:bookmarkEnd w:id="192"/>
      <w:bookmarkEnd w:id="193"/>
      <w:bookmarkEnd w:id="194"/>
      <w:bookmarkEnd w:id="195"/>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96" w:name="_Toc3536"/>
      <w:bookmarkStart w:id="197" w:name="_Toc8311"/>
      <w:bookmarkStart w:id="198" w:name="_Toc6627"/>
      <w:bookmarkStart w:id="199" w:name="_Toc5184"/>
      <w:r>
        <w:rPr>
          <w:rFonts w:hint="eastAsia" w:ascii="宋体" w:hAnsi="宋体" w:eastAsia="宋体" w:cs="宋体"/>
          <w:b/>
          <w:bCs/>
          <w:kern w:val="2"/>
          <w:sz w:val="28"/>
          <w:szCs w:val="32"/>
          <w:lang w:val="en-US" w:eastAsia="zh-CN" w:bidi="ar-SA"/>
        </w:rPr>
        <w:t>7.1现场采样位置、数量和深度</w:t>
      </w:r>
      <w:bookmarkEnd w:id="196"/>
      <w:bookmarkEnd w:id="197"/>
      <w:bookmarkEnd w:id="198"/>
      <w:bookmarkEnd w:id="199"/>
    </w:p>
    <w:p>
      <w:pPr>
        <w:spacing w:line="520" w:lineRule="exact"/>
        <w:ind w:firstLine="560" w:firstLineChars="200"/>
        <w:jc w:val="left"/>
        <w:rPr>
          <w:rFonts w:hint="eastAsia" w:ascii="宋体" w:hAnsi="宋体" w:eastAsia="宋体" w:cs="宋体"/>
          <w:sz w:val="28"/>
          <w:lang w:val="en-US" w:eastAsia="zh-CN"/>
        </w:rPr>
      </w:pPr>
      <w:r>
        <w:rPr>
          <w:rFonts w:hint="eastAsia" w:ascii="宋体" w:hAnsi="宋体" w:eastAsia="宋体" w:cs="宋体"/>
          <w:color w:val="auto"/>
          <w:sz w:val="28"/>
          <w:highlight w:val="none"/>
        </w:rPr>
        <w:t>依据国家相关政策、标准、导则等要求，结合企业厂区生产设施分布和生产工艺等实际情况，确定土壤监测点</w:t>
      </w:r>
      <w:r>
        <w:rPr>
          <w:rFonts w:hint="eastAsia" w:ascii="宋体" w:hAnsi="宋体" w:eastAsia="宋体" w:cs="宋体"/>
          <w:color w:val="auto"/>
          <w:sz w:val="28"/>
          <w:highlight w:val="none"/>
          <w:lang w:val="en-US" w:eastAsia="zh-CN"/>
        </w:rPr>
        <w:t>5个</w:t>
      </w:r>
      <w:r>
        <w:rPr>
          <w:rFonts w:hint="eastAsia" w:ascii="宋体" w:hAnsi="宋体" w:eastAsia="宋体" w:cs="宋体"/>
          <w:color w:val="auto"/>
          <w:sz w:val="28"/>
          <w:highlight w:val="none"/>
        </w:rPr>
        <w:t>，</w:t>
      </w:r>
      <w:r>
        <w:rPr>
          <w:rFonts w:hint="eastAsia" w:ascii="宋体" w:hAnsi="宋体" w:eastAsia="宋体" w:cs="宋体"/>
          <w:sz w:val="28"/>
          <w:lang w:val="en-US" w:eastAsia="zh-CN"/>
        </w:rPr>
        <w:t>具体采样位置、采样深度见下表。</w:t>
      </w:r>
    </w:p>
    <w:p>
      <w:pPr>
        <w:spacing w:line="520" w:lineRule="exact"/>
        <w:ind w:firstLine="3360" w:firstLineChars="1200"/>
        <w:jc w:val="left"/>
        <w:rPr>
          <w:rFonts w:hint="eastAsia" w:ascii="宋体" w:hAnsi="宋体" w:eastAsia="宋体" w:cs="宋体"/>
          <w:sz w:val="28"/>
          <w:lang w:val="en-US" w:eastAsia="zh-CN"/>
        </w:rPr>
      </w:pPr>
      <w:r>
        <w:rPr>
          <w:rFonts w:hint="eastAsia" w:ascii="宋体" w:hAnsi="宋体" w:eastAsia="宋体" w:cs="宋体"/>
          <w:sz w:val="28"/>
          <w:lang w:val="en-US" w:eastAsia="zh-CN"/>
        </w:rPr>
        <w:t>表7-1土壤检测内容一览表</w:t>
      </w:r>
    </w:p>
    <w:tbl>
      <w:tblPr>
        <w:tblStyle w:val="20"/>
        <w:tblW w:w="4994" w:type="pct"/>
        <w:jc w:val="center"/>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462"/>
        <w:gridCol w:w="628"/>
        <w:gridCol w:w="2570"/>
        <w:gridCol w:w="2638"/>
        <w:gridCol w:w="2638"/>
      </w:tblGrid>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25" w:hRule="atLeast"/>
          <w:jc w:val="center"/>
        </w:trPr>
        <w:tc>
          <w:tcPr>
            <w:tcW w:w="259"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类型</w:t>
            </w: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37"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检测点位</w:t>
            </w:r>
          </w:p>
        </w:tc>
        <w:tc>
          <w:tcPr>
            <w:tcW w:w="1475"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经度</w:t>
            </w:r>
          </w:p>
        </w:tc>
        <w:tc>
          <w:tcPr>
            <w:tcW w:w="1475"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lang w:eastAsia="zh-CN"/>
              </w:rPr>
              <w:t>该单元对应的检测测点位编号及坐标</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259" w:type="pct"/>
            <w:vMerge w:val="restar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土壤</w:t>
            </w: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成品罐区、成品库区</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23.633</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25.008</w:t>
            </w:r>
            <w:r>
              <w:rPr>
                <w:rFonts w:hint="eastAsia" w:ascii="宋体" w:hAnsi="宋体" w:eastAsia="宋体" w:cs="宋体"/>
                <w:color w:val="auto"/>
                <w:kern w:val="0"/>
                <w:sz w:val="21"/>
                <w:szCs w:val="21"/>
                <w:highlight w:val="none"/>
              </w:rPr>
              <w:t>'</w:t>
            </w:r>
          </w:p>
        </w:tc>
        <w:tc>
          <w:tcPr>
            <w:tcW w:w="1475" w:type="pc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1#</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59"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液蜡罐区</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u w:val="none"/>
                <w:lang w:val="en-US" w:eastAsia="zh-CN"/>
              </w:rPr>
              <w:t>/</w:t>
            </w:r>
          </w:p>
        </w:tc>
        <w:tc>
          <w:tcPr>
            <w:tcW w:w="147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u w:val="none"/>
                <w:lang w:val="en-US" w:eastAsia="zh-CN"/>
              </w:rPr>
              <w:t>地面已硬化现场不具备取样条件</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59"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盐酸罐区</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u w:val="none"/>
                <w:lang w:val="en-US" w:eastAsia="zh-CN"/>
              </w:rPr>
              <w:t>/</w:t>
            </w:r>
          </w:p>
        </w:tc>
        <w:tc>
          <w:tcPr>
            <w:tcW w:w="147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59"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吸收区</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u w:val="none"/>
                <w:lang w:val="en-US" w:eastAsia="zh-CN"/>
              </w:rPr>
              <w:t>/</w:t>
            </w:r>
          </w:p>
        </w:tc>
        <w:tc>
          <w:tcPr>
            <w:tcW w:w="147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59"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351"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气化区、生产装置区</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u w:val="none"/>
                <w:lang w:val="en-US" w:eastAsia="zh-CN"/>
              </w:rPr>
              <w:t>/</w:t>
            </w:r>
          </w:p>
        </w:tc>
        <w:tc>
          <w:tcPr>
            <w:tcW w:w="147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59" w:type="pct"/>
            <w:vMerge w:val="continue"/>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bookmarkStart w:id="200" w:name="_Toc8729"/>
            <w:bookmarkStart w:id="201" w:name="_Toc20812"/>
          </w:p>
        </w:tc>
        <w:tc>
          <w:tcPr>
            <w:tcW w:w="351" w:type="pct"/>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 xml:space="preserve">氯气库、液氯应急罐区 </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sz w:val="21"/>
                <w:szCs w:val="21"/>
                <w:highlight w:val="none"/>
                <w:u w:val="none"/>
                <w:lang w:val="en-US" w:eastAsia="zh-CN"/>
              </w:rPr>
              <w:t>/</w:t>
            </w:r>
          </w:p>
        </w:tc>
        <w:tc>
          <w:tcPr>
            <w:tcW w:w="147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259" w:type="pct"/>
            <w:vMerge w:val="continue"/>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351" w:type="pct"/>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143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u w:val="none"/>
              </w:rPr>
              <w:t>土壤背景监测点</w:t>
            </w:r>
          </w:p>
        </w:tc>
        <w:tc>
          <w:tcPr>
            <w:tcW w:w="147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zh-CN" w:eastAsia="zh-CN" w:bidi="ar-SA"/>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26.849</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13.623</w:t>
            </w:r>
            <w:r>
              <w:rPr>
                <w:rFonts w:hint="eastAsia" w:ascii="宋体" w:hAnsi="宋体" w:eastAsia="宋体" w:cs="宋体"/>
                <w:color w:val="auto"/>
                <w:kern w:val="0"/>
                <w:sz w:val="21"/>
                <w:szCs w:val="21"/>
                <w:highlight w:val="none"/>
              </w:rPr>
              <w:t>''</w:t>
            </w:r>
          </w:p>
        </w:tc>
        <w:tc>
          <w:tcPr>
            <w:tcW w:w="1475" w:type="pc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snapToGrid/>
          <w:spacing w:val="6"/>
          <w:kern w:val="0"/>
          <w:sz w:val="28"/>
          <w:szCs w:val="22"/>
          <w:lang w:val="en-US" w:eastAsia="zh-CN" w:bidi="ar"/>
        </w:rPr>
      </w:pPr>
      <w:bookmarkStart w:id="202" w:name="_Toc4736"/>
      <w:r>
        <w:rPr>
          <w:rFonts w:hint="eastAsia" w:ascii="宋体" w:hAnsi="宋体" w:eastAsia="宋体" w:cs="宋体"/>
          <w:b/>
          <w:bCs/>
          <w:kern w:val="2"/>
          <w:sz w:val="28"/>
          <w:szCs w:val="32"/>
          <w:lang w:val="en-US" w:eastAsia="zh-CN" w:bidi="ar-SA"/>
        </w:rPr>
        <w:t>7.2现场采样工作流程</w:t>
      </w:r>
      <w:bookmarkEnd w:id="200"/>
      <w:bookmarkEnd w:id="201"/>
      <w:bookmarkEnd w:id="202"/>
    </w:p>
    <w:p>
      <w:pPr>
        <w:pageBreakBefore w:val="0"/>
        <w:kinsoku/>
        <w:wordWrap/>
        <w:overflowPunct/>
        <w:topLinePunct w:val="0"/>
        <w:autoSpaceDE/>
        <w:autoSpaceDN/>
        <w:bidi w:val="0"/>
        <w:spacing w:line="360" w:lineRule="auto"/>
        <w:ind w:left="0" w:leftChars="0" w:right="0" w:firstLine="0" w:firstLineChars="0"/>
        <w:textAlignment w:val="auto"/>
        <w:outlineLvl w:val="3"/>
        <w:rPr>
          <w:rFonts w:hint="eastAsia" w:ascii="宋体" w:hAnsi="宋体" w:eastAsia="宋体" w:cs="宋体"/>
          <w:color w:val="auto"/>
          <w:sz w:val="28"/>
          <w:szCs w:val="28"/>
          <w:highlight w:val="none"/>
          <w:u w:val="none"/>
        </w:rPr>
      </w:pPr>
      <w:bookmarkStart w:id="203" w:name="_Toc24631_WPSOffice_Level3"/>
      <w:bookmarkStart w:id="204" w:name="_Toc17162"/>
      <w:bookmarkStart w:id="205" w:name="_Toc20246"/>
      <w:bookmarkStart w:id="206" w:name="_Toc8921"/>
      <w:bookmarkStart w:id="207" w:name="_Toc9163"/>
      <w:r>
        <w:rPr>
          <w:rFonts w:hint="eastAsia" w:ascii="宋体" w:hAnsi="宋体" w:eastAsia="宋体" w:cs="宋体"/>
          <w:color w:val="auto"/>
          <w:sz w:val="28"/>
          <w:szCs w:val="28"/>
          <w:highlight w:val="none"/>
          <w:u w:val="none"/>
          <w:lang w:val="en-US" w:eastAsia="zh-CN"/>
        </w:rPr>
        <w:t>7.2.1</w:t>
      </w:r>
      <w:r>
        <w:rPr>
          <w:rFonts w:hint="eastAsia" w:ascii="宋体" w:hAnsi="宋体" w:eastAsia="宋体" w:cs="宋体"/>
          <w:color w:val="auto"/>
          <w:sz w:val="28"/>
          <w:szCs w:val="28"/>
          <w:highlight w:val="none"/>
          <w:u w:val="none"/>
        </w:rPr>
        <w:t>土壤采样</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土壤样品采集、保存、转运检测等环节质量控制（保证）按《</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w:t>
      </w:r>
      <w:r>
        <w:rPr>
          <w:rFonts w:hint="eastAsia" w:ascii="宋体" w:hAnsi="宋体" w:eastAsia="宋体" w:cs="宋体"/>
          <w:color w:val="auto"/>
          <w:sz w:val="28"/>
          <w:szCs w:val="28"/>
          <w:highlight w:val="none"/>
          <w:u w:val="none"/>
          <w:lang w:val="en-US" w:eastAsia="zh-CN"/>
        </w:rPr>
        <w:t>J</w:t>
      </w:r>
      <w:r>
        <w:rPr>
          <w:rFonts w:hint="eastAsia" w:ascii="宋体" w:hAnsi="宋体" w:eastAsia="宋体" w:cs="宋体"/>
          <w:color w:val="auto"/>
          <w:sz w:val="28"/>
          <w:szCs w:val="28"/>
          <w:highlight w:val="none"/>
          <w:u w:val="none"/>
        </w:rPr>
        <w:t>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）;《土壤环境监测技术规范》（HJ/T166-2004）要求开展工作。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①工作流程前期准备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前期资料准备：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采样点位确定：现场勘察确定各采样点位（坐标），竖好点位标识牌，并做好记录（包括影像记录）；各采样点位深度、采样层数及分层标识，并做好记录（包括影像记录）。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园状取土钻、螺旋取土钻、铁锹、铁铲、洛阳铲、竹片、竹刀、毛刷、采样洗涤装置。</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样品包装用品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样品袋（聚乙烯）、棕色广口瓶（500ml）、样品现场暂存箱（冷链要求）。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4）记录工具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GPS、罗盘、照相机、录像机、样品监控记录仪、卷尺、皮尺、自由夹、样品现场记录表、样品标签、点位标识牌。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5）其他材料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药品箱、工作服、工作鞋、</w:t>
      </w:r>
      <w:bookmarkStart w:id="208" w:name="_Toc19612_WPSOffice_Level1"/>
      <w:r>
        <w:rPr>
          <w:rFonts w:hint="eastAsia" w:ascii="宋体" w:hAnsi="宋体" w:eastAsia="宋体" w:cs="宋体"/>
          <w:color w:val="auto"/>
          <w:sz w:val="28"/>
          <w:szCs w:val="28"/>
          <w:highlight w:val="none"/>
          <w:u w:val="none"/>
        </w:rPr>
        <w:t>手套等。</w:t>
      </w:r>
    </w:p>
    <w:bookmarkEnd w:id="208"/>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②采样：影像记录点位标识牌，样品现场记录表开始记录，并做好采样全程记录；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使用园状取土钻直接钻取到该点位要求的最深层，钻取结束取出柱状土样，按从下到上次序用竹片（竹刀）除去与金属采样器接触的部分土壤，再依次取样，装满棕色广口瓶，每个样品需加采一个付样（可用聚乙烯样品袋）；及时放入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③样品暂存及管理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样品现场采集后应及时送至样品暂存室冷链保存，同时填写好入室单（交接单）；样品暂存室监控记录仪时刻记录样品存放状况。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④样品现场记录表、样品标签、点位标识牌、样品入室记录（交接单）、样品出室记录（交接单）等内容。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⑤样品流转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样品应在规定的时间内送至实验室进行检测；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转运前核对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从暂存室出库前必须逐件与样品标签、样品入室记录（交接单）进行核对，核对无误并填写好样品出室记录（交接单）后分类装箱；样品入室记录（交接单）、样品出室记录（交接单）均一式两份，分别由送样、押运人员和样品暂存室保存。</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样品转运：样品转运需全程保持冷链（&lt;4℃）；专人送样。</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交接：样品送达实验室后，送样人员和实验室接样人员必须逐件对样品标签和样品出室记录（交接单）核对；样品名称、采样地点、样品数量、包装、外观形态是否一致、完好；样品是否有损坏、污染；当样品有异议时，实验室接样人员应及时向送样人员询问，实验室接样人员应记录有关说明及处理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在上述工作完成后，送样人员和实验室接样人员在样品交接单上签字后即完成样品交接。</w:t>
      </w:r>
    </w:p>
    <w:bookmarkEnd w:id="203"/>
    <w:p>
      <w:pPr>
        <w:pStyle w:val="9"/>
        <w:pageBreakBefore w:val="0"/>
        <w:numPr>
          <w:ilvl w:val="2"/>
          <w:numId w:val="0"/>
        </w:numPr>
        <w:kinsoku/>
        <w:wordWrap/>
        <w:overflowPunct/>
        <w:topLinePunct w:val="0"/>
        <w:autoSpaceDE/>
        <w:autoSpaceDN/>
        <w:bidi w:val="0"/>
        <w:spacing w:before="0" w:beforeLines="0" w:after="0" w:afterLines="0" w:line="360" w:lineRule="auto"/>
        <w:ind w:left="0" w:leftChars="0" w:right="0"/>
        <w:textAlignment w:val="auto"/>
        <w:outlineLvl w:val="2"/>
        <w:rPr>
          <w:rFonts w:hint="eastAsia" w:ascii="宋体" w:hAnsi="宋体" w:eastAsia="宋体" w:cs="宋体"/>
          <w:color w:val="auto"/>
          <w:sz w:val="28"/>
          <w:szCs w:val="22"/>
          <w:highlight w:val="none"/>
          <w:u w:val="none"/>
          <w:lang w:val="en-US" w:eastAsia="zh-CN"/>
        </w:rPr>
      </w:pPr>
      <w:bookmarkStart w:id="209" w:name="4.6 现场质量控制与保障计划"/>
      <w:bookmarkEnd w:id="209"/>
      <w:bookmarkStart w:id="210" w:name="_Toc6878"/>
      <w:bookmarkStart w:id="211" w:name="_Toc14610"/>
      <w:bookmarkStart w:id="212" w:name="_Toc4809"/>
      <w:bookmarkStart w:id="213" w:name="_Toc9622_WPSOffice_Level2"/>
      <w:bookmarkStart w:id="214" w:name="_Toc32312"/>
      <w:bookmarkStart w:id="215" w:name="_Toc26004785"/>
      <w:r>
        <w:rPr>
          <w:rFonts w:hint="eastAsia" w:ascii="宋体" w:hAnsi="宋体" w:eastAsia="宋体" w:cs="宋体"/>
          <w:color w:val="auto"/>
          <w:sz w:val="28"/>
          <w:szCs w:val="22"/>
          <w:highlight w:val="none"/>
          <w:u w:val="none"/>
          <w:lang w:val="en-US" w:eastAsia="zh-CN"/>
        </w:rPr>
        <w:t>7.3实验室质量保证</w:t>
      </w:r>
      <w:bookmarkEnd w:id="210"/>
      <w:bookmarkEnd w:id="211"/>
      <w:bookmarkEnd w:id="212"/>
      <w:bookmarkEnd w:id="213"/>
      <w:bookmarkEnd w:id="214"/>
      <w:bookmarkEnd w:id="215"/>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（1）监测人员严格执行环境监测技术规范，监测人员具有土壤监测证书，监测所用仪器、量器经参加培训的人员进行校准。</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（2）每批次样品分析时，应进行空白试验。分析测试方法有规定的，按分析测试方法的规定进行；分析测试方法无规定时，要求每批样品或每10个样品应至少做1次空白试验。</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（3）每批次样品分析时，每个检测项目均须做平行双样分析。在每批次分析样品中，应随机抽取10%的样品进行平行双样分析（有机因子除外）；当批次样品数＜10时，应至少随机抽取1个样品进行平行双样分析。</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被测土壤样品应在每批次样品分析时同步均匀插入有证标准物质与被测样品同步进行分析测试。每批次同类型分析样品要求按样品数10%的比例插入标准物质样品；当批次分析样品数＜10时，应至少插入1个标准物质样品。</w:t>
      </w:r>
    </w:p>
    <w:p>
      <w:pPr>
        <w:pageBreakBefore w:val="0"/>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（5）监测数据严格实行三级审核制度。</w:t>
      </w:r>
    </w:p>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color w:val="auto"/>
          <w:sz w:val="24"/>
          <w:highlight w:val="none"/>
          <w:lang w:val="en-US" w:eastAsia="zh-CN"/>
        </w:rPr>
        <w:t xml:space="preserve">表7-2 </w:t>
      </w:r>
      <w:r>
        <w:rPr>
          <w:rFonts w:hint="eastAsia" w:ascii="宋体" w:hAnsi="宋体" w:eastAsia="宋体" w:cs="宋体"/>
          <w:b/>
          <w:color w:val="auto"/>
          <w:sz w:val="24"/>
          <w:highlight w:val="none"/>
        </w:rPr>
        <w:t>检测分析方法和使用仪器一览表</w:t>
      </w:r>
    </w:p>
    <w:tbl>
      <w:tblPr>
        <w:tblStyle w:val="20"/>
        <w:tblW w:w="911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
        <w:gridCol w:w="3"/>
        <w:gridCol w:w="1468"/>
        <w:gridCol w:w="3661"/>
        <w:gridCol w:w="2444"/>
        <w:gridCol w:w="1378"/>
        <w:gridCol w:w="15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78"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检测项目</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检测方法</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检测分析仪器及型号</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09"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土壤pH值的测定电位法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HJ962-2018</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台式pH计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PHS-3E</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土壤质量铅、镉的测定石墨炉原子吸收分光光度法GB/T17141-1997</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370"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土壤和沉积物汞、砷、硒、铋、锑的测定原子荧光法HJ680-2013</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原子荧光光度计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PF31</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汞:0.002mg/kg;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砷:0.01mg/kg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22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土壤和沉积物六价铬的测定碱溶液提取-火焰原子吸收分光光度法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HJ1082-2019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41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铅、铜、镍</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土壤和沉积物铜、锌、铅、镍、铬的测定火焰原子吸收分光光度法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HJ491-2019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铅:10mg/kg;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铜:1mg/kg;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镍:3mg/kg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四氯化碳</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氯仿</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4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顺-1,2-二氯乙烯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反-1,2-二氯乙烯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二氯甲烷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1,2-二氯丙烷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1,1,1,2-四氯乙烷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1,1,2,2-四氯乙烷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四氯乙烯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三氯乙烯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1,2,3-三氯丙烷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3"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1.9μg/kg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乙苯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间二甲苯+对二甲苯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邻二甲苯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硝基苯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苯胺</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97"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2-氯酚</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0.06mg/kg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苯并[b]荧蒽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0.2mg/kg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苯并[k]荧蒽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䓛</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二苯并[a，h]蒽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91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茚并[1,2,3-cd]芘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28"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bookmarkEnd w:id="204"/>
      <w:bookmarkEnd w:id="205"/>
      <w:bookmarkEnd w:id="206"/>
      <w:bookmarkEnd w:id="207"/>
    </w:tbl>
    <w:p>
      <w:pPr>
        <w:pStyle w:val="7"/>
        <w:bidi w:val="0"/>
        <w:rPr>
          <w:rFonts w:hint="eastAsia" w:ascii="宋体" w:hAnsi="宋体" w:eastAsia="宋体" w:cs="宋体"/>
          <w:b/>
          <w:bCs/>
          <w:kern w:val="2"/>
          <w:szCs w:val="32"/>
          <w:lang w:val="en-US" w:eastAsia="zh-CN" w:bidi="zh-CN"/>
        </w:rPr>
      </w:pPr>
      <w:bookmarkStart w:id="216" w:name="_Toc19180"/>
      <w:bookmarkStart w:id="217" w:name="_Toc25764"/>
      <w:bookmarkStart w:id="218" w:name="_Toc30409"/>
      <w:r>
        <w:rPr>
          <w:rFonts w:hint="eastAsia" w:ascii="宋体" w:hAnsi="宋体" w:eastAsia="宋体" w:cs="宋体"/>
          <w:lang w:val="en-US" w:eastAsia="zh-CN"/>
        </w:rPr>
        <w:t>8监测结果分析</w:t>
      </w:r>
      <w:bookmarkEnd w:id="216"/>
      <w:bookmarkEnd w:id="217"/>
      <w:bookmarkEnd w:id="218"/>
    </w:p>
    <w:p>
      <w:pPr>
        <w:keepNext/>
        <w:keepLines/>
        <w:widowControl w:val="0"/>
        <w:numPr>
          <w:ilvl w:val="0"/>
          <w:numId w:val="0"/>
        </w:numPr>
        <w:bidi w:val="0"/>
        <w:spacing w:before="120" w:after="120" w:line="520" w:lineRule="exact"/>
        <w:jc w:val="left"/>
        <w:outlineLvl w:val="1"/>
        <w:rPr>
          <w:rFonts w:hint="eastAsia" w:ascii="宋体" w:hAnsi="宋体" w:eastAsia="宋体" w:cs="宋体"/>
          <w:b/>
          <w:bCs/>
          <w:color w:val="auto"/>
          <w:kern w:val="2"/>
          <w:sz w:val="28"/>
          <w:szCs w:val="32"/>
          <w:highlight w:val="none"/>
          <w:lang w:val="en-US" w:eastAsia="zh-CN" w:bidi="ar-SA"/>
        </w:rPr>
      </w:pPr>
      <w:bookmarkStart w:id="219" w:name="_Toc5110"/>
      <w:bookmarkStart w:id="220" w:name="_Toc7327"/>
      <w:bookmarkStart w:id="221" w:name="_Toc8967"/>
      <w:r>
        <w:rPr>
          <w:rFonts w:hint="eastAsia" w:ascii="宋体" w:hAnsi="宋体" w:eastAsia="宋体" w:cs="宋体"/>
          <w:b/>
          <w:bCs/>
          <w:kern w:val="2"/>
          <w:sz w:val="28"/>
          <w:szCs w:val="32"/>
          <w:lang w:val="en-US" w:eastAsia="zh-CN" w:bidi="ar-SA"/>
        </w:rPr>
        <w:t>8.1</w:t>
      </w:r>
      <w:bookmarkEnd w:id="219"/>
      <w:bookmarkEnd w:id="220"/>
      <w:bookmarkStart w:id="222" w:name="_Toc29801"/>
      <w:bookmarkStart w:id="223" w:name="_Toc14167"/>
      <w:bookmarkStart w:id="224" w:name="_Toc23170"/>
      <w:bookmarkStart w:id="225" w:name="_Toc24379"/>
      <w:bookmarkStart w:id="226" w:name="_Toc26279"/>
      <w:r>
        <w:rPr>
          <w:rFonts w:hint="eastAsia" w:ascii="宋体" w:hAnsi="宋体" w:eastAsia="宋体" w:cs="宋体"/>
          <w:b/>
          <w:bCs/>
          <w:color w:val="auto"/>
          <w:kern w:val="2"/>
          <w:sz w:val="28"/>
          <w:szCs w:val="32"/>
          <w:highlight w:val="none"/>
          <w:lang w:val="en-US" w:eastAsia="zh-CN" w:bidi="ar-SA"/>
        </w:rPr>
        <w:t>执行及参考标准</w:t>
      </w:r>
      <w:bookmarkEnd w:id="221"/>
      <w:bookmarkEnd w:id="222"/>
      <w:bookmarkEnd w:id="223"/>
      <w:bookmarkEnd w:id="224"/>
      <w:bookmarkEnd w:id="225"/>
      <w:bookmarkEnd w:id="226"/>
    </w:p>
    <w:p>
      <w:pPr>
        <w:pStyle w:val="3"/>
        <w:pageBreakBefore w:val="0"/>
        <w:kinsoku/>
        <w:wordWrap/>
        <w:overflowPunct/>
        <w:topLinePunct w:val="0"/>
        <w:bidi w:val="0"/>
        <w:spacing w:line="360" w:lineRule="auto"/>
        <w:ind w:left="0" w:leftChars="0" w:right="0" w:firstLine="561"/>
        <w:rPr>
          <w:rFonts w:hint="eastAsia" w:ascii="宋体" w:hAnsi="宋体" w:eastAsia="宋体" w:cs="宋体"/>
          <w:color w:val="auto"/>
          <w:spacing w:val="0"/>
          <w:sz w:val="28"/>
          <w:szCs w:val="28"/>
          <w:highlight w:val="none"/>
        </w:rPr>
      </w:pPr>
      <w:bookmarkStart w:id="227" w:name="_Toc28218"/>
      <w:bookmarkStart w:id="228" w:name="_Toc4373"/>
      <w:bookmarkStart w:id="229" w:name="_Toc25732"/>
      <w:bookmarkStart w:id="230" w:name="_Toc21438"/>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cs="宋体"/>
          <w:color w:val="auto"/>
          <w:spacing w:val="0"/>
          <w:sz w:val="28"/>
          <w:szCs w:val="28"/>
          <w:highlight w:val="none"/>
          <w:lang w:eastAsia="zh-CN"/>
        </w:rPr>
        <w:t>三门峡十化昊昱化工有限公司</w:t>
      </w:r>
      <w:r>
        <w:rPr>
          <w:rFonts w:hint="eastAsia" w:ascii="宋体" w:hAnsi="宋体" w:eastAsia="宋体" w:cs="宋体"/>
          <w:color w:val="auto"/>
          <w:spacing w:val="0"/>
          <w:sz w:val="28"/>
          <w:szCs w:val="28"/>
          <w:highlight w:val="none"/>
        </w:rPr>
        <w:t>土壤质量情况符合建设用地的筛选值或管制值，或是超管制值。项目涉及的特征因子中，以上两项标准均无标准值的，仅作分析测试，结果保存用于之后土壤自行监测结果的的对比参考值。</w:t>
      </w:r>
    </w:p>
    <w:p>
      <w:pPr>
        <w:pStyle w:val="3"/>
        <w:pageBreakBefore w:val="0"/>
        <w:kinsoku/>
        <w:wordWrap/>
        <w:overflowPunct/>
        <w:topLinePunct w:val="0"/>
        <w:bidi w:val="0"/>
        <w:spacing w:line="360" w:lineRule="auto"/>
        <w:ind w:left="0" w:leftChars="0" w:right="0" w:firstLine="537"/>
        <w:rPr>
          <w:rFonts w:hint="eastAsia" w:ascii="宋体" w:hAnsi="宋体" w:eastAsia="宋体" w:cs="宋体"/>
          <w:b/>
          <w:color w:val="auto"/>
          <w:spacing w:val="-32"/>
          <w:sz w:val="28"/>
          <w:szCs w:val="28"/>
          <w:highlight w:val="none"/>
          <w:lang w:val="en-US" w:eastAsia="zh-CN"/>
        </w:rPr>
      </w:pPr>
      <w:r>
        <w:rPr>
          <w:rFonts w:hint="eastAsia" w:ascii="宋体" w:hAnsi="宋体" w:eastAsia="宋体" w:cs="宋体"/>
          <w:color w:val="auto"/>
          <w:spacing w:val="0"/>
          <w:sz w:val="28"/>
          <w:szCs w:val="28"/>
          <w:highlight w:val="none"/>
        </w:rPr>
        <w:t>建设用地土壤监测因子执行的《土壤环境质量建设用地土壤污染风险管控标准》（试行）（GB36600-2018）标准筛选值及管制值见表</w:t>
      </w:r>
      <w:r>
        <w:rPr>
          <w:rFonts w:hint="eastAsia" w:ascii="宋体" w:hAnsi="宋体" w:eastAsia="宋体" w:cs="宋体"/>
          <w:color w:val="auto"/>
          <w:spacing w:val="0"/>
          <w:sz w:val="28"/>
          <w:szCs w:val="28"/>
          <w:highlight w:val="none"/>
          <w:lang w:val="en-US" w:eastAsia="zh-CN"/>
        </w:rPr>
        <w:t>7</w:t>
      </w:r>
      <w:r>
        <w:rPr>
          <w:rFonts w:hint="eastAsia" w:ascii="宋体" w:hAnsi="宋体" w:eastAsia="宋体" w:cs="宋体"/>
          <w:color w:val="auto"/>
          <w:spacing w:val="0"/>
          <w:sz w:val="28"/>
          <w:szCs w:val="28"/>
          <w:highlight w:val="none"/>
        </w:rPr>
        <w:t>，农用地土壤监测因子执行的《土壤环境质量农用地土壤污染风险管控标准》（试行）（GB15618-2018）标准筛选值及管制值见表</w:t>
      </w:r>
      <w:r>
        <w:rPr>
          <w:rFonts w:hint="eastAsia" w:ascii="宋体" w:hAnsi="宋体" w:eastAsia="宋体" w:cs="宋体"/>
          <w:color w:val="auto"/>
          <w:spacing w:val="0"/>
          <w:sz w:val="28"/>
          <w:szCs w:val="28"/>
          <w:highlight w:val="none"/>
          <w:lang w:val="en-US" w:eastAsia="zh-CN"/>
        </w:rPr>
        <w:t>8-1</w:t>
      </w:r>
      <w:r>
        <w:rPr>
          <w:rFonts w:hint="eastAsia" w:ascii="宋体" w:hAnsi="宋体" w:eastAsia="宋体" w:cs="宋体"/>
          <w:color w:val="auto"/>
          <w:spacing w:val="0"/>
          <w:sz w:val="28"/>
          <w:szCs w:val="28"/>
          <w:highlight w:val="none"/>
        </w:rPr>
        <w:t>，《场地土壤环境风险评价筛选值》（北京市地方标准DB11/T811-2011）见表</w:t>
      </w:r>
      <w:r>
        <w:rPr>
          <w:rFonts w:hint="eastAsia" w:ascii="宋体" w:hAnsi="宋体" w:eastAsia="宋体" w:cs="宋体"/>
          <w:color w:val="auto"/>
          <w:spacing w:val="0"/>
          <w:sz w:val="28"/>
          <w:szCs w:val="28"/>
          <w:highlight w:val="none"/>
          <w:lang w:val="en-US" w:eastAsia="zh-CN"/>
        </w:rPr>
        <w:t>8-2</w:t>
      </w:r>
      <w:r>
        <w:rPr>
          <w:rFonts w:hint="eastAsia" w:ascii="宋体" w:hAnsi="宋体" w:eastAsia="宋体" w:cs="宋体"/>
          <w:color w:val="auto"/>
          <w:spacing w:val="0"/>
          <w:sz w:val="28"/>
          <w:szCs w:val="28"/>
          <w:highlight w:val="none"/>
        </w:rPr>
        <w:t>。</w:t>
      </w:r>
      <w:r>
        <w:rPr>
          <w:rFonts w:hint="eastAsia" w:cs="宋体"/>
          <w:color w:val="auto"/>
          <w:spacing w:val="0"/>
          <w:sz w:val="28"/>
          <w:szCs w:val="28"/>
          <w:highlight w:val="none"/>
          <w:lang w:val="en-US" w:eastAsia="zh-CN"/>
        </w:rPr>
        <w:t>三门峡十化昊昱化工有限公司</w:t>
      </w:r>
      <w:r>
        <w:rPr>
          <w:rFonts w:hint="eastAsia" w:ascii="宋体" w:hAnsi="宋体" w:eastAsia="宋体" w:cs="宋体"/>
          <w:color w:val="auto"/>
          <w:spacing w:val="0"/>
          <w:sz w:val="28"/>
          <w:szCs w:val="28"/>
          <w:highlight w:val="none"/>
          <w:lang w:val="en-US" w:eastAsia="zh-CN"/>
        </w:rPr>
        <w:t>土壤监测数据均符合以上标准限值要求。</w:t>
      </w:r>
    </w:p>
    <w:p>
      <w:pPr>
        <w:pageBreakBefore w:val="0"/>
        <w:kinsoku/>
        <w:wordWrap/>
        <w:overflowPunct/>
        <w:topLinePunct w:val="0"/>
        <w:bidi w:val="0"/>
        <w:spacing w:line="360" w:lineRule="auto"/>
        <w:ind w:left="0" w:leftChars="0" w:right="0"/>
        <w:jc w:val="center"/>
        <w:rPr>
          <w:rFonts w:hint="eastAsia" w:ascii="宋体" w:hAnsi="宋体" w:eastAsia="宋体" w:cs="宋体"/>
          <w:b/>
          <w:color w:val="auto"/>
          <w:spacing w:val="-2"/>
          <w:sz w:val="28"/>
          <w:szCs w:val="28"/>
          <w:highlight w:val="none"/>
        </w:rPr>
      </w:pPr>
      <w:r>
        <w:rPr>
          <w:rFonts w:hint="eastAsia" w:ascii="宋体" w:hAnsi="宋体" w:eastAsia="宋体" w:cs="宋体"/>
          <w:b/>
          <w:color w:val="auto"/>
          <w:spacing w:val="-32"/>
          <w:sz w:val="28"/>
          <w:szCs w:val="28"/>
          <w:highlight w:val="none"/>
        </w:rPr>
        <w:t>表</w:t>
      </w:r>
      <w:r>
        <w:rPr>
          <w:rFonts w:hint="eastAsia" w:ascii="宋体" w:hAnsi="宋体" w:eastAsia="宋体" w:cs="宋体"/>
          <w:b/>
          <w:color w:val="auto"/>
          <w:sz w:val="28"/>
          <w:szCs w:val="28"/>
          <w:highlight w:val="none"/>
          <w:lang w:val="en-US" w:eastAsia="zh-CN"/>
        </w:rPr>
        <w:t xml:space="preserve">8-1  </w:t>
      </w:r>
      <w:r>
        <w:rPr>
          <w:rFonts w:hint="eastAsia" w:ascii="宋体" w:hAnsi="宋体" w:eastAsia="宋体" w:cs="宋体"/>
          <w:b/>
          <w:color w:val="auto"/>
          <w:spacing w:val="-2"/>
          <w:sz w:val="28"/>
          <w:szCs w:val="28"/>
          <w:highlight w:val="none"/>
        </w:rPr>
        <w:t>建设用地土壤污染风险筛选值和管制值</w:t>
      </w:r>
    </w:p>
    <w:p>
      <w:pPr>
        <w:pageBreakBefore w:val="0"/>
        <w:kinsoku/>
        <w:wordWrap/>
        <w:overflowPunct/>
        <w:topLinePunct w:val="0"/>
        <w:bidi w:val="0"/>
        <w:spacing w:line="240" w:lineRule="auto"/>
        <w:ind w:left="0" w:leftChars="0" w:right="0"/>
        <w:jc w:val="center"/>
        <w:rPr>
          <w:rFonts w:hint="eastAsia" w:ascii="宋体" w:hAnsi="宋体" w:eastAsia="宋体" w:cs="宋体"/>
          <w:bCs/>
          <w:color w:val="auto"/>
          <w:sz w:val="24"/>
          <w:highlight w:val="none"/>
        </w:rPr>
      </w:pPr>
      <w:r>
        <w:rPr>
          <w:rFonts w:hint="eastAsia" w:ascii="宋体" w:hAnsi="宋体" w:eastAsia="宋体" w:cs="宋体"/>
          <w:bCs/>
          <w:color w:val="auto"/>
          <w:spacing w:val="-2"/>
          <w:sz w:val="24"/>
          <w:highlight w:val="none"/>
        </w:rPr>
        <w:t>单位：mg/kg</w:t>
      </w:r>
    </w:p>
    <w:tbl>
      <w:tblPr>
        <w:tblStyle w:val="20"/>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754"/>
        <w:gridCol w:w="1453"/>
        <w:gridCol w:w="1146"/>
        <w:gridCol w:w="1362"/>
        <w:gridCol w:w="1310"/>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序号</w:t>
            </w:r>
          </w:p>
        </w:tc>
        <w:tc>
          <w:tcPr>
            <w:tcW w:w="1754" w:type="dxa"/>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污染物项目</w:t>
            </w:r>
          </w:p>
        </w:tc>
        <w:tc>
          <w:tcPr>
            <w:tcW w:w="1453" w:type="dxa"/>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CAS编号</w:t>
            </w:r>
          </w:p>
        </w:tc>
        <w:tc>
          <w:tcPr>
            <w:tcW w:w="2508" w:type="dxa"/>
            <w:gridSpan w:val="2"/>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筛选值</w:t>
            </w:r>
          </w:p>
        </w:tc>
        <w:tc>
          <w:tcPr>
            <w:tcW w:w="2671" w:type="dxa"/>
            <w:gridSpan w:val="2"/>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752" w:type="dxa"/>
            <w:vMerge w:val="continue"/>
            <w:tcBorders>
              <w:top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754" w:type="dxa"/>
            <w:vMerge w:val="continue"/>
            <w:tcBorders>
              <w:top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453" w:type="dxa"/>
            <w:vMerge w:val="continue"/>
            <w:tcBorders>
              <w:top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38" w:type="dxa"/>
            <w:gridSpan w:val="7"/>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铜</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7440-50-8</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18000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铅</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7439-92-1</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镉</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7440-43-9</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镍</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7440-02-0</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汞</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7439-97-6</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7440-38-2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铬（六价）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18540-29-9</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2-氯酚</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95-57-8</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2256</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硝基苯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98-95-3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萘</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91-20-3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苯并[a]蒽</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56-55-3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䓛</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218-01-9</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苯并(b)荧蒽</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205-99-2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苯并(k)荧蒽</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207-08-9</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苯并(a)芘</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50-32-8</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茚并(1,2,3-cd)芘</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193-39-5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二苯并(a,h)蒽</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53-70-3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苯胺</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62-53-3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211</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71-43-2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甲苯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108-88-3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108-90-7</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乙苯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100-41-4</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邻二甲苯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95-47-6</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1，4-二氯苯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106-46-7</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95-50-1</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间二甲苯+对二甲苯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108-38-3,106-42-3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氯甲烷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74-87-3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二氯甲烷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75-09-2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94</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616</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29</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1，1，1-三氯乙烷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71-55-6</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701</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107-06-2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78-87-5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1，1，2-三氯乙烷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79-00-5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1，1，1，2-四氯乙烷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630-20-6</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35</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1，1，2，2-四氯乙烷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79-34-5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1，2，3-三氯丙烷</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96-18-4</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0.05</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75-01-4</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0.12</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0.43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79-01-6</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0.7</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127-18-4</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反-1,2-二氯乙烯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156-60-5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54</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41</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顺-1,2-二氯乙烯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156-59-2</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596</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42</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1,1-二氯乙烯</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氯仿</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67-66-3</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752" w:type="dxa"/>
            <w:vAlign w:val="top"/>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44</w:t>
            </w:r>
          </w:p>
        </w:tc>
        <w:tc>
          <w:tcPr>
            <w:tcW w:w="1754"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四氯化碳</w:t>
            </w:r>
          </w:p>
        </w:tc>
        <w:tc>
          <w:tcPr>
            <w:tcW w:w="1453"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56-23-5</w:t>
            </w:r>
          </w:p>
        </w:tc>
        <w:tc>
          <w:tcPr>
            <w:tcW w:w="1146"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62"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61"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r>
    </w:tbl>
    <w:p>
      <w:pPr>
        <w:pStyle w:val="3"/>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8-2</w:t>
      </w:r>
      <w:r>
        <w:rPr>
          <w:rFonts w:hint="eastAsia" w:ascii="宋体" w:hAnsi="宋体" w:eastAsia="宋体" w:cs="宋体"/>
          <w:b/>
          <w:bCs/>
          <w:color w:val="auto"/>
          <w:sz w:val="28"/>
          <w:szCs w:val="28"/>
          <w:highlight w:val="none"/>
        </w:rPr>
        <w:t>农用地土壤污染风险筛选值</w:t>
      </w:r>
    </w:p>
    <w:tbl>
      <w:tblPr>
        <w:tblStyle w:val="21"/>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995"/>
        <w:gridCol w:w="1937"/>
        <w:gridCol w:w="1310"/>
        <w:gridCol w:w="131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995" w:type="dxa"/>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污染物项目</w:t>
            </w:r>
          </w:p>
        </w:tc>
        <w:tc>
          <w:tcPr>
            <w:tcW w:w="5874" w:type="dxa"/>
            <w:gridSpan w:val="4"/>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10" w:type="dxa"/>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95" w:type="dxa"/>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pH≤5.5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5.5&lt;</w:t>
            </w: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.5&lt;pH≤</w:t>
            </w:r>
            <w:r>
              <w:rPr>
                <w:rFonts w:hint="eastAsia" w:ascii="宋体" w:hAnsi="宋体" w:eastAsia="宋体" w:cs="宋体"/>
                <w:bCs/>
                <w:color w:val="auto"/>
                <w:sz w:val="21"/>
                <w:szCs w:val="21"/>
                <w:highlight w:val="none"/>
                <w:lang w:eastAsia="zh-CN"/>
              </w:rPr>
              <w:t>7</w:t>
            </w:r>
            <w:r>
              <w:rPr>
                <w:rFonts w:hint="eastAsia" w:ascii="宋体" w:hAnsi="宋体" w:eastAsia="宋体" w:cs="宋体"/>
                <w:bCs/>
                <w:color w:val="auto"/>
                <w:sz w:val="21"/>
                <w:szCs w:val="21"/>
                <w:highlight w:val="none"/>
                <w:lang w:val="en-US" w:eastAsia="zh-CN"/>
              </w:rPr>
              <w:t>.5</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&gt;7</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镉</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汞</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砷</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铅</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铬</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铜</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镍</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995"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锌</w:t>
            </w:r>
          </w:p>
        </w:tc>
        <w:tc>
          <w:tcPr>
            <w:tcW w:w="193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17" w:type="dxa"/>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179" w:type="dxa"/>
            <w:gridSpan w:val="6"/>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注：重金属和类金属砷均按元素总量计。</w:t>
            </w:r>
          </w:p>
        </w:tc>
      </w:tr>
    </w:tbl>
    <w:p>
      <w:pPr>
        <w:pStyle w:val="3"/>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8-3</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场地土壤环境风险评价筛选值单位：mg/kg</w:t>
      </w:r>
    </w:p>
    <w:tbl>
      <w:tblPr>
        <w:tblStyle w:val="20"/>
        <w:tblW w:w="89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0"/>
        <w:gridCol w:w="1111"/>
        <w:gridCol w:w="1987"/>
        <w:gridCol w:w="2049"/>
        <w:gridCol w:w="2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jc w:val="center"/>
        </w:trPr>
        <w:tc>
          <w:tcPr>
            <w:tcW w:w="1150" w:type="dxa"/>
            <w:tcBorders>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111" w:type="dxa"/>
            <w:tcBorders>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w:t>
            </w:r>
          </w:p>
        </w:tc>
        <w:tc>
          <w:tcPr>
            <w:tcW w:w="1987" w:type="dxa"/>
            <w:tcBorders>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住宅用地</w:t>
            </w:r>
          </w:p>
        </w:tc>
        <w:tc>
          <w:tcPr>
            <w:tcW w:w="2049" w:type="dxa"/>
            <w:tcBorders>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公园与绿地</w:t>
            </w:r>
          </w:p>
        </w:tc>
        <w:tc>
          <w:tcPr>
            <w:tcW w:w="2641" w:type="dxa"/>
            <w:tcBorders>
              <w:left w:val="single" w:color="000000" w:sz="6" w:space="0"/>
              <w:bottom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工业/商服用地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8938" w:type="dxa"/>
            <w:gridSpan w:val="5"/>
            <w:tcBorders>
              <w:top w:val="single" w:color="000000" w:sz="6" w:space="0"/>
              <w:bottom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无机污染物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1150" w:type="dxa"/>
            <w:tcBorders>
              <w:top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氟化物</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641" w:type="dxa"/>
            <w:tcBorders>
              <w:top w:val="single" w:color="000000" w:sz="6" w:space="0"/>
              <w:left w:val="single" w:color="000000" w:sz="6" w:space="0"/>
              <w:bottom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jc w:val="center"/>
        </w:trPr>
        <w:tc>
          <w:tcPr>
            <w:tcW w:w="1150" w:type="dxa"/>
            <w:tcBorders>
              <w:top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bookmarkStart w:id="231" w:name="_Toc53736373"/>
            <w:bookmarkStart w:id="232" w:name="_Toc31571"/>
            <w:bookmarkStart w:id="233" w:name="_Toc27438"/>
            <w:r>
              <w:rPr>
                <w:rFonts w:hint="eastAsia" w:ascii="宋体" w:hAnsi="宋体" w:eastAsia="宋体" w:cs="宋体"/>
                <w:bCs/>
                <w:color w:val="auto"/>
                <w:sz w:val="21"/>
                <w:szCs w:val="21"/>
                <w:highlight w:val="none"/>
                <w:lang w:val="en-US" w:eastAsia="zh-CN"/>
              </w:rPr>
              <w:t>2</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zh-CN" w:eastAsia="zh-CN" w:bidi="zh-CN"/>
              </w:rPr>
            </w:pPr>
            <w:r>
              <w:rPr>
                <w:rFonts w:hint="eastAsia" w:ascii="宋体" w:hAnsi="宋体" w:eastAsia="宋体" w:cs="宋体"/>
                <w:bCs/>
                <w:color w:val="auto"/>
                <w:sz w:val="21"/>
                <w:szCs w:val="21"/>
                <w:highlight w:val="none"/>
              </w:rPr>
              <w:t>锌</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3500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5000</w:t>
            </w:r>
          </w:p>
        </w:tc>
        <w:tc>
          <w:tcPr>
            <w:tcW w:w="2641" w:type="dxa"/>
            <w:tcBorders>
              <w:top w:val="single" w:color="000000" w:sz="6" w:space="0"/>
              <w:left w:val="single" w:color="000000" w:sz="6" w:space="0"/>
              <w:bottom w:val="single" w:color="000000" w:sz="6" w:space="0"/>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10000</w:t>
            </w:r>
          </w:p>
        </w:tc>
      </w:tr>
    </w:tbl>
    <w:p>
      <w:pPr>
        <w:pageBreakBefore w:val="0"/>
        <w:kinsoku/>
        <w:wordWrap/>
        <w:overflowPunct/>
        <w:topLinePunct w:val="0"/>
        <w:autoSpaceDE/>
        <w:autoSpaceDN/>
        <w:bidi w:val="0"/>
        <w:spacing w:line="240" w:lineRule="auto"/>
        <w:ind w:left="0" w:leftChars="0" w:right="0" w:firstLine="0" w:firstLineChars="0"/>
        <w:jc w:val="both"/>
        <w:textAlignment w:val="auto"/>
        <w:outlineLvl w:val="9"/>
        <w:rPr>
          <w:rFonts w:hint="eastAsia" w:ascii="宋体" w:hAnsi="宋体" w:eastAsia="宋体" w:cs="宋体"/>
          <w:color w:val="auto"/>
          <w:highlight w:val="none"/>
          <w:lang w:val="en-US" w:eastAsia="zh-CN"/>
        </w:rPr>
      </w:pPr>
    </w:p>
    <w:bookmarkEnd w:id="231"/>
    <w:bookmarkEnd w:id="232"/>
    <w:bookmarkEnd w:id="233"/>
    <w:p>
      <w:pPr>
        <w:keepNext/>
        <w:keepLines/>
        <w:pageBreakBefore w:val="0"/>
        <w:kinsoku/>
        <w:wordWrap/>
        <w:overflowPunct/>
        <w:topLinePunct w:val="0"/>
        <w:bidi w:val="0"/>
        <w:snapToGrid w:val="0"/>
        <w:spacing w:line="240" w:lineRule="auto"/>
        <w:ind w:left="0" w:leftChars="0" w:right="0"/>
        <w:jc w:val="center"/>
        <w:rPr>
          <w:rFonts w:hint="eastAsia" w:ascii="宋体" w:hAnsi="宋体" w:eastAsia="宋体" w:cs="宋体"/>
          <w:b/>
          <w:bCs/>
          <w:color w:val="auto"/>
          <w:sz w:val="28"/>
          <w:szCs w:val="28"/>
          <w:highlight w:val="none"/>
        </w:rPr>
      </w:pPr>
      <w:bookmarkStart w:id="234" w:name="_Toc9907"/>
      <w:bookmarkStart w:id="235" w:name="_Toc28980"/>
      <w:bookmarkStart w:id="236" w:name="_Toc2740"/>
      <w:bookmarkStart w:id="237" w:name="_Toc12882"/>
      <w:bookmarkStart w:id="238" w:name="_Toc5297"/>
      <w:bookmarkStart w:id="239" w:name="_Toc30694"/>
      <w:bookmarkStart w:id="240" w:name="_Toc31982"/>
      <w:bookmarkStart w:id="241" w:name="_Toc21237"/>
      <w:bookmarkStart w:id="242" w:name="_Toc5706"/>
      <w:bookmarkStart w:id="243" w:name="_Toc53736374"/>
      <w:r>
        <w:rPr>
          <w:rFonts w:hint="eastAsia" w:ascii="宋体" w:hAnsi="宋体" w:eastAsia="宋体" w:cs="宋体"/>
          <w:b/>
          <w:bCs/>
          <w:color w:val="auto"/>
          <w:sz w:val="28"/>
          <w:szCs w:val="28"/>
          <w:highlight w:val="none"/>
          <w:lang w:val="en-US" w:eastAsia="zh-CN"/>
        </w:rPr>
        <w:t>表8-4土壤采样点位及</w:t>
      </w:r>
      <w:r>
        <w:rPr>
          <w:rFonts w:hint="eastAsia" w:ascii="宋体" w:hAnsi="宋体" w:eastAsia="宋体" w:cs="宋体"/>
          <w:b/>
          <w:bCs/>
          <w:color w:val="auto"/>
          <w:sz w:val="28"/>
          <w:szCs w:val="28"/>
          <w:highlight w:val="none"/>
        </w:rPr>
        <w:t>样品信息</w:t>
      </w:r>
    </w:p>
    <w:bookmarkEnd w:id="234"/>
    <w:bookmarkEnd w:id="235"/>
    <w:bookmarkEnd w:id="236"/>
    <w:bookmarkEnd w:id="237"/>
    <w:bookmarkEnd w:id="238"/>
    <w:bookmarkEnd w:id="239"/>
    <w:bookmarkEnd w:id="240"/>
    <w:bookmarkEnd w:id="241"/>
    <w:bookmarkEnd w:id="242"/>
    <w:bookmarkEnd w:id="243"/>
    <w:tbl>
      <w:tblPr>
        <w:tblStyle w:val="20"/>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61"/>
        <w:gridCol w:w="1814"/>
        <w:gridCol w:w="2601"/>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blHeader/>
          <w:jc w:val="center"/>
        </w:trPr>
        <w:tc>
          <w:tcPr>
            <w:tcW w:w="39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类别</w:t>
            </w:r>
          </w:p>
        </w:tc>
        <w:tc>
          <w:tcPr>
            <w:tcW w:w="88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采样点位</w:t>
            </w:r>
          </w:p>
        </w:tc>
        <w:tc>
          <w:tcPr>
            <w:tcW w:w="96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监测日期</w:t>
            </w:r>
          </w:p>
        </w:tc>
        <w:tc>
          <w:tcPr>
            <w:tcW w:w="137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采样点位坐标</w:t>
            </w:r>
          </w:p>
        </w:tc>
        <w:tc>
          <w:tcPr>
            <w:tcW w:w="13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39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土壤</w:t>
            </w:r>
          </w:p>
        </w:tc>
        <w:tc>
          <w:tcPr>
            <w:tcW w:w="88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rPr>
              <w:t>成品罐区、成品库区</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2023年6月8日</w:t>
            </w:r>
          </w:p>
        </w:tc>
        <w:tc>
          <w:tcPr>
            <w:tcW w:w="13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23.633</w:t>
            </w:r>
            <w:r>
              <w:rPr>
                <w:rFonts w:hint="eastAsia" w:ascii="宋体" w:hAnsi="宋体" w:eastAsia="宋体" w:cs="宋体"/>
                <w:color w:val="auto"/>
                <w:kern w:val="0"/>
                <w:sz w:val="21"/>
                <w:szCs w:val="21"/>
                <w:highlight w:val="none"/>
              </w:rPr>
              <w:t>''  E</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34</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25.008</w:t>
            </w:r>
            <w:r>
              <w:rPr>
                <w:rFonts w:hint="eastAsia" w:ascii="宋体" w:hAnsi="宋体" w:eastAsia="宋体" w:cs="宋体"/>
                <w:color w:val="auto"/>
                <w:kern w:val="0"/>
                <w:sz w:val="21"/>
                <w:szCs w:val="21"/>
                <w:highlight w:val="none"/>
              </w:rPr>
              <w:t>''</w:t>
            </w:r>
          </w:p>
        </w:tc>
        <w:tc>
          <w:tcPr>
            <w:tcW w:w="13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固态、</w:t>
            </w:r>
            <w:r>
              <w:rPr>
                <w:rFonts w:hint="eastAsia" w:ascii="宋体" w:hAnsi="宋体" w:eastAsia="宋体" w:cs="宋体"/>
                <w:color w:val="auto"/>
                <w:kern w:val="0"/>
                <w:sz w:val="21"/>
                <w:szCs w:val="21"/>
                <w:highlight w:val="none"/>
                <w:lang w:val="en-US" w:eastAsia="zh-CN"/>
              </w:rPr>
              <w:t>红</w:t>
            </w:r>
            <w:r>
              <w:rPr>
                <w:rFonts w:hint="eastAsia" w:ascii="宋体" w:hAnsi="宋体" w:eastAsia="宋体" w:cs="宋体"/>
                <w:color w:val="auto"/>
                <w:kern w:val="0"/>
                <w:sz w:val="21"/>
                <w:szCs w:val="21"/>
                <w:highlight w:val="none"/>
              </w:rPr>
              <w:t>色、</w:t>
            </w:r>
            <w:r>
              <w:rPr>
                <w:rFonts w:hint="eastAsia" w:ascii="宋体" w:hAnsi="宋体" w:eastAsia="宋体" w:cs="宋体"/>
                <w:color w:val="auto"/>
                <w:kern w:val="0"/>
                <w:sz w:val="21"/>
                <w:szCs w:val="21"/>
                <w:highlight w:val="none"/>
                <w:lang w:val="en-US" w:eastAsia="zh-CN"/>
              </w:rPr>
              <w:t>壤土</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干燥</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少量</w:t>
            </w:r>
            <w:r>
              <w:rPr>
                <w:rFonts w:hint="eastAsia" w:ascii="宋体" w:hAnsi="宋体" w:eastAsia="宋体" w:cs="宋体"/>
                <w:color w:val="auto"/>
                <w:kern w:val="0"/>
                <w:sz w:val="21"/>
                <w:szCs w:val="21"/>
                <w:highlight w:val="none"/>
              </w:rPr>
              <w:t>砂粒、</w:t>
            </w:r>
            <w:r>
              <w:rPr>
                <w:rFonts w:hint="eastAsia" w:ascii="宋体" w:hAnsi="宋体" w:eastAsia="宋体" w:cs="宋体"/>
                <w:color w:val="auto"/>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393" w:type="pct"/>
            <w:vMerge w:val="continue"/>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u w:val="none"/>
              </w:rPr>
              <w:t>土壤背景监测点</w:t>
            </w:r>
          </w:p>
        </w:tc>
        <w:tc>
          <w:tcPr>
            <w:tcW w:w="0" w:type="auto"/>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2023年6月8日</w:t>
            </w:r>
          </w:p>
        </w:tc>
        <w:tc>
          <w:tcPr>
            <w:tcW w:w="0" w:type="auto"/>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N：34°41'20.711''  E：111°34'24.641''</w:t>
            </w:r>
          </w:p>
        </w:tc>
        <w:tc>
          <w:tcPr>
            <w:tcW w:w="1387" w:type="pct"/>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固</w:t>
            </w:r>
            <w:r>
              <w:rPr>
                <w:rFonts w:hint="eastAsia" w:ascii="宋体" w:hAnsi="宋体" w:eastAsia="宋体" w:cs="宋体"/>
                <w:color w:val="auto"/>
                <w:kern w:val="0"/>
                <w:sz w:val="21"/>
                <w:szCs w:val="21"/>
                <w:highlight w:val="none"/>
                <w:lang w:val="en-US" w:eastAsia="zh-CN"/>
              </w:rPr>
              <w:t>态、红色、壤土、干燥、少量砂粒、少量根系</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44" w:name="_Toc28786"/>
      <w:r>
        <w:rPr>
          <w:rFonts w:hint="eastAsia" w:ascii="宋体" w:hAnsi="宋体" w:eastAsia="宋体" w:cs="宋体"/>
          <w:b/>
          <w:bCs/>
          <w:kern w:val="2"/>
          <w:sz w:val="28"/>
          <w:szCs w:val="32"/>
          <w:lang w:val="en-US" w:eastAsia="zh-CN" w:bidi="ar-SA"/>
        </w:rPr>
        <w:t>8.2监测结果</w:t>
      </w:r>
      <w:bookmarkEnd w:id="227"/>
      <w:bookmarkEnd w:id="228"/>
      <w:bookmarkEnd w:id="229"/>
      <w:bookmarkEnd w:id="230"/>
      <w:bookmarkEnd w:id="244"/>
    </w:p>
    <w:p>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left"/>
        <w:textAlignment w:val="auto"/>
        <w:rPr>
          <w:rFonts w:hint="eastAsia" w:ascii="宋体" w:hAnsi="宋体" w:eastAsia="宋体" w:cs="宋体"/>
          <w:color w:val="auto"/>
          <w:kern w:val="2"/>
          <w:sz w:val="28"/>
          <w:szCs w:val="28"/>
          <w:highlight w:val="none"/>
          <w:lang w:val="zh-CN" w:eastAsia="zh-CN" w:bidi="zh-CN"/>
        </w:rPr>
      </w:pPr>
      <w:r>
        <w:rPr>
          <w:rFonts w:hint="eastAsia" w:ascii="宋体" w:hAnsi="宋体" w:eastAsia="宋体" w:cs="宋体"/>
          <w:color w:val="auto"/>
          <w:kern w:val="2"/>
          <w:sz w:val="28"/>
          <w:szCs w:val="28"/>
          <w:highlight w:val="none"/>
          <w:lang w:val="zh-CN" w:eastAsia="zh-CN" w:bidi="zh-CN"/>
        </w:rPr>
        <w:t>监测结果汇总情况见下表：</w:t>
      </w:r>
    </w:p>
    <w:p>
      <w:pPr>
        <w:bidi w:val="0"/>
        <w:spacing w:line="360" w:lineRule="auto"/>
        <w:jc w:val="center"/>
        <w:outlineLvl w:val="9"/>
        <w:rPr>
          <w:rFonts w:hint="eastAsia" w:ascii="宋体" w:hAnsi="宋体" w:eastAsia="宋体" w:cs="宋体"/>
          <w:b/>
          <w:color w:val="auto"/>
          <w:sz w:val="24"/>
          <w:highlight w:val="none"/>
        </w:rPr>
      </w:pPr>
      <w:bookmarkStart w:id="245" w:name="_Toc1875"/>
      <w:bookmarkStart w:id="246" w:name="_Toc27605"/>
      <w:bookmarkStart w:id="247" w:name="_Toc20781"/>
    </w:p>
    <w:p>
      <w:pPr>
        <w:bidi w:val="0"/>
        <w:spacing w:line="360" w:lineRule="auto"/>
        <w:jc w:val="center"/>
        <w:outlineLvl w:val="9"/>
        <w:rPr>
          <w:rFonts w:hint="eastAsia" w:ascii="宋体" w:hAnsi="宋体" w:eastAsia="宋体" w:cs="宋体"/>
          <w:lang w:val="en-US" w:eastAsia="zh-CN"/>
        </w:rPr>
      </w:pPr>
      <w:r>
        <w:rPr>
          <w:rFonts w:hint="eastAsia" w:ascii="宋体" w:hAnsi="宋体" w:eastAsia="宋体" w:cs="宋体"/>
          <w:b/>
          <w:color w:val="auto"/>
          <w:sz w:val="24"/>
          <w:highlight w:val="none"/>
        </w:rPr>
        <w:t>表</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 xml:space="preserve">  土壤检测结果统计表</w:t>
      </w:r>
    </w:p>
    <w:tbl>
      <w:tblPr>
        <w:tblStyle w:val="20"/>
        <w:tblW w:w="8857" w:type="dxa"/>
        <w:jc w:val="center"/>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1"/>
        <w:gridCol w:w="1765"/>
        <w:gridCol w:w="1608"/>
        <w:gridCol w:w="1430"/>
        <w:gridCol w:w="1600"/>
        <w:gridCol w:w="1423"/>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8" w:hRule="atLeast"/>
          <w:tblHeader/>
          <w:jc w:val="center"/>
        </w:trPr>
        <w:tc>
          <w:tcPr>
            <w:tcW w:w="103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76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031"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76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成品罐区、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成品库区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23.633</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25.008</w:t>
            </w:r>
            <w:r>
              <w:rPr>
                <w:rFonts w:hint="eastAsia" w:ascii="宋体" w:hAnsi="宋体" w:eastAsia="宋体" w:cs="宋体"/>
                <w:color w:val="auto"/>
                <w:kern w:val="0"/>
                <w:sz w:val="24"/>
                <w:highlight w:val="none"/>
              </w:rPr>
              <w:t>''）</w:t>
            </w: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7.96</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11.3</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0.71</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57</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105</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.275</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76</w:t>
            </w:r>
            <w:r>
              <w:rPr>
                <w:rFonts w:hint="eastAsia" w:ascii="宋体" w:hAnsi="宋体" w:eastAsia="宋体" w:cs="宋体"/>
                <w:color w:val="auto"/>
                <w:kern w:val="0"/>
                <w:sz w:val="24"/>
                <w:highlight w:val="none"/>
              </w:rPr>
              <w:t>mg/kg</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76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3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76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0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453"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少量</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土壤检测结果统计表</w:t>
      </w:r>
    </w:p>
    <w:tbl>
      <w:tblPr>
        <w:tblStyle w:val="20"/>
        <w:tblW w:w="9036" w:type="dxa"/>
        <w:jc w:val="center"/>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0"/>
        <w:gridCol w:w="1817"/>
        <w:gridCol w:w="1655"/>
        <w:gridCol w:w="1473"/>
        <w:gridCol w:w="1647"/>
        <w:gridCol w:w="1464"/>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4" w:hRule="atLeast"/>
          <w:tblHeader/>
          <w:jc w:val="center"/>
        </w:trPr>
        <w:tc>
          <w:tcPr>
            <w:tcW w:w="9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采样时间</w:t>
            </w:r>
          </w:p>
        </w:tc>
        <w:tc>
          <w:tcPr>
            <w:tcW w:w="18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检测地点</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检测因子</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9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rPr>
              <w:t>202</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6.08</w:t>
            </w:r>
          </w:p>
        </w:tc>
        <w:tc>
          <w:tcPr>
            <w:tcW w:w="181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土壤背景监测点（N</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20.711</w:t>
            </w:r>
            <w:r>
              <w:rPr>
                <w:rFonts w:hint="eastAsia" w:ascii="宋体" w:hAnsi="宋体" w:eastAsia="宋体" w:cs="宋体"/>
                <w:color w:val="auto"/>
                <w:kern w:val="0"/>
                <w:sz w:val="24"/>
                <w:highlight w:val="none"/>
              </w:rPr>
              <w:t>''  E</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11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24.641</w:t>
            </w:r>
            <w:r>
              <w:rPr>
                <w:rFonts w:hint="eastAsia" w:ascii="宋体" w:hAnsi="宋体" w:eastAsia="宋体" w:cs="宋体"/>
                <w:color w:val="auto"/>
                <w:kern w:val="0"/>
                <w:sz w:val="24"/>
                <w:highlight w:val="none"/>
              </w:rPr>
              <w:t>''）</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7.83</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13.2</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1,2,3-三氯丙烷</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0.52</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铜</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47</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106</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.262</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1,4-二氯苯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镍</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68</w:t>
            </w:r>
            <w:r>
              <w:rPr>
                <w:rFonts w:hint="eastAsia" w:ascii="宋体" w:hAnsi="宋体" w:eastAsia="宋体" w:cs="宋体"/>
                <w:color w:val="auto"/>
                <w:kern w:val="0"/>
                <w:sz w:val="24"/>
                <w:highlight w:val="none"/>
              </w:rPr>
              <w:t>mg/kg</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四氯化碳</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氯仿</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氯甲烷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间,对-二甲苯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1,1-二氯乙烷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邻-二甲苯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1,2-二氯乙烷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硝基苯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1,1-二氯乙烯</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苯胺</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顺-1,2-二氯乙烯</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2-氯酚</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auto"/>
                <w:kern w:val="0"/>
                <w:szCs w:val="21"/>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反-1,2-二氯乙烯</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二氯甲烷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苯并[a]芘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1,2-二氯丙烷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苯并[b]荧蒽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1,1,1,2-四氯乙烷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苯并[k]荧蒽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1,1,2,2-四氯乙烷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䓛</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四氯乙烯</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二苯并[a，h]蒽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1,1,1-三氯乙烷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茚并[1,2,3-cd]芘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1,1,2-三氯乙烷</w:t>
            </w:r>
          </w:p>
        </w:tc>
        <w:tc>
          <w:tcPr>
            <w:tcW w:w="14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c>
          <w:tcPr>
            <w:tcW w:w="16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样品状态</w:t>
            </w:r>
          </w:p>
        </w:tc>
        <w:tc>
          <w:tcPr>
            <w:tcW w:w="4584"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固态、</w:t>
            </w:r>
            <w:r>
              <w:rPr>
                <w:rFonts w:hint="eastAsia" w:ascii="宋体" w:hAnsi="宋体" w:eastAsia="宋体" w:cs="宋体"/>
                <w:color w:val="auto"/>
                <w:kern w:val="0"/>
                <w:sz w:val="24"/>
                <w:highlight w:val="none"/>
                <w:lang w:val="en-US" w:eastAsia="zh-CN"/>
              </w:rPr>
              <w:t>红</w:t>
            </w:r>
            <w:r>
              <w:rPr>
                <w:rFonts w:hint="eastAsia" w:ascii="宋体" w:hAnsi="宋体" w:eastAsia="宋体" w:cs="宋体"/>
                <w:color w:val="auto"/>
                <w:kern w:val="0"/>
                <w:sz w:val="24"/>
                <w:highlight w:val="none"/>
              </w:rPr>
              <w:t>色、</w:t>
            </w:r>
            <w:r>
              <w:rPr>
                <w:rFonts w:hint="eastAsia" w:ascii="宋体" w:hAnsi="宋体" w:eastAsia="宋体" w:cs="宋体"/>
                <w:color w:val="auto"/>
                <w:kern w:val="0"/>
                <w:sz w:val="24"/>
                <w:highlight w:val="none"/>
                <w:lang w:val="en-US" w:eastAsia="zh-CN"/>
              </w:rPr>
              <w:t>壤土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干燥</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少量</w:t>
            </w:r>
            <w:r>
              <w:rPr>
                <w:rFonts w:hint="eastAsia" w:ascii="宋体" w:hAnsi="宋体" w:eastAsia="宋体" w:cs="宋体"/>
                <w:color w:val="auto"/>
                <w:kern w:val="0"/>
                <w:sz w:val="24"/>
                <w:highlight w:val="none"/>
              </w:rPr>
              <w:t>砂粒、</w:t>
            </w:r>
            <w:r>
              <w:rPr>
                <w:rFonts w:hint="eastAsia" w:ascii="宋体" w:hAnsi="宋体" w:eastAsia="宋体" w:cs="宋体"/>
                <w:color w:val="auto"/>
                <w:kern w:val="0"/>
                <w:sz w:val="24"/>
                <w:highlight w:val="none"/>
                <w:lang w:val="en-US" w:eastAsia="zh-CN"/>
              </w:rPr>
              <w:t>少量根系</w:t>
            </w:r>
          </w:p>
        </w:tc>
      </w:tr>
    </w:tbl>
    <w:p>
      <w:pPr>
        <w:pStyle w:val="7"/>
        <w:bidi w:val="0"/>
        <w:spacing w:line="360" w:lineRule="auto"/>
        <w:rPr>
          <w:rFonts w:hint="eastAsia" w:ascii="宋体" w:hAnsi="宋体" w:eastAsia="宋体" w:cs="宋体"/>
          <w:lang w:val="en-US" w:eastAsia="zh-CN"/>
        </w:rPr>
      </w:pPr>
      <w:bookmarkStart w:id="248" w:name="_Toc14700"/>
      <w:r>
        <w:rPr>
          <w:rFonts w:hint="eastAsia" w:ascii="宋体" w:hAnsi="宋体" w:eastAsia="宋体" w:cs="宋体"/>
          <w:lang w:val="en-US" w:eastAsia="zh-CN"/>
        </w:rPr>
        <w:t>9质量保证与质量控制</w:t>
      </w:r>
      <w:bookmarkEnd w:id="245"/>
      <w:bookmarkEnd w:id="246"/>
      <w:bookmarkEnd w:id="247"/>
      <w:bookmarkEnd w:id="248"/>
    </w:p>
    <w:p>
      <w:pPr>
        <w:keepNext/>
        <w:keepLines/>
        <w:widowControl w:val="0"/>
        <w:numPr>
          <w:ilvl w:val="1"/>
          <w:numId w:val="1"/>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49" w:name="_Toc29954"/>
      <w:bookmarkStart w:id="250" w:name="_Toc2115"/>
      <w:bookmarkStart w:id="251" w:name="_Toc7047"/>
      <w:bookmarkStart w:id="252" w:name="_Toc7011"/>
      <w:bookmarkStart w:id="253" w:name="_Toc13167"/>
      <w:bookmarkStart w:id="254" w:name="_Toc5046"/>
      <w:r>
        <w:rPr>
          <w:rFonts w:hint="eastAsia" w:ascii="宋体" w:hAnsi="宋体" w:eastAsia="宋体" w:cs="宋体"/>
          <w:b/>
          <w:bCs/>
          <w:kern w:val="2"/>
          <w:sz w:val="28"/>
          <w:szCs w:val="32"/>
          <w:lang w:val="en-US" w:eastAsia="zh-CN" w:bidi="ar-SA"/>
        </w:rPr>
        <w:t>9.1自行监测质量体系</w:t>
      </w:r>
      <w:bookmarkEnd w:id="249"/>
      <w:bookmarkEnd w:id="250"/>
      <w:bookmarkEnd w:id="251"/>
      <w:bookmarkEnd w:id="252"/>
      <w:bookmarkEnd w:id="253"/>
      <w:bookmarkEnd w:id="254"/>
    </w:p>
    <w:p>
      <w:pPr>
        <w:spacing w:line="360" w:lineRule="auto"/>
        <w:ind w:firstLine="560" w:firstLineChars="200"/>
        <w:outlineLvl w:val="9"/>
        <w:rPr>
          <w:rFonts w:hint="eastAsia" w:ascii="宋体" w:hAnsi="宋体" w:eastAsia="宋体" w:cs="宋体"/>
          <w:b w:val="0"/>
          <w:bCs w:val="0"/>
          <w:snapToGrid/>
          <w:color w:val="auto"/>
          <w:kern w:val="2"/>
          <w:sz w:val="28"/>
          <w:szCs w:val="24"/>
          <w:highlight w:val="none"/>
          <w:lang w:val="en-US" w:eastAsia="zh-CN" w:bidi="ar-SA"/>
        </w:rPr>
      </w:pPr>
      <w:bookmarkStart w:id="255" w:name="_Toc32423"/>
      <w:r>
        <w:rPr>
          <w:rFonts w:hint="eastAsia" w:ascii="宋体" w:hAnsi="宋体" w:eastAsia="宋体" w:cs="宋体"/>
          <w:b w:val="0"/>
          <w:bCs w:val="0"/>
          <w:snapToGrid/>
          <w:color w:val="auto"/>
          <w:kern w:val="2"/>
          <w:sz w:val="28"/>
          <w:szCs w:val="24"/>
          <w:highlight w:val="none"/>
          <w:lang w:val="en-US" w:eastAsia="zh-CN" w:bidi="ar-SA"/>
        </w:rPr>
        <w:t>三门峡十化昊昱化工有限公司2023年度土壤和地下水检测工作由洛阳市达峰环境检测有限公司负责，公司拥有河南省质量技术监督局颁发的检验检测机构资质认定证书（洛阳市达峰环境检测有限公司：证书编号201612050382，有效期2026年11月9日。公司质量体系完善，符合实验室分析工作的条件和相应资质要求，凡承担本项目的采样和检测分析等的人员均通过公司考核并持证上岗。</w:t>
      </w:r>
      <w:bookmarkEnd w:id="255"/>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56" w:name="_Toc19042"/>
      <w:bookmarkStart w:id="257" w:name="_Toc7617"/>
      <w:bookmarkStart w:id="258" w:name="_Toc23714"/>
      <w:bookmarkStart w:id="259" w:name="_Toc20216"/>
      <w:r>
        <w:rPr>
          <w:rFonts w:hint="eastAsia" w:ascii="宋体" w:hAnsi="宋体" w:eastAsia="宋体" w:cs="宋体"/>
          <w:b/>
          <w:bCs/>
          <w:kern w:val="2"/>
          <w:sz w:val="28"/>
          <w:szCs w:val="32"/>
          <w:lang w:val="en-US" w:eastAsia="zh-CN" w:bidi="ar-SA"/>
        </w:rPr>
        <w:t>9.2监测方案制定的质量保证与控制</w:t>
      </w:r>
      <w:bookmarkEnd w:id="256"/>
      <w:bookmarkEnd w:id="257"/>
      <w:bookmarkEnd w:id="258"/>
      <w:bookmarkEnd w:id="259"/>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1）重点单元识别与分类依据满足《工业企业土壤和地下水自行监测技术指南（试行）》（HJ1209-2021）的要求，已按照HJ1209-2021要求提供了重点监测单元清单及标记有重点单元及监测点/监测井位置的企业总平面布置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（2）土壤监测点的位置、数量和深度满足HJ1209-2021中“5.2监测点位”的要求；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（3）土壤的监测指标、监测频次满足HJ1209-2021中“5.3监测指标与频次”的要求；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outlineLvl w:val="2"/>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（4）已核实土壤的监测点位具备采样条件。</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60" w:name="_Toc27575"/>
      <w:bookmarkStart w:id="261" w:name="_Toc6183"/>
      <w:bookmarkStart w:id="262" w:name="_Toc29355"/>
      <w:bookmarkStart w:id="263" w:name="_Toc28152"/>
      <w:bookmarkStart w:id="264" w:name="_Toc7375"/>
      <w:bookmarkStart w:id="265" w:name="_Toc26162"/>
      <w:r>
        <w:rPr>
          <w:rFonts w:hint="eastAsia" w:ascii="宋体" w:hAnsi="宋体" w:eastAsia="宋体" w:cs="宋体"/>
          <w:b/>
          <w:bCs/>
          <w:kern w:val="2"/>
          <w:sz w:val="28"/>
          <w:szCs w:val="32"/>
          <w:lang w:val="en-US" w:eastAsia="zh-CN" w:bidi="ar-SA"/>
        </w:rPr>
        <w:t>9.3样品采集、保存、流转、制备与分析的质量保证与控制</w:t>
      </w:r>
      <w:bookmarkEnd w:id="260"/>
      <w:bookmarkEnd w:id="261"/>
      <w:bookmarkEnd w:id="262"/>
      <w:bookmarkEnd w:id="263"/>
      <w:bookmarkEnd w:id="264"/>
      <w:bookmarkEnd w:id="265"/>
    </w:p>
    <w:p>
      <w:pPr>
        <w:keepNext/>
        <w:keepLines/>
        <w:widowControl w:val="0"/>
        <w:spacing w:line="520" w:lineRule="exact"/>
        <w:jc w:val="both"/>
        <w:outlineLvl w:val="2"/>
        <w:rPr>
          <w:rFonts w:hint="eastAsia" w:ascii="宋体" w:hAnsi="宋体" w:eastAsia="宋体" w:cs="宋体"/>
          <w:color w:val="auto"/>
          <w:kern w:val="2"/>
          <w:sz w:val="28"/>
          <w:szCs w:val="24"/>
          <w:highlight w:val="none"/>
          <w:lang w:val="en-US" w:eastAsia="zh-CN" w:bidi="ar-SA"/>
        </w:rPr>
      </w:pPr>
      <w:bookmarkStart w:id="266" w:name="_Toc11242"/>
      <w:bookmarkStart w:id="267" w:name="_Toc25326"/>
      <w:bookmarkStart w:id="268" w:name="_Toc23156"/>
      <w:bookmarkStart w:id="269" w:name="_Toc107924599"/>
      <w:bookmarkStart w:id="270" w:name="_Toc19209"/>
      <w:bookmarkStart w:id="271" w:name="_Toc11334"/>
      <w:r>
        <w:rPr>
          <w:rFonts w:hint="eastAsia" w:ascii="宋体" w:hAnsi="宋体" w:eastAsia="宋体" w:cs="宋体"/>
          <w:color w:val="auto"/>
          <w:kern w:val="2"/>
          <w:sz w:val="28"/>
          <w:szCs w:val="24"/>
          <w:highlight w:val="none"/>
          <w:lang w:val="en-US" w:eastAsia="zh-CN" w:bidi="ar-SA"/>
        </w:rPr>
        <w:t>9.3.1采样过程中的质量控制</w:t>
      </w:r>
      <w:bookmarkEnd w:id="266"/>
      <w:bookmarkEnd w:id="267"/>
      <w:bookmarkEnd w:id="268"/>
      <w:bookmarkEnd w:id="269"/>
      <w:bookmarkEnd w:id="270"/>
      <w:bookmarkEnd w:id="271"/>
    </w:p>
    <w:p>
      <w:pPr>
        <w:bidi w:val="0"/>
        <w:spacing w:line="520" w:lineRule="exact"/>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（1）采样前准备</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采样前组织操作培训，对采样操作规范、安全须知等进行充分交底，保证采样的规范与安全。根据需要按国家有关危险物质使用及健康安全等相关法规制订现场人员安全防护计划，并对相关人员进行必要的培训。</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采样人员通过岗前培训、持证上岗，掌握土壤采样技术和要求，熟悉采样器具的使用和样品的保存运输条件。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现场人员按有关规定，使用个人防护装备，严格执行现场设备操作规范。根据采样方案，准备各种记录表单、必需的监控器材、足够的取样器材，并进行消毒或预先清洗。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（2）土壤样品采集质量控制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土壤样品的采集按照《建设用地土壤污染风险管控和修复监测技术导则》（HJ25.2-2019）、《土壤环境监测技术规范》（HJ/T166-2004）等要求进行。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①防止采样过程中的交叉污染：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在两次钻孔之间，钻探设备进行清洗；同一钻孔在不同深度采样时，对钻探设备、取样装置也进行清洗；与土壤接触的其他采样工具重复使用时，进行清洗后使用。采样过程中佩戴有一次性手套，为避免不同样品之间的交叉污染，每采集一个样品都更换手套。每采完一次样，都将采样工具用自来水洗净后再用蒸馏水淋洗一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②防止采样的二次污染：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每个采样点钻探结束后，都将所有剩余的废弃土覆盖塑料布保护，待土壤污染状况调查工作结束后，装入垃圾袋内，统一进行规范处置。</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③规范采样操作：</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采样时优先采集挥发性有机物、半挥发性有机物、石油烃、六价铬样品，然后使用竹刀采集重金属及无机物等样品。首先竹刀刮除表层土壤，立即用非扰动取样器采集足量样品迅速推入40mL吹扫捕集瓶，然后使用竹刀采集半挥发性、重金属样品，半挥发性样品足量装入250ml棕色玻璃瓶，重金属样品置于自封袋中。挥发性有机物采集3个样品，其余采集1个样品，将同一取样深度不同类别样品再分别置于自封袋中保存。按照质量控制要求准备全程序空白样和运输空白样品。土壤样品采集完成后，在样品瓶上标明编号等采样信息，并做好现场记录。样品采集成功后，立即放入车载冰箱中，使样品保存在4℃以下冷藏运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④采集记录填写：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所有样品采集时，记录监测点位经纬度信息。每个样品采集结束时及时填写标签信息进行粘贴，采样结束后，逐项检查采样记录、样袋标签和样品。</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（2）样品保存、流转过程中的质量控制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对采集的所有样品，各组均在装运前安排人员进行点位复核，在采样现场逐件核对样品登记表、样品标签、采样记录核对无误后分类装箱。样品运输中严防样品损失、混淆和沾污，对样品避光外包装。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小组于当天或第二天将样品全部送到实验室后，采样人员将填好的样品交接单，同样品一起交给实验室样品管理员进行核对，确定无误后在样品交接单上签字。该项目采样结束交接土壤样品。样品皆依据规范中“样品保存及质量保证”进行储存，土壤样品按功能区域分开存放。质控人员对样品标识、包装容器、样品状态、保存环境条件等监控进行监督检查。</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样品采集当天不能将样品运送至实验室进行检测，样品需用车载冰箱、冷藏柜等设备低温保存，冷藏柜、车载冰箱温度调至4℃以下。</w:t>
      </w:r>
    </w:p>
    <w:p>
      <w:pPr>
        <w:bidi w:val="0"/>
        <w:spacing w:line="520" w:lineRule="exact"/>
        <w:jc w:val="left"/>
        <w:outlineLvl w:val="2"/>
        <w:rPr>
          <w:rFonts w:hint="eastAsia" w:ascii="宋体" w:hAnsi="宋体" w:eastAsia="宋体" w:cs="宋体"/>
          <w:b/>
          <w:bCs/>
          <w:color w:val="auto"/>
          <w:sz w:val="28"/>
          <w:highlight w:val="none"/>
          <w:lang w:val="en-US" w:eastAsia="zh-CN"/>
        </w:rPr>
      </w:pPr>
      <w:bookmarkStart w:id="272" w:name="_Toc107924600"/>
      <w:r>
        <w:rPr>
          <w:rFonts w:hint="eastAsia" w:ascii="宋体" w:hAnsi="宋体" w:eastAsia="宋体" w:cs="宋体"/>
          <w:b/>
          <w:bCs/>
          <w:color w:val="auto"/>
          <w:sz w:val="28"/>
          <w:highlight w:val="none"/>
          <w:lang w:val="en-US" w:eastAsia="zh-CN"/>
        </w:rPr>
        <w:t>9.3.2实验室检测过程中的质量保证和质量控制</w:t>
      </w:r>
      <w:bookmarkEnd w:id="272"/>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本次调查实验室检测工作严格按照规范落实质量保证和质量控制措施，确保获取的样品与取得的检测数据真实可信。</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实验室分析检测使用内、外部质量控制结合的质控手段以保证数据结果的准确度，主要包括空白、平行、加标、质控样分析的内部质控方式和采集密码平行样的外部质控方式。</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（1）实验室检测人员均经过培训，持证上岗，具有扎实的专业理论知识及丰富的实际操作经验。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（2）实验室仪器设备、标准物质等控制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我公司质控人员对仪器设备、标准物质、实验用水、仪器检出限和精密度、校准曲线、实验准备等方面内容进行逐条检查。具体检查结果如下：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①项目所用的气相色谱质谱联用仪、气相色谱仪、原子荧光、原子吸收、电感耦合等离子体发射质谱仪等仪器设备和天平、容量瓶、吸液管等计量器具均检定合格、在有效期内；性能、量程、精度满足方法要求。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②实验室使用的标准溶液、质控样品均是国家有证标准物质，且在有效期内。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③实验用水实时监测，电阻率≥18.2MΩ•cm（25℃），符合要求。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④金属项目检测使用优级纯试剂，有机项目检测使用色谱级及农残级试剂，所有试剂采购回来均经验收合格后方能使用，符合要求。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⑤实验器具根据标准要求使用不同清洗剂及清洗方式进行清洗。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（3）内部和外部质量控制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①空白试验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检查每个检测项目的全程序空白、运输空白及试剂空白分析结果，审核实验试剂、材料及实验过程，均不对实验结果产生干扰，本批样共采集土壤和样品，设置1个全程序空白，1个运输空白。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②精密度控制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检测项目检测时按照标准要求进行平行样分析，共设置1个平行样，质控结果应符合标准《土壤环境监测技术规范》（HJ/T166-2004）、《地下水环境监测技术规范》（HJ/T164-2020）和各项目国家标准中要求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③准确度控制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通过检测标准质控物质及样品加标回收率来检查测定准确度，对部分因子进行质控样分析，质控样检测结果应显示合格，实验室准确度结果应符合标准《土壤环境监测技术规范》（HJ/T166-2004）《地下水环境监测技术规范》（HJ/T164-2020）和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本次实验室分析的质量控制包括实验室内部明码平行、样品加标、质控标准样分析。</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（4）数据分析及结果报告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量保证室检查了原始记录、仪器使用记录和溶液配制记录等，实验室分析人员的全程操作均符合要求。核查了原始记录与检测报告中数据的一致性，结果显示，分析测试报告均完整无误。此批次样品所涉及的所有实验记录、原始数据及相关档案严格按照公司质量体系程序文件中的规定执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（5）检测过程质量保证</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①实验室检测项目各样品检测均严格按照规定的检测标准方法进行检测。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②在各检测指标中，在使用标准物质进行校准曲线或标准检查点测试时，获得校准曲线或标准检查点结果应符合检测结果验收标准中的相关规定。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③每批次样品进行现场空白和实验室空白，现场空白和实验室空白结果符合检测结果标准中的相关规定。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④实验室检测项目所用的样品要根据检测标准要求按保存期、保存环境、保存条件和有效期等进行保存，符合要求的样品方可开展检测。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⑤分析人员在接收样品时，仔细核对样品和采样记录，确认正确无误后，进行签收。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⑥实验室主任应对检测人员执行全部检测指标的标准检测方法流程进行检查，严格按照技术要求进行检测。</w:t>
      </w:r>
    </w:p>
    <w:p>
      <w:pPr>
        <w:pStyle w:val="7"/>
        <w:bidi w:val="0"/>
        <w:rPr>
          <w:rFonts w:hint="eastAsia" w:ascii="宋体" w:hAnsi="宋体" w:eastAsia="宋体" w:cs="宋体"/>
          <w:lang w:val="en-US" w:eastAsia="zh-CN"/>
        </w:rPr>
      </w:pPr>
      <w:bookmarkStart w:id="273" w:name="_Toc31137"/>
      <w:bookmarkStart w:id="274" w:name="_Toc14480"/>
      <w:bookmarkStart w:id="275" w:name="_Toc32704"/>
      <w:bookmarkStart w:id="276" w:name="_Toc25080"/>
      <w:r>
        <w:rPr>
          <w:rFonts w:hint="eastAsia" w:ascii="宋体" w:hAnsi="宋体" w:eastAsia="宋体" w:cs="宋体"/>
          <w:lang w:val="en-US" w:eastAsia="zh-CN"/>
        </w:rPr>
        <w:t>10.结论与措施</w:t>
      </w:r>
      <w:bookmarkEnd w:id="273"/>
      <w:bookmarkEnd w:id="274"/>
      <w:bookmarkEnd w:id="275"/>
      <w:bookmarkEnd w:id="276"/>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77" w:name="_Toc6958"/>
      <w:bookmarkStart w:id="278" w:name="_Toc8553"/>
      <w:bookmarkStart w:id="279" w:name="_Toc17078"/>
      <w:bookmarkStart w:id="280" w:name="_Toc5369"/>
      <w:r>
        <w:rPr>
          <w:rFonts w:hint="eastAsia" w:ascii="宋体" w:hAnsi="宋体" w:eastAsia="宋体" w:cs="宋体"/>
          <w:b/>
          <w:bCs/>
          <w:kern w:val="2"/>
          <w:sz w:val="28"/>
          <w:szCs w:val="32"/>
          <w:lang w:val="en-US" w:eastAsia="zh-CN" w:bidi="ar-SA"/>
        </w:rPr>
        <w:t>10.1现场采样和监测</w:t>
      </w:r>
      <w:bookmarkEnd w:id="277"/>
      <w:bookmarkEnd w:id="278"/>
      <w:bookmarkEnd w:id="279"/>
      <w:bookmarkEnd w:id="28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val="en-US" w:eastAsia="zh-CN"/>
        </w:rPr>
      </w:pPr>
      <w:bookmarkStart w:id="281" w:name="_Toc29275"/>
      <w:bookmarkStart w:id="282" w:name="_Toc25516"/>
      <w:bookmarkStart w:id="283" w:name="_Toc5590"/>
      <w:bookmarkStart w:id="284" w:name="_Toc3205"/>
      <w:bookmarkStart w:id="285" w:name="_Toc20805"/>
      <w:bookmarkStart w:id="286" w:name="_Toc21780"/>
      <w:bookmarkStart w:id="287" w:name="_Toc24991"/>
      <w:bookmarkStart w:id="288" w:name="_Toc19892"/>
      <w:bookmarkStart w:id="289" w:name="_Toc6980"/>
      <w:bookmarkStart w:id="290" w:name="_Toc13491"/>
      <w:bookmarkStart w:id="291" w:name="_Toc17871"/>
      <w:r>
        <w:rPr>
          <w:rFonts w:hint="eastAsia" w:ascii="宋体" w:hAnsi="宋体" w:eastAsia="宋体" w:cs="宋体"/>
          <w:color w:val="auto"/>
          <w:spacing w:val="0"/>
          <w:kern w:val="2"/>
          <w:sz w:val="28"/>
          <w:szCs w:val="28"/>
          <w:highlight w:val="none"/>
          <w:lang w:val="en-US" w:eastAsia="zh-CN" w:bidi="zh-CN"/>
        </w:rPr>
        <w:t>2023年6月18日-6月28日，公司委托洛阳市达峰环境检测有限公司对厂区及背景点土壤开展监测。根据2023年6月28日出具的《</w:t>
      </w:r>
      <w:bookmarkStart w:id="292" w:name="_Toc31680"/>
      <w:bookmarkStart w:id="293" w:name="_Toc15197"/>
      <w:bookmarkStart w:id="294" w:name="_Toc21867"/>
      <w:r>
        <w:rPr>
          <w:rFonts w:hint="eastAsia" w:ascii="宋体" w:hAnsi="宋体" w:eastAsia="宋体" w:cs="宋体"/>
          <w:color w:val="auto"/>
          <w:spacing w:val="0"/>
          <w:kern w:val="2"/>
          <w:sz w:val="28"/>
          <w:szCs w:val="28"/>
          <w:highlight w:val="none"/>
          <w:lang w:val="en-US" w:eastAsia="zh-CN" w:bidi="zh-CN"/>
        </w:rPr>
        <w:t>三门峡十化昊昱化工有限公司土壤</w:t>
      </w:r>
      <w:bookmarkEnd w:id="292"/>
      <w:r>
        <w:rPr>
          <w:rFonts w:hint="eastAsia" w:ascii="宋体" w:hAnsi="宋体" w:eastAsia="宋体" w:cs="宋体"/>
          <w:color w:val="auto"/>
          <w:spacing w:val="0"/>
          <w:kern w:val="2"/>
          <w:sz w:val="28"/>
          <w:szCs w:val="28"/>
          <w:highlight w:val="none"/>
          <w:lang w:val="en-US" w:eastAsia="zh-CN" w:bidi="zh-CN"/>
        </w:rPr>
        <w:t>检测报告</w:t>
      </w:r>
      <w:bookmarkEnd w:id="293"/>
      <w:bookmarkEnd w:id="294"/>
      <w:r>
        <w:rPr>
          <w:rFonts w:hint="eastAsia" w:ascii="宋体" w:hAnsi="宋体" w:eastAsia="宋体" w:cs="宋体"/>
          <w:color w:val="auto"/>
          <w:spacing w:val="0"/>
          <w:kern w:val="2"/>
          <w:sz w:val="28"/>
          <w:szCs w:val="28"/>
          <w:highlight w:val="none"/>
          <w:lang w:val="en-US" w:eastAsia="zh-CN" w:bidi="zh-CN"/>
        </w:rPr>
        <w:t>》（报告编号：DFJC</w:t>
      </w:r>
      <w:r>
        <w:rPr>
          <w:rFonts w:hint="eastAsia" w:ascii="宋体" w:hAnsi="宋体" w:eastAsia="宋体" w:cs="宋体"/>
          <w:color w:val="auto"/>
          <w:sz w:val="28"/>
          <w:szCs w:val="28"/>
          <w:highlight w:val="none"/>
          <w:u w:val="none"/>
          <w:lang w:val="en-US" w:eastAsia="zh-CN"/>
        </w:rPr>
        <w:t>-008-06-2023），报告中结合企业厂区生产设施分布和生产工艺等实际情况，确定土壤监测点位置及数量7个（其中6个监控点，1个背景点），但具备取样条件的土壤监测点位置及数量为2个（1个成品罐区、成品库区监控点，1个土壤背景监测点）。其他5个点位不具备取样条件的原因为：液蜡罐区、盐酸罐区、吸收区、气化区和生产装置区、氯气库和液氯应急罐区5个点位地面已硬化无法取样。</w:t>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95" w:name="_Toc3371"/>
      <w:r>
        <w:rPr>
          <w:rFonts w:hint="eastAsia" w:ascii="宋体" w:hAnsi="宋体" w:eastAsia="宋体" w:cs="宋体"/>
          <w:b/>
          <w:bCs/>
          <w:kern w:val="2"/>
          <w:sz w:val="28"/>
          <w:szCs w:val="32"/>
          <w:lang w:val="en-US" w:eastAsia="zh-CN" w:bidi="ar-SA"/>
        </w:rPr>
        <w:t>10.2土壤监测结果分析</w:t>
      </w:r>
      <w:bookmarkEnd w:id="281"/>
      <w:bookmarkEnd w:id="282"/>
      <w:bookmarkEnd w:id="283"/>
      <w:bookmarkEnd w:id="284"/>
      <w:bookmarkEnd w:id="285"/>
      <w:bookmarkEnd w:id="286"/>
      <w:bookmarkEnd w:id="287"/>
      <w:bookmarkEnd w:id="288"/>
      <w:bookmarkEnd w:id="289"/>
      <w:bookmarkEnd w:id="290"/>
      <w:bookmarkEnd w:id="291"/>
      <w:bookmarkEnd w:id="295"/>
    </w:p>
    <w:p>
      <w:pPr>
        <w:pStyle w:val="3"/>
        <w:pageBreakBefore w:val="0"/>
        <w:kinsoku/>
        <w:wordWrap/>
        <w:overflowPunct/>
        <w:topLinePunct w:val="0"/>
        <w:bidi w:val="0"/>
        <w:spacing w:line="360" w:lineRule="auto"/>
        <w:ind w:left="0" w:leftChars="0" w:right="0" w:firstLine="537"/>
        <w:outlineLvl w:val="9"/>
        <w:rPr>
          <w:rFonts w:hint="eastAsia" w:ascii="宋体" w:hAnsi="宋体" w:eastAsia="宋体" w:cs="宋体"/>
          <w:b/>
          <w:color w:val="auto"/>
          <w:spacing w:val="-32"/>
          <w:sz w:val="28"/>
          <w:szCs w:val="28"/>
          <w:highlight w:val="none"/>
          <w:lang w:val="en-US" w:eastAsia="zh-CN"/>
        </w:rPr>
      </w:pPr>
      <w:bookmarkStart w:id="296" w:name="_Toc28485"/>
      <w:bookmarkStart w:id="297" w:name="_Toc9609"/>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cs="宋体"/>
          <w:color w:val="auto"/>
          <w:spacing w:val="0"/>
          <w:sz w:val="28"/>
          <w:szCs w:val="28"/>
          <w:highlight w:val="none"/>
          <w:lang w:eastAsia="zh-CN"/>
        </w:rPr>
        <w:t>三门峡十化昊昱化工有限公司</w:t>
      </w:r>
      <w:r>
        <w:rPr>
          <w:rFonts w:hint="eastAsia" w:ascii="宋体" w:hAnsi="宋体" w:eastAsia="宋体" w:cs="宋体"/>
          <w:color w:val="auto"/>
          <w:spacing w:val="0"/>
          <w:sz w:val="28"/>
          <w:szCs w:val="28"/>
          <w:highlight w:val="none"/>
        </w:rPr>
        <w:t>土壤质量情况符合建设用地的筛选值或管制值，或是超管制值。</w:t>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98" w:name="_Toc9314"/>
      <w:r>
        <w:rPr>
          <w:rFonts w:hint="eastAsia" w:ascii="宋体" w:hAnsi="宋体" w:eastAsia="宋体" w:cs="宋体"/>
          <w:b/>
          <w:bCs/>
          <w:kern w:val="2"/>
          <w:sz w:val="28"/>
          <w:szCs w:val="32"/>
          <w:lang w:val="en-US" w:eastAsia="zh-CN" w:bidi="ar-SA"/>
        </w:rPr>
        <w:t>10.3自行监测结论</w:t>
      </w:r>
      <w:bookmarkEnd w:id="296"/>
      <w:bookmarkEnd w:id="297"/>
      <w:bookmarkEnd w:id="298"/>
    </w:p>
    <w:p>
      <w:pPr>
        <w:spacing w:line="360" w:lineRule="auto"/>
        <w:ind w:firstLine="560" w:firstLineChars="200"/>
        <w:outlineLvl w:val="9"/>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zh-CN" w:eastAsia="zh-CN" w:bidi="ar-SA"/>
        </w:rPr>
        <w:t>三门峡十化昊昱化工有限公司土壤各监测点位</w:t>
      </w:r>
      <w:r>
        <w:rPr>
          <w:rFonts w:hint="eastAsia" w:ascii="宋体" w:hAnsi="宋体" w:eastAsia="宋体" w:cs="宋体"/>
          <w:b w:val="0"/>
          <w:bCs w:val="0"/>
          <w:color w:val="auto"/>
          <w:kern w:val="2"/>
          <w:sz w:val="28"/>
          <w:szCs w:val="24"/>
          <w:highlight w:val="none"/>
          <w:lang w:val="en-US" w:eastAsia="zh-CN" w:bidi="ar-SA"/>
        </w:rPr>
        <w:t>符合《土壤环境质量建设用地土壤污染风险管控标准》（试行）（GB36600-2018）、</w:t>
      </w:r>
      <w:r>
        <w:rPr>
          <w:rFonts w:hint="eastAsia" w:ascii="宋体" w:hAnsi="宋体" w:eastAsia="宋体" w:cs="宋体"/>
          <w:b w:val="0"/>
          <w:bCs w:val="0"/>
          <w:color w:val="auto"/>
          <w:kern w:val="2"/>
          <w:sz w:val="28"/>
          <w:szCs w:val="24"/>
          <w:highlight w:val="none"/>
          <w:lang w:val="zh-CN" w:eastAsia="zh-CN" w:bidi="ar-SA"/>
        </w:rPr>
        <w:t>《土壤环境质量农用地土壤污染风险管控标准》（试行）（GB</w:t>
      </w:r>
      <w:r>
        <w:rPr>
          <w:rFonts w:hint="eastAsia" w:ascii="宋体" w:hAnsi="宋体" w:eastAsia="宋体" w:cs="宋体"/>
          <w:b w:val="0"/>
          <w:bCs w:val="0"/>
          <w:color w:val="auto"/>
          <w:kern w:val="2"/>
          <w:sz w:val="28"/>
          <w:szCs w:val="24"/>
          <w:highlight w:val="none"/>
          <w:lang w:val="en-US" w:eastAsia="zh-CN" w:bidi="ar-SA"/>
        </w:rPr>
        <w:t>15618</w:t>
      </w:r>
      <w:r>
        <w:rPr>
          <w:rFonts w:hint="eastAsia" w:ascii="宋体" w:hAnsi="宋体" w:eastAsia="宋体" w:cs="宋体"/>
          <w:b w:val="0"/>
          <w:bCs w:val="0"/>
          <w:color w:val="auto"/>
          <w:kern w:val="2"/>
          <w:sz w:val="28"/>
          <w:szCs w:val="24"/>
          <w:highlight w:val="none"/>
          <w:lang w:val="zh-CN" w:eastAsia="zh-CN" w:bidi="ar-SA"/>
        </w:rPr>
        <w:t>-2018）标准、《场地土壤环境风险评价筛选值》（北京市地方标准DB11/T811-2011</w:t>
      </w:r>
      <w:r>
        <w:rPr>
          <w:rFonts w:hint="eastAsia" w:ascii="宋体" w:hAnsi="宋体" w:eastAsia="宋体" w:cs="宋体"/>
          <w:b w:val="0"/>
          <w:bCs w:val="0"/>
          <w:color w:val="auto"/>
          <w:kern w:val="2"/>
          <w:sz w:val="28"/>
          <w:szCs w:val="24"/>
          <w:highlight w:val="none"/>
          <w:lang w:val="en-US" w:eastAsia="zh-CN" w:bidi="ar-SA"/>
        </w:rPr>
        <w:t>）等各项标准要求。</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99" w:name="_Toc3939"/>
      <w:bookmarkStart w:id="300" w:name="_Toc9584"/>
      <w:bookmarkStart w:id="301" w:name="_Toc1285"/>
      <w:r>
        <w:rPr>
          <w:rFonts w:hint="eastAsia" w:ascii="宋体" w:hAnsi="宋体" w:eastAsia="宋体" w:cs="宋体"/>
          <w:b/>
          <w:bCs/>
          <w:kern w:val="2"/>
          <w:sz w:val="28"/>
          <w:szCs w:val="32"/>
          <w:lang w:val="en-US" w:eastAsia="zh-CN" w:bidi="ar-SA"/>
        </w:rPr>
        <w:t>10.4拟采取的主要措施</w:t>
      </w:r>
      <w:bookmarkEnd w:id="299"/>
      <w:bookmarkEnd w:id="300"/>
      <w:bookmarkEnd w:id="301"/>
    </w:p>
    <w:p>
      <w:pPr>
        <w:pStyle w:val="41"/>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1</w:t>
      </w:r>
      <w:r>
        <w:rPr>
          <w:rFonts w:hint="eastAsia" w:ascii="宋体" w:hAnsi="宋体" w:eastAsia="宋体" w:cs="宋体"/>
          <w:color w:val="auto"/>
          <w:kern w:val="2"/>
          <w:sz w:val="28"/>
          <w:szCs w:val="28"/>
        </w:rPr>
        <w:t>）加强日常生产管理，加强各设备、设施的巡检及维护保养，避免跑、冒、滴、漏现象；</w:t>
      </w:r>
    </w:p>
    <w:p>
      <w:pPr>
        <w:pStyle w:val="41"/>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2</w:t>
      </w:r>
      <w:r>
        <w:rPr>
          <w:rFonts w:hint="eastAsia" w:ascii="宋体" w:hAnsi="宋体" w:eastAsia="宋体" w:cs="宋体"/>
          <w:color w:val="auto"/>
          <w:kern w:val="2"/>
          <w:sz w:val="28"/>
          <w:szCs w:val="28"/>
        </w:rPr>
        <w:t>）加强环保设施的维护，确保各类污染物长期稳定达标排放，减少大气尘降对厂区土壤的影响；</w:t>
      </w:r>
    </w:p>
    <w:p>
      <w:pPr>
        <w:pStyle w:val="41"/>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3</w:t>
      </w:r>
      <w:r>
        <w:rPr>
          <w:rFonts w:hint="eastAsia" w:ascii="宋体" w:hAnsi="宋体" w:eastAsia="宋体" w:cs="宋体"/>
          <w:color w:val="auto"/>
          <w:kern w:val="2"/>
          <w:sz w:val="28"/>
          <w:szCs w:val="28"/>
        </w:rPr>
        <w:t>）各原料堆场封闭运行，加强转运管理，避免转运过程中的扬撒、尘降</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发现扬撒，及时清理；</w:t>
      </w:r>
    </w:p>
    <w:p>
      <w:pPr>
        <w:pStyle w:val="41"/>
        <w:widowControl w:val="0"/>
        <w:tabs>
          <w:tab w:val="left" w:pos="1486"/>
        </w:tabs>
        <w:spacing w:line="520" w:lineRule="exact"/>
        <w:ind w:left="0"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4</w:t>
      </w:r>
      <w:r>
        <w:rPr>
          <w:rFonts w:hint="eastAsia" w:ascii="宋体" w:hAnsi="宋体" w:eastAsia="宋体" w:cs="宋体"/>
          <w:color w:val="auto"/>
          <w:kern w:val="2"/>
          <w:sz w:val="28"/>
          <w:szCs w:val="28"/>
        </w:rPr>
        <w:t>）注意日常土壤污染隐患排查工作，巡检及排查过程中发现问题及时处理，注意厂区硬化及防渗措施的情况，发现裂痕或泄漏及时修补处理。</w:t>
      </w:r>
    </w:p>
    <w:p>
      <w:pPr>
        <w:pStyle w:val="41"/>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5</w:t>
      </w:r>
      <w:r>
        <w:rPr>
          <w:rFonts w:hint="eastAsia" w:ascii="宋体" w:hAnsi="宋体" w:eastAsia="宋体" w:cs="宋体"/>
          <w:color w:val="auto"/>
          <w:kern w:val="2"/>
          <w:sz w:val="28"/>
          <w:szCs w:val="28"/>
        </w:rPr>
        <w:t>）定期依计划进行土壤自行监测工作，分析监测结果及数据趋势，及时根据监测数据制定相应的制度措施。</w:t>
      </w:r>
    </w:p>
    <w:p>
      <w:pPr>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br w:type="page"/>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kern w:val="2"/>
          <w:sz w:val="28"/>
          <w:szCs w:val="28"/>
        </w:rPr>
        <w:sectPr>
          <w:headerReference r:id="rId5" w:type="default"/>
          <w:footerReference r:id="rId6" w:type="default"/>
          <w:pgSz w:w="11905" w:h="16838"/>
          <w:pgMar w:top="1701" w:right="1587" w:bottom="1701" w:left="1587" w:header="1077" w:footer="1134" w:gutter="0"/>
          <w:pgBorders>
            <w:top w:val="none" w:sz="0" w:space="0"/>
            <w:left w:val="none" w:sz="0" w:space="0"/>
            <w:bottom w:val="none" w:sz="0" w:space="0"/>
            <w:right w:val="none" w:sz="0" w:space="0"/>
          </w:pgBorders>
          <w:pgNumType w:fmt="decimal" w:start="1"/>
          <w:cols w:space="0" w:num="1"/>
          <w:rtlGutter w:val="0"/>
          <w:docGrid w:type="lines" w:linePitch="407" w:charSpace="0"/>
        </w:sect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5408" behindDoc="0" locked="0" layoutInCell="1" allowOverlap="1">
            <wp:simplePos x="0" y="0"/>
            <wp:positionH relativeFrom="column">
              <wp:posOffset>7477760</wp:posOffset>
            </wp:positionH>
            <wp:positionV relativeFrom="paragraph">
              <wp:posOffset>138430</wp:posOffset>
            </wp:positionV>
            <wp:extent cx="790575" cy="676275"/>
            <wp:effectExtent l="0" t="0" r="9525" b="9525"/>
            <wp:wrapNone/>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pic:cNvPicPr>
                  </pic:nvPicPr>
                  <pic:blipFill>
                    <a:blip r:embed="rId13"/>
                    <a:stretch>
                      <a:fillRect/>
                    </a:stretch>
                  </pic:blipFill>
                  <pic:spPr>
                    <a:xfrm>
                      <a:off x="0" y="0"/>
                      <a:ext cx="790575" cy="676275"/>
                    </a:xfrm>
                    <a:prstGeom prst="rect">
                      <a:avLst/>
                    </a:prstGeom>
                    <a:noFill/>
                    <a:ln>
                      <a:noFill/>
                    </a:ln>
                  </pic:spPr>
                </pic:pic>
              </a:graphicData>
            </a:graphic>
          </wp:anchor>
        </w:drawing>
      </w:r>
      <w:r>
        <w:rPr>
          <w:rFonts w:hint="eastAsia" w:ascii="宋体" w:hAnsi="宋体" w:eastAsia="宋体" w:cs="宋体"/>
          <w:color w:val="auto"/>
          <w:highlight w:val="none"/>
        </w:rPr>
        <w:drawing>
          <wp:anchor distT="0" distB="0" distL="114300" distR="114300" simplePos="0" relativeHeight="251662336" behindDoc="0" locked="0" layoutInCell="1" allowOverlap="1">
            <wp:simplePos x="0" y="0"/>
            <wp:positionH relativeFrom="column">
              <wp:posOffset>-52705</wp:posOffset>
            </wp:positionH>
            <wp:positionV relativeFrom="paragraph">
              <wp:posOffset>66675</wp:posOffset>
            </wp:positionV>
            <wp:extent cx="8758555" cy="4846955"/>
            <wp:effectExtent l="25400" t="25400" r="29845" b="29845"/>
            <wp:wrapNone/>
            <wp:docPr id="20" name="图片 1" descr="C:\Documents and Settings\Administrator\桌面\陕县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Documents and Settings\Administrator\桌面\陕县行政区划图.jpg"/>
                    <pic:cNvPicPr>
                      <a:picLocks noChangeAspect="1"/>
                    </pic:cNvPicPr>
                  </pic:nvPicPr>
                  <pic:blipFill>
                    <a:blip r:embed="rId14"/>
                    <a:stretch>
                      <a:fillRect/>
                    </a:stretch>
                  </pic:blipFill>
                  <pic:spPr>
                    <a:xfrm>
                      <a:off x="0" y="0"/>
                      <a:ext cx="8758555" cy="4846955"/>
                    </a:xfrm>
                    <a:prstGeom prst="rect">
                      <a:avLst/>
                    </a:prstGeom>
                    <a:noFill/>
                    <a:ln w="25400" cap="flat" cmpd="sng">
                      <a:solidFill>
                        <a:srgbClr val="000000"/>
                      </a:solidFill>
                      <a:prstDash val="solid"/>
                      <a:miter/>
                      <a:headEnd type="none" w="med" len="med"/>
                      <a:tailEnd type="none" w="med" len="med"/>
                    </a:ln>
                  </pic:spPr>
                </pic:pic>
              </a:graphicData>
            </a:graphic>
          </wp:anchor>
        </w:drawing>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7002780</wp:posOffset>
                </wp:positionH>
                <wp:positionV relativeFrom="paragraph">
                  <wp:posOffset>221615</wp:posOffset>
                </wp:positionV>
                <wp:extent cx="1211580" cy="556260"/>
                <wp:effectExtent l="796290" t="1075690" r="11430" b="6350"/>
                <wp:wrapNone/>
                <wp:docPr id="21" name="圆角矩形标注 21"/>
                <wp:cNvGraphicFramePr/>
                <a:graphic xmlns:a="http://schemas.openxmlformats.org/drawingml/2006/main">
                  <a:graphicData uri="http://schemas.microsoft.com/office/word/2010/wordprocessingShape">
                    <wps:wsp>
                      <wps:cNvSpPr/>
                      <wps:spPr>
                        <a:xfrm>
                          <a:off x="0" y="0"/>
                          <a:ext cx="1211580" cy="556260"/>
                        </a:xfrm>
                        <a:prstGeom prst="wedgeRoundRectCallout">
                          <a:avLst>
                            <a:gd name="adj1" fmla="val -113292"/>
                            <a:gd name="adj2" fmla="val -238435"/>
                            <a:gd name="adj3" fmla="val 16667"/>
                          </a:avLst>
                        </a:prstGeom>
                        <a:solidFill>
                          <a:srgbClr val="FFFFFF"/>
                        </a:solidFill>
                        <a:ln w="9525" cap="flat" cmpd="sng">
                          <a:solidFill>
                            <a:srgbClr val="FF00FF"/>
                          </a:solidFill>
                          <a:prstDash val="solid"/>
                          <a:miter/>
                          <a:headEnd type="none" w="med" len="med"/>
                          <a:tailEnd type="none" w="med" len="med"/>
                        </a:ln>
                      </wps:spPr>
                      <wps:txbx>
                        <w:txbxContent>
                          <w:p>
                            <w:pPr>
                              <w:ind w:left="0" w:leftChars="0" w:firstLine="0" w:firstLineChars="0"/>
                              <w:rPr>
                                <w:b/>
                                <w:bCs/>
                                <w:color w:val="002060"/>
                              </w:rPr>
                            </w:pPr>
                            <w:r>
                              <w:rPr>
                                <w:rFonts w:hint="eastAsia" w:cs="宋体"/>
                                <w:b/>
                                <w:bCs/>
                                <w:color w:val="002060"/>
                              </w:rPr>
                              <w:t>本项目厂址</w:t>
                            </w:r>
                          </w:p>
                        </w:txbxContent>
                      </wps:txbx>
                      <wps:bodyPr upright="1"/>
                    </wps:wsp>
                  </a:graphicData>
                </a:graphic>
              </wp:anchor>
            </w:drawing>
          </mc:Choice>
          <mc:Fallback>
            <w:pict>
              <v:shape id="_x0000_s1026" o:spid="_x0000_s1026" o:spt="62" type="#_x0000_t62" style="position:absolute;left:0pt;margin-left:551.4pt;margin-top:17.45pt;height:43.8pt;width:95.4pt;z-index:251664384;mso-width-relative:page;mso-height-relative:page;" fillcolor="#FFFFFF" filled="t" stroked="t" coordsize="21600,21600" o:gfxdata="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O4oXbaAAAA&#10;DAEAAA8AAAAAAAAAAQAgAAAAIgAAAGRycy9kb3ducmV2LnhtbFBLAQIUABQAAAAIAIdO4kCerv87&#10;VAIAAMEEAAAOAAAAAAAAAAEAIAAAACkBAABkcnMvZTJvRG9jLnhtbFBLBQYAAAAABgAGAFkBAADv&#10;BQAAAAA=&#10;" adj="-13671,-40702,14400">
                <v:fill on="t" focussize="0,0"/>
                <v:stroke color="#FF00FF" joinstyle="miter"/>
                <v:imagedata o:title=""/>
                <o:lock v:ext="edit" aspectratio="f"/>
                <v:textbox>
                  <w:txbxContent>
                    <w:p>
                      <w:pPr>
                        <w:ind w:left="0" w:leftChars="0" w:firstLine="0" w:firstLineChars="0"/>
                        <w:rPr>
                          <w:b/>
                          <w:bCs/>
                          <w:color w:val="002060"/>
                        </w:rPr>
                      </w:pPr>
                      <w:r>
                        <w:rPr>
                          <w:rFonts w:hint="eastAsia" w:cs="宋体"/>
                          <w:b/>
                          <w:bCs/>
                          <w:color w:val="002060"/>
                        </w:rPr>
                        <w:t>本项目厂址</w:t>
                      </w:r>
                    </w:p>
                  </w:txbxContent>
                </v:textbox>
              </v:shape>
            </w:pict>
          </mc:Fallback>
        </mc:AlternateContent>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1312" behindDoc="0" locked="0" layoutInCell="1" allowOverlap="1">
            <wp:simplePos x="0" y="0"/>
            <wp:positionH relativeFrom="column">
              <wp:posOffset>7525385</wp:posOffset>
            </wp:positionH>
            <wp:positionV relativeFrom="paragraph">
              <wp:posOffset>-2945130</wp:posOffset>
            </wp:positionV>
            <wp:extent cx="790575" cy="676275"/>
            <wp:effectExtent l="0" t="0" r="9525" b="9525"/>
            <wp:wrapNone/>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pic:cNvPicPr>
                      <a:picLocks noChangeAspect="1"/>
                    </pic:cNvPicPr>
                  </pic:nvPicPr>
                  <pic:blipFill>
                    <a:blip r:embed="rId13"/>
                    <a:stretch>
                      <a:fillRect/>
                    </a:stretch>
                  </pic:blipFill>
                  <pic:spPr>
                    <a:xfrm>
                      <a:off x="0" y="0"/>
                      <a:ext cx="790575" cy="676275"/>
                    </a:xfrm>
                    <a:prstGeom prst="rect">
                      <a:avLst/>
                    </a:prstGeom>
                    <a:noFill/>
                    <a:ln>
                      <a:noFill/>
                    </a:ln>
                  </pic:spPr>
                </pic:pic>
              </a:graphicData>
            </a:graphic>
          </wp:anchor>
        </w:drawing>
      </w:r>
    </w:p>
    <w:p>
      <w:pPr>
        <w:pageBreakBefore w:val="0"/>
        <w:kinsoku/>
        <w:wordWrap/>
        <w:overflowPunct/>
        <w:topLinePunct w:val="0"/>
        <w:bidi w:val="0"/>
        <w:spacing w:line="240" w:lineRule="auto"/>
        <w:ind w:right="0"/>
        <w:jc w:val="center"/>
        <w:outlineLvl w:val="0"/>
        <w:rPr>
          <w:rFonts w:hint="default" w:ascii="宋体" w:hAnsi="宋体" w:eastAsia="宋体" w:cs="宋体"/>
          <w:b/>
          <w:bCs/>
          <w:color w:val="auto"/>
          <w:sz w:val="24"/>
          <w:szCs w:val="32"/>
          <w:highlight w:val="none"/>
          <w:u w:val="none"/>
          <w:lang w:val="en-US" w:eastAsia="zh-CN"/>
        </w:rPr>
      </w:pPr>
      <w:bookmarkStart w:id="302" w:name="_Toc16182"/>
      <w:bookmarkStart w:id="303" w:name="_Toc29097"/>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图1 企业地理位置图</w:t>
      </w:r>
      <w:bookmarkEnd w:id="302"/>
    </w:p>
    <w:p>
      <w:pPr>
        <w:pStyle w:val="2"/>
        <w:ind w:left="0" w:leftChars="0" w:firstLine="0" w:firstLineChars="0"/>
        <w:rPr>
          <w:rFonts w:hint="eastAsia"/>
        </w:rPr>
        <w:sectPr>
          <w:pgSz w:w="16838" w:h="11905" w:orient="landscape"/>
          <w:pgMar w:top="1587" w:right="1701" w:bottom="1587" w:left="1701"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88990" cy="7982585"/>
            <wp:effectExtent l="0" t="0" r="381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5"/>
                    <a:stretch>
                      <a:fillRect/>
                    </a:stretch>
                  </pic:blipFill>
                  <pic:spPr>
                    <a:xfrm>
                      <a:off x="0" y="0"/>
                      <a:ext cx="5888990" cy="7982585"/>
                    </a:xfrm>
                    <a:prstGeom prst="rect">
                      <a:avLst/>
                    </a:prstGeom>
                    <a:noFill/>
                    <a:ln>
                      <a:noFill/>
                    </a:ln>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bookmarkStart w:id="304" w:name="_Toc28566"/>
      <w:bookmarkStart w:id="305" w:name="_Toc2949"/>
      <w:bookmarkStart w:id="306" w:name="_Toc2669"/>
      <w:bookmarkStart w:id="307" w:name="_Toc20354"/>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图2三门峡市土壤污染类型</w:t>
      </w:r>
      <w:bookmarkEnd w:id="304"/>
      <w:bookmarkEnd w:id="305"/>
      <w:bookmarkEnd w:id="306"/>
      <w:bookmarkEnd w:id="307"/>
    </w:p>
    <w:p>
      <w:pP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br w:type="page"/>
      </w: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bookmarkStart w:id="308" w:name="_Toc25551"/>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pPr>
      <w:r>
        <w:rPr>
          <w:rFonts w:hint="eastAsia" w:ascii="宋体" w:hAnsi="宋体" w:eastAsia="宋体" w:cs="宋体"/>
          <w:b w:val="0"/>
          <w:bCs w:val="0"/>
          <w:color w:val="auto"/>
          <w:highlight w:val="none"/>
          <w:u w:val="none"/>
          <w:lang w:val="en-US" w:eastAsia="zh-CN"/>
        </w:rPr>
        <w:drawing>
          <wp:inline distT="0" distB="0" distL="114300" distR="114300">
            <wp:extent cx="6703060" cy="8107680"/>
            <wp:effectExtent l="0" t="0" r="2540" b="7620"/>
            <wp:docPr id="3" name="图片 3" descr="02-昊昱土壤监测方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昊昱土壤监测方案_02"/>
                    <pic:cNvPicPr>
                      <a:picLocks noChangeAspect="1"/>
                    </pic:cNvPicPr>
                  </pic:nvPicPr>
                  <pic:blipFill>
                    <a:blip r:embed="rId16"/>
                    <a:stretch>
                      <a:fillRect/>
                    </a:stretch>
                  </pic:blipFill>
                  <pic:spPr>
                    <a:xfrm>
                      <a:off x="0" y="0"/>
                      <a:ext cx="6703060" cy="8107680"/>
                    </a:xfrm>
                    <a:prstGeom prst="rect">
                      <a:avLst/>
                    </a:prstGeom>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val="0"/>
          <w:bCs w:val="0"/>
          <w:color w:val="auto"/>
          <w:sz w:val="24"/>
          <w:szCs w:val="32"/>
          <w:highlight w:val="none"/>
          <w:u w:val="none"/>
          <w:lang w:val="en-US" w:eastAsia="zh-CN"/>
        </w:rPr>
      </w:pPr>
      <w:bookmarkStart w:id="309" w:name="_Toc30597"/>
      <w:bookmarkStart w:id="310" w:name="_Toc16389"/>
      <w:bookmarkStart w:id="311" w:name="_Toc10354"/>
      <w:r>
        <w:rPr>
          <w:rFonts w:hint="eastAsia" w:ascii="宋体" w:hAnsi="宋体" w:eastAsia="宋体" w:cs="宋体"/>
          <w:b/>
          <w:bCs/>
          <w:color w:val="auto"/>
          <w:sz w:val="24"/>
          <w:szCs w:val="32"/>
          <w:highlight w:val="none"/>
          <w:u w:val="none"/>
          <w:lang w:val="en-US" w:eastAsia="zh-CN"/>
        </w:rPr>
        <w:t>附图3平面布置及监测点位图</w:t>
      </w:r>
      <w:bookmarkEnd w:id="308"/>
      <w:bookmarkEnd w:id="309"/>
      <w:bookmarkEnd w:id="310"/>
      <w:bookmarkEnd w:id="311"/>
    </w:p>
    <w:bookmarkEnd w:id="303"/>
    <w:p>
      <w:pPr>
        <w:pStyle w:val="7"/>
        <w:pageBreakBefore w:val="0"/>
        <w:numPr>
          <w:ilvl w:val="1"/>
          <w:numId w:val="0"/>
        </w:numPr>
        <w:kinsoku/>
        <w:wordWrap/>
        <w:overflowPunct/>
        <w:topLinePunct w:val="0"/>
        <w:bidi w:val="0"/>
        <w:spacing w:before="0" w:after="0" w:line="240" w:lineRule="auto"/>
        <w:ind w:left="0" w:leftChars="0" w:right="0"/>
        <w:jc w:val="both"/>
        <w:outlineLvl w:val="9"/>
        <w:rPr>
          <w:rFonts w:hint="eastAsia" w:ascii="宋体" w:hAnsi="宋体" w:eastAsia="宋体" w:cs="宋体"/>
          <w:b/>
          <w:bCs/>
          <w:color w:val="auto"/>
          <w:highlight w:val="none"/>
          <w:u w:val="none"/>
          <w:lang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bookmarkEnd w:id="150"/>
    <w:bookmarkEnd w:id="151"/>
    <w:bookmarkEnd w:id="152"/>
    <w:bookmarkEnd w:id="153"/>
    <w:bookmarkEnd w:id="154"/>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2" w:hRule="atLeast"/>
        </w:trPr>
        <w:tc>
          <w:tcPr>
            <w:tcW w:w="4473"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66432" behindDoc="1" locked="0" layoutInCell="1" allowOverlap="1">
                  <wp:simplePos x="0" y="0"/>
                  <wp:positionH relativeFrom="column">
                    <wp:posOffset>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1" name="图片 1" descr="858cfef2feb6f58c95e7693a3ac3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8cfef2feb6f58c95e7693a3ac30b4"/>
                          <pic:cNvPicPr>
                            <a:picLocks noChangeAspect="1"/>
                          </pic:cNvPicPr>
                        </pic:nvPicPr>
                        <pic:blipFill>
                          <a:blip r:embed="rId17"/>
                          <a:stretch>
                            <a:fillRect/>
                          </a:stretch>
                        </pic:blipFill>
                        <pic:spPr>
                          <a:xfrm>
                            <a:off x="0" y="0"/>
                            <a:ext cx="2694305" cy="3566160"/>
                          </a:xfrm>
                          <a:prstGeom prst="rect">
                            <a:avLst/>
                          </a:prstGeom>
                        </pic:spPr>
                      </pic:pic>
                    </a:graphicData>
                  </a:graphic>
                </wp:anchor>
              </w:drawing>
            </w:r>
          </w:p>
        </w:tc>
        <w:tc>
          <w:tcPr>
            <w:tcW w:w="4474"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67456" behindDoc="1" locked="0" layoutInCell="1" allowOverlap="1">
                  <wp:simplePos x="0" y="0"/>
                  <wp:positionH relativeFrom="column">
                    <wp:posOffset>-1270</wp:posOffset>
                  </wp:positionH>
                  <wp:positionV relativeFrom="paragraph">
                    <wp:posOffset>-3296920</wp:posOffset>
                  </wp:positionV>
                  <wp:extent cx="2694305" cy="3566160"/>
                  <wp:effectExtent l="0" t="0" r="10795" b="15240"/>
                  <wp:wrapTight wrapText="bothSides">
                    <wp:wrapPolygon>
                      <wp:start x="0" y="0"/>
                      <wp:lineTo x="0" y="21462"/>
                      <wp:lineTo x="21381" y="21462"/>
                      <wp:lineTo x="21381" y="0"/>
                      <wp:lineTo x="0" y="0"/>
                    </wp:wrapPolygon>
                  </wp:wrapTight>
                  <wp:docPr id="2" name="图片 2" descr="e954dd4d7c7129609ce469a62992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54dd4d7c7129609ce469a62992b1e"/>
                          <pic:cNvPicPr>
                            <a:picLocks noChangeAspect="1"/>
                          </pic:cNvPicPr>
                        </pic:nvPicPr>
                        <pic:blipFill>
                          <a:blip r:embed="rId18"/>
                          <a:stretch>
                            <a:fillRect/>
                          </a:stretch>
                        </pic:blipFill>
                        <pic:spPr>
                          <a:xfrm>
                            <a:off x="0" y="0"/>
                            <a:ext cx="2694305" cy="3566160"/>
                          </a:xfrm>
                          <a:prstGeom prst="rect">
                            <a:avLst/>
                          </a:prstGeom>
                        </pic:spPr>
                      </pic:pic>
                    </a:graphicData>
                  </a:graphic>
                </wp:anchor>
              </w:drawing>
            </w:r>
          </w:p>
        </w:tc>
      </w:tr>
    </w:tbl>
    <w:p>
      <w:pPr>
        <w:pStyle w:val="7"/>
        <w:jc w:val="center"/>
        <w:rPr>
          <w:rFonts w:hint="eastAsia" w:ascii="宋体" w:hAnsi="宋体" w:eastAsia="宋体" w:cs="宋体"/>
          <w:color w:val="auto"/>
          <w:sz w:val="24"/>
          <w:szCs w:val="24"/>
          <w:highlight w:val="none"/>
        </w:rPr>
        <w:sectPr>
          <w:footerReference r:id="rId7" w:type="default"/>
          <w:pgSz w:w="11905" w:h="16838"/>
          <w:pgMar w:top="1701" w:right="1587" w:bottom="1701" w:left="1587" w:header="1077" w:footer="1134" w:gutter="0"/>
          <w:pgNumType w:fmt="decimal"/>
          <w:cols w:space="0" w:num="1"/>
          <w:rtlGutter w:val="0"/>
          <w:docGrid w:type="lines" w:linePitch="415" w:charSpace="0"/>
        </w:sectPr>
      </w:pPr>
      <w:bookmarkStart w:id="312" w:name="_Toc27863"/>
      <w:r>
        <w:rPr>
          <w:rFonts w:hint="eastAsia" w:ascii="宋体" w:hAnsi="宋体" w:eastAsia="宋体" w:cs="宋体"/>
          <w:color w:val="auto"/>
          <w:sz w:val="24"/>
          <w:szCs w:val="24"/>
          <w:highlight w:val="none"/>
          <w:lang w:val="zh-CN" w:eastAsia="zh-CN"/>
        </w:rPr>
        <w:t>附图</w:t>
      </w:r>
      <w:r>
        <w:rPr>
          <w:rFonts w:hint="eastAsia"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zh-CN" w:eastAsia="zh-CN"/>
        </w:rPr>
        <w:t>现场采样照片</w:t>
      </w:r>
      <w:bookmarkEnd w:id="312"/>
    </w:p>
    <w:p>
      <w:pPr>
        <w:outlineLvl w:val="0"/>
        <w:rPr>
          <w:rFonts w:hint="eastAsia" w:ascii="宋体" w:hAnsi="宋体" w:eastAsia="宋体" w:cs="宋体"/>
          <w:b/>
          <w:bCs/>
          <w:sz w:val="24"/>
          <w:szCs w:val="32"/>
          <w:lang w:val="en-US" w:eastAsia="zh-CN"/>
        </w:rPr>
      </w:pPr>
      <w:bookmarkStart w:id="313" w:name="_Toc11257"/>
      <w:r>
        <w:rPr>
          <w:rFonts w:hint="eastAsia" w:ascii="宋体" w:hAnsi="宋体" w:eastAsia="宋体" w:cs="宋体"/>
          <w:b/>
          <w:bCs/>
          <w:sz w:val="24"/>
          <w:szCs w:val="32"/>
          <w:lang w:val="en-US" w:eastAsia="zh-CN"/>
        </w:rPr>
        <w:t>附件1 检测报告</w:t>
      </w:r>
      <w:bookmarkEnd w:id="313"/>
    </w:p>
    <w:p>
      <w:pPr>
        <w:spacing w:line="240" w:lineRule="auto"/>
        <w:ind w:left="0" w:leftChars="0" w:firstLine="0" w:firstLineChars="0"/>
        <w:rPr>
          <w:rFonts w:hint="eastAsia"/>
          <w:color w:val="auto"/>
          <w:highlight w:val="none"/>
          <w:lang w:val="en-US" w:eastAsia="zh-CN"/>
        </w:rPr>
      </w:pPr>
      <w:r>
        <w:rPr>
          <w:rFonts w:hint="eastAsia" w:ascii="宋体" w:hAnsi="宋体" w:eastAsia="宋体" w:cs="宋体"/>
          <w:b/>
          <w:bCs/>
          <w:color w:val="auto"/>
          <w:highlight w:val="none"/>
          <w:u w:val="none"/>
          <w:lang w:eastAsia="zh-CN"/>
        </w:rPr>
        <w:tab/>
      </w:r>
      <w:r>
        <w:rPr>
          <w:rFonts w:hint="eastAsia" w:ascii="宋体" w:hAnsi="宋体" w:eastAsia="宋体" w:cs="宋体"/>
          <w:b w:val="0"/>
          <w:bCs w:val="0"/>
          <w:color w:val="auto"/>
          <w:highlight w:val="none"/>
          <w:u w:val="none"/>
          <w:lang w:val="en-US" w:eastAsia="zh-CN"/>
        </w:rPr>
        <w:drawing>
          <wp:inline distT="0" distB="0" distL="114300" distR="114300">
            <wp:extent cx="5948680" cy="7677150"/>
            <wp:effectExtent l="0" t="0" r="7620" b="6350"/>
            <wp:docPr id="6" name="图片 6" descr="008-06-2023 三门峡十化昊昱化工有限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8-06-2023 三门峡十化昊昱化工有限公司_00"/>
                    <pic:cNvPicPr>
                      <a:picLocks noChangeAspect="1"/>
                    </pic:cNvPicPr>
                  </pic:nvPicPr>
                  <pic:blipFill>
                    <a:blip r:embed="rId19"/>
                    <a:stretch>
                      <a:fillRect/>
                    </a:stretch>
                  </pic:blipFill>
                  <pic:spPr>
                    <a:xfrm>
                      <a:off x="0" y="0"/>
                      <a:ext cx="5948680" cy="767715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04560" cy="8493760"/>
            <wp:effectExtent l="0" t="0" r="2540" b="2540"/>
            <wp:docPr id="8" name="图片 8" descr="008-06-2023 三门峡十化昊昱化工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8-06-2023 三门峡十化昊昱化工有限公司_01"/>
                    <pic:cNvPicPr>
                      <a:picLocks noChangeAspect="1"/>
                    </pic:cNvPicPr>
                  </pic:nvPicPr>
                  <pic:blipFill>
                    <a:blip r:embed="rId20"/>
                    <a:stretch>
                      <a:fillRect/>
                    </a:stretch>
                  </pic:blipFill>
                  <pic:spPr>
                    <a:xfrm>
                      <a:off x="0" y="0"/>
                      <a:ext cx="6004560" cy="849376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85840" cy="8608695"/>
            <wp:effectExtent l="0" t="0" r="10160" b="1905"/>
            <wp:docPr id="9" name="图片 9" descr="008-06-2023 三门峡十化昊昱化工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8-06-2023 三门峡十化昊昱化工有限公司_02"/>
                    <pic:cNvPicPr>
                      <a:picLocks noChangeAspect="1"/>
                    </pic:cNvPicPr>
                  </pic:nvPicPr>
                  <pic:blipFill>
                    <a:blip r:embed="rId21"/>
                    <a:stretch>
                      <a:fillRect/>
                    </a:stretch>
                  </pic:blipFill>
                  <pic:spPr>
                    <a:xfrm>
                      <a:off x="0" y="0"/>
                      <a:ext cx="6085840" cy="860869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58535" cy="8570595"/>
            <wp:effectExtent l="0" t="0" r="12065" b="1905"/>
            <wp:docPr id="10" name="图片 10" descr="008-06-2023 三门峡十化昊昱化工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8-06-2023 三门峡十化昊昱化工有限公司_03"/>
                    <pic:cNvPicPr>
                      <a:picLocks noChangeAspect="1"/>
                    </pic:cNvPicPr>
                  </pic:nvPicPr>
                  <pic:blipFill>
                    <a:blip r:embed="rId22"/>
                    <a:stretch>
                      <a:fillRect/>
                    </a:stretch>
                  </pic:blipFill>
                  <pic:spPr>
                    <a:xfrm>
                      <a:off x="0" y="0"/>
                      <a:ext cx="6058535" cy="857059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99175" cy="8627745"/>
            <wp:effectExtent l="0" t="0" r="9525" b="8255"/>
            <wp:docPr id="11" name="图片 11" descr="008-06-2023 三门峡十化昊昱化工有限公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8-06-2023 三门峡十化昊昱化工有限公司_04"/>
                    <pic:cNvPicPr>
                      <a:picLocks noChangeAspect="1"/>
                    </pic:cNvPicPr>
                  </pic:nvPicPr>
                  <pic:blipFill>
                    <a:blip r:embed="rId23"/>
                    <a:stretch>
                      <a:fillRect/>
                    </a:stretch>
                  </pic:blipFill>
                  <pic:spPr>
                    <a:xfrm>
                      <a:off x="0" y="0"/>
                      <a:ext cx="6099175" cy="862774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17895" cy="8512810"/>
            <wp:effectExtent l="0" t="0" r="1905" b="8890"/>
            <wp:docPr id="12" name="图片 12" descr="008-06-2023 三门峡十化昊昱化工有限公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8-06-2023 三门峡十化昊昱化工有限公司_05"/>
                    <pic:cNvPicPr>
                      <a:picLocks noChangeAspect="1"/>
                    </pic:cNvPicPr>
                  </pic:nvPicPr>
                  <pic:blipFill>
                    <a:blip r:embed="rId24"/>
                    <a:stretch>
                      <a:fillRect/>
                    </a:stretch>
                  </pic:blipFill>
                  <pic:spPr>
                    <a:xfrm>
                      <a:off x="0" y="0"/>
                      <a:ext cx="6017895" cy="8512810"/>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072505" cy="8589645"/>
            <wp:effectExtent l="0" t="0" r="10795" b="8255"/>
            <wp:docPr id="13" name="图片 13" descr="008-06-2023 三门峡十化昊昱化工有限公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8-06-2023 三门峡十化昊昱化工有限公司_06"/>
                    <pic:cNvPicPr>
                      <a:picLocks noChangeAspect="1"/>
                    </pic:cNvPicPr>
                  </pic:nvPicPr>
                  <pic:blipFill>
                    <a:blip r:embed="rId25"/>
                    <a:stretch>
                      <a:fillRect/>
                    </a:stretch>
                  </pic:blipFill>
                  <pic:spPr>
                    <a:xfrm>
                      <a:off x="0" y="0"/>
                      <a:ext cx="6072505" cy="8589645"/>
                    </a:xfrm>
                    <a:prstGeom prst="rect">
                      <a:avLst/>
                    </a:prstGeom>
                  </pic:spPr>
                </pic:pic>
              </a:graphicData>
            </a:graphic>
          </wp:inline>
        </w:drawing>
      </w:r>
      <w:r>
        <w:rPr>
          <w:rFonts w:hint="eastAsia" w:ascii="宋体" w:hAnsi="宋体" w:eastAsia="宋体" w:cs="宋体"/>
          <w:b w:val="0"/>
          <w:bCs w:val="0"/>
          <w:color w:val="auto"/>
          <w:highlight w:val="none"/>
          <w:u w:val="none"/>
          <w:lang w:val="en-US" w:eastAsia="zh-CN"/>
        </w:rPr>
        <w:drawing>
          <wp:inline distT="0" distB="0" distL="114300" distR="114300">
            <wp:extent cx="6112510" cy="8646795"/>
            <wp:effectExtent l="0" t="0" r="8890" b="1905"/>
            <wp:docPr id="14" name="图片 14" descr="008-06-2023 三门峡十化昊昱化工有限公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8-06-2023 三门峡十化昊昱化工有限公司_07"/>
                    <pic:cNvPicPr>
                      <a:picLocks noChangeAspect="1"/>
                    </pic:cNvPicPr>
                  </pic:nvPicPr>
                  <pic:blipFill>
                    <a:blip r:embed="rId26"/>
                    <a:stretch>
                      <a:fillRect/>
                    </a:stretch>
                  </pic:blipFill>
                  <pic:spPr>
                    <a:xfrm>
                      <a:off x="0" y="0"/>
                      <a:ext cx="6112510" cy="8646795"/>
                    </a:xfrm>
                    <a:prstGeom prst="rect">
                      <a:avLst/>
                    </a:prstGeom>
                  </pic:spPr>
                </pic:pic>
              </a:graphicData>
            </a:graphic>
          </wp:inline>
        </w:drawing>
      </w:r>
    </w:p>
    <w:p>
      <w:pPr>
        <w:outlineLvl w:val="0"/>
        <w:rPr>
          <w:rFonts w:hint="eastAsia" w:ascii="宋体" w:hAnsi="宋体" w:eastAsia="宋体" w:cs="宋体"/>
          <w:b/>
          <w:bCs/>
          <w:sz w:val="24"/>
          <w:szCs w:val="32"/>
          <w:lang w:val="en-US" w:eastAsia="zh-CN"/>
        </w:rPr>
      </w:pPr>
      <w:bookmarkStart w:id="314" w:name="_Toc7127"/>
      <w:bookmarkStart w:id="315" w:name="_Toc28715"/>
      <w:bookmarkStart w:id="316" w:name="_Toc32055"/>
      <w:bookmarkStart w:id="317" w:name="_Toc17589"/>
      <w:bookmarkStart w:id="318" w:name="_Toc12788"/>
      <w:r>
        <w:rPr>
          <w:rFonts w:hint="eastAsia" w:ascii="宋体" w:hAnsi="宋体" w:eastAsia="宋体" w:cs="宋体"/>
          <w:b/>
          <w:bCs/>
          <w:sz w:val="24"/>
          <w:szCs w:val="32"/>
          <w:lang w:val="en-US" w:eastAsia="zh-CN"/>
        </w:rPr>
        <w:t>附件2 检测资质证书、附表</w:t>
      </w:r>
      <w:bookmarkEnd w:id="314"/>
      <w:bookmarkEnd w:id="315"/>
    </w:p>
    <w:p>
      <w:pPr>
        <w:rPr>
          <w:rFonts w:hint="eastAsia" w:ascii="宋体" w:hAnsi="宋体" w:eastAsia="宋体" w:cs="宋体"/>
          <w:sz w:val="21"/>
        </w:rPr>
      </w:pPr>
      <w:r>
        <w:rPr>
          <w:rFonts w:hint="eastAsia" w:ascii="宋体" w:hAnsi="宋体" w:eastAsia="宋体" w:cs="宋体"/>
          <w:sz w:val="21"/>
        </w:rPr>
        <w:drawing>
          <wp:inline distT="0" distB="0" distL="114300" distR="114300">
            <wp:extent cx="5758815" cy="7449185"/>
            <wp:effectExtent l="0" t="0" r="6985" b="5715"/>
            <wp:docPr id="55" name="图片 55" descr="资质附表--达峰检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资质附表--达峰检测(1)_00"/>
                    <pic:cNvPicPr>
                      <a:picLocks noChangeAspect="1"/>
                    </pic:cNvPicPr>
                  </pic:nvPicPr>
                  <pic:blipFill>
                    <a:blip r:embed="rId27"/>
                    <a:stretch>
                      <a:fillRect/>
                    </a:stretch>
                  </pic:blipFill>
                  <pic:spPr>
                    <a:xfrm>
                      <a:off x="0" y="0"/>
                      <a:ext cx="5758815" cy="744918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9140"/>
            <wp:effectExtent l="0" t="0" r="10160" b="10160"/>
            <wp:docPr id="54" name="图片 54" descr="资质附表--达峰检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资质附表--达峰检测(1)_01"/>
                    <pic:cNvPicPr>
                      <a:picLocks noChangeAspect="1"/>
                    </pic:cNvPicPr>
                  </pic:nvPicPr>
                  <pic:blipFill>
                    <a:blip r:embed="rId28"/>
                    <a:stretch>
                      <a:fillRect/>
                    </a:stretch>
                  </pic:blipFill>
                  <pic:spPr>
                    <a:xfrm>
                      <a:off x="0" y="0"/>
                      <a:ext cx="5908040" cy="8359140"/>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3" name="图片 53" descr="资质附表--达峰检测(1)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资质附表--达峰检测(1)_43"/>
                    <pic:cNvPicPr>
                      <a:picLocks noChangeAspect="1"/>
                    </pic:cNvPicPr>
                  </pic:nvPicPr>
                  <pic:blipFill>
                    <a:blip r:embed="rId29"/>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2" name="图片 52" descr="资质附表--达峰检测(1)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资质附表--达峰检测(1)_44"/>
                    <pic:cNvPicPr>
                      <a:picLocks noChangeAspect="1"/>
                    </pic:cNvPicPr>
                  </pic:nvPicPr>
                  <pic:blipFill>
                    <a:blip r:embed="rId30"/>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922645" cy="8379460"/>
            <wp:effectExtent l="0" t="0" r="8255" b="2540"/>
            <wp:docPr id="51" name="图片 51" descr="资质附表--达峰检测(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质附表--达峰检测(1)_45"/>
                    <pic:cNvPicPr>
                      <a:picLocks noChangeAspect="1"/>
                    </pic:cNvPicPr>
                  </pic:nvPicPr>
                  <pic:blipFill>
                    <a:blip r:embed="rId31"/>
                    <a:stretch>
                      <a:fillRect/>
                    </a:stretch>
                  </pic:blipFill>
                  <pic:spPr>
                    <a:xfrm>
                      <a:off x="0" y="0"/>
                      <a:ext cx="5922645" cy="8379460"/>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50" name="图片 50" descr="资质附表--达峰检测(1)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质附表--达峰检测(1)_46"/>
                    <pic:cNvPicPr>
                      <a:picLocks noChangeAspect="1"/>
                    </pic:cNvPicPr>
                  </pic:nvPicPr>
                  <pic:blipFill>
                    <a:blip r:embed="rId32"/>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892800" cy="8337550"/>
            <wp:effectExtent l="0" t="0" r="0" b="6350"/>
            <wp:docPr id="49" name="图片 49" descr="资质附表--达峰检测(1)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资质附表--达峰检测(1)_47"/>
                    <pic:cNvPicPr>
                      <a:picLocks noChangeAspect="1"/>
                    </pic:cNvPicPr>
                  </pic:nvPicPr>
                  <pic:blipFill>
                    <a:blip r:embed="rId33"/>
                    <a:stretch>
                      <a:fillRect/>
                    </a:stretch>
                  </pic:blipFill>
                  <pic:spPr>
                    <a:xfrm>
                      <a:off x="0" y="0"/>
                      <a:ext cx="5892800" cy="8337550"/>
                    </a:xfrm>
                    <a:prstGeom prst="rect">
                      <a:avLst/>
                    </a:prstGeom>
                  </pic:spPr>
                </pic:pic>
              </a:graphicData>
            </a:graphic>
          </wp:inline>
        </w:drawing>
      </w:r>
      <w:r>
        <w:rPr>
          <w:rFonts w:hint="eastAsia" w:ascii="宋体" w:hAnsi="宋体" w:eastAsia="宋体" w:cs="宋体"/>
          <w:sz w:val="21"/>
        </w:rPr>
        <w:drawing>
          <wp:inline distT="0" distB="0" distL="114300" distR="114300">
            <wp:extent cx="5728970" cy="8105140"/>
            <wp:effectExtent l="0" t="0" r="11430" b="10160"/>
            <wp:docPr id="48" name="图片 48" descr="资质附表--达峰检测(1)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资质附表--达峰检测(1)_48"/>
                    <pic:cNvPicPr>
                      <a:picLocks noChangeAspect="1"/>
                    </pic:cNvPicPr>
                  </pic:nvPicPr>
                  <pic:blipFill>
                    <a:blip r:embed="rId34"/>
                    <a:stretch>
                      <a:fillRect/>
                    </a:stretch>
                  </pic:blipFill>
                  <pic:spPr>
                    <a:xfrm>
                      <a:off x="0" y="0"/>
                      <a:ext cx="5728970" cy="8105140"/>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7" name="图片 47" descr="资质附表--达峰检测(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资质附表--达峰检测(1)_49"/>
                    <pic:cNvPicPr>
                      <a:picLocks noChangeAspect="1"/>
                    </pic:cNvPicPr>
                  </pic:nvPicPr>
                  <pic:blipFill>
                    <a:blip r:embed="rId35"/>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6" name="图片 46" descr="资质附表--达峰检测(1)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资质附表--达峰检测(1)_50"/>
                    <pic:cNvPicPr>
                      <a:picLocks noChangeAspect="1"/>
                    </pic:cNvPicPr>
                  </pic:nvPicPr>
                  <pic:blipFill>
                    <a:blip r:embed="rId36"/>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878195" cy="8316595"/>
            <wp:effectExtent l="0" t="0" r="1905" b="1905"/>
            <wp:docPr id="45" name="图片 45" descr="资质附表--达峰检测(1)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资质附表--达峰检测(1)_51"/>
                    <pic:cNvPicPr>
                      <a:picLocks noChangeAspect="1"/>
                    </pic:cNvPicPr>
                  </pic:nvPicPr>
                  <pic:blipFill>
                    <a:blip r:embed="rId37"/>
                    <a:stretch>
                      <a:fillRect/>
                    </a:stretch>
                  </pic:blipFill>
                  <pic:spPr>
                    <a:xfrm>
                      <a:off x="0" y="0"/>
                      <a:ext cx="5878195" cy="8316595"/>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4" name="图片 44" descr="资质附表--达峰检测(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资质附表--达峰检测(1)_52"/>
                    <pic:cNvPicPr>
                      <a:picLocks noChangeAspect="1"/>
                    </pic:cNvPicPr>
                  </pic:nvPicPr>
                  <pic:blipFill>
                    <a:blip r:embed="rId38"/>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3" name="图片 43" descr="资质附表--达峰检测(1)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质附表--达峰检测(1)_53"/>
                    <pic:cNvPicPr>
                      <a:picLocks noChangeAspect="1"/>
                    </pic:cNvPicPr>
                  </pic:nvPicPr>
                  <pic:blipFill>
                    <a:blip r:embed="rId39"/>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42" name="图片 42" descr="资质附表--达峰检测(1)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质附表--达峰检测(1)_54"/>
                    <pic:cNvPicPr>
                      <a:picLocks noChangeAspect="1"/>
                    </pic:cNvPicPr>
                  </pic:nvPicPr>
                  <pic:blipFill>
                    <a:blip r:embed="rId40"/>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953125" cy="8422640"/>
            <wp:effectExtent l="0" t="0" r="3175" b="10160"/>
            <wp:docPr id="41" name="图片 41" descr="资质附表--达峰检测(1)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质附表--达峰检测(1)_55"/>
                    <pic:cNvPicPr>
                      <a:picLocks noChangeAspect="1"/>
                    </pic:cNvPicPr>
                  </pic:nvPicPr>
                  <pic:blipFill>
                    <a:blip r:embed="rId41"/>
                    <a:stretch>
                      <a:fillRect/>
                    </a:stretch>
                  </pic:blipFill>
                  <pic:spPr>
                    <a:xfrm>
                      <a:off x="0" y="0"/>
                      <a:ext cx="5953125" cy="8422640"/>
                    </a:xfrm>
                    <a:prstGeom prst="rect">
                      <a:avLst/>
                    </a:prstGeom>
                  </pic:spPr>
                </pic:pic>
              </a:graphicData>
            </a:graphic>
          </wp:inline>
        </w:drawing>
      </w:r>
      <w:r>
        <w:rPr>
          <w:rFonts w:hint="eastAsia" w:ascii="宋体" w:hAnsi="宋体" w:eastAsia="宋体" w:cs="宋体"/>
          <w:sz w:val="21"/>
        </w:rPr>
        <w:drawing>
          <wp:inline distT="0" distB="0" distL="114300" distR="114300">
            <wp:extent cx="6012815" cy="8507095"/>
            <wp:effectExtent l="0" t="0" r="6985" b="1905"/>
            <wp:docPr id="40" name="图片 40" descr="资质附表--达峰检测(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质附表--达峰检测(1)_56"/>
                    <pic:cNvPicPr>
                      <a:picLocks noChangeAspect="1"/>
                    </pic:cNvPicPr>
                  </pic:nvPicPr>
                  <pic:blipFill>
                    <a:blip r:embed="rId42"/>
                    <a:stretch>
                      <a:fillRect/>
                    </a:stretch>
                  </pic:blipFill>
                  <pic:spPr>
                    <a:xfrm>
                      <a:off x="0" y="0"/>
                      <a:ext cx="6012815" cy="8507095"/>
                    </a:xfrm>
                    <a:prstGeom prst="rect">
                      <a:avLst/>
                    </a:prstGeom>
                  </pic:spPr>
                </pic:pic>
              </a:graphicData>
            </a:graphic>
          </wp:inline>
        </w:drawing>
      </w:r>
    </w:p>
    <w:bookmarkEnd w:id="316"/>
    <w:bookmarkEnd w:id="317"/>
    <w:bookmarkEnd w:id="318"/>
    <w:p>
      <w:pPr>
        <w:pStyle w:val="7"/>
        <w:pageBreakBefore w:val="0"/>
        <w:numPr>
          <w:ilvl w:val="1"/>
          <w:numId w:val="0"/>
        </w:numPr>
        <w:kinsoku/>
        <w:wordWrap/>
        <w:overflowPunct/>
        <w:topLinePunct w:val="0"/>
        <w:bidi w:val="0"/>
        <w:spacing w:before="0" w:after="0" w:line="360" w:lineRule="auto"/>
        <w:ind w:left="0" w:leftChars="0" w:right="0"/>
        <w:jc w:val="both"/>
        <w:outlineLvl w:val="0"/>
        <w:rPr>
          <w:rFonts w:hint="eastAsia" w:ascii="宋体" w:hAnsi="宋体" w:eastAsia="宋体" w:cs="宋体"/>
          <w:b/>
          <w:bCs/>
          <w:color w:val="auto"/>
          <w:sz w:val="28"/>
          <w:szCs w:val="28"/>
          <w:highlight w:val="none"/>
          <w:u w:val="none"/>
          <w:lang w:val="en-US" w:eastAsia="zh-CN"/>
        </w:rPr>
      </w:pPr>
      <w:bookmarkStart w:id="319" w:name="_Toc22358"/>
      <w:bookmarkStart w:id="320" w:name="_Toc3554"/>
      <w:r>
        <w:rPr>
          <w:rFonts w:hint="eastAsia" w:ascii="宋体" w:hAnsi="宋体" w:eastAsia="宋体" w:cs="宋体"/>
          <w:b/>
          <w:bCs/>
          <w:color w:val="auto"/>
          <w:sz w:val="28"/>
          <w:szCs w:val="28"/>
          <w:highlight w:val="none"/>
          <w:u w:val="none"/>
          <w:lang w:eastAsia="zh-CN"/>
        </w:rPr>
        <w:t>附件</w:t>
      </w:r>
      <w:r>
        <w:rPr>
          <w:rFonts w:hint="eastAsia" w:cs="宋体"/>
          <w:b/>
          <w:bCs/>
          <w:color w:val="auto"/>
          <w:sz w:val="28"/>
          <w:szCs w:val="28"/>
          <w:highlight w:val="none"/>
          <w:u w:val="none"/>
          <w:lang w:val="en-US" w:eastAsia="zh-CN"/>
        </w:rPr>
        <w:t>3</w:t>
      </w:r>
      <w:r>
        <w:rPr>
          <w:rFonts w:hint="eastAsia" w:ascii="宋体" w:hAnsi="宋体" w:eastAsia="宋体" w:cs="宋体"/>
          <w:b/>
          <w:bCs/>
          <w:color w:val="auto"/>
          <w:sz w:val="28"/>
          <w:szCs w:val="28"/>
          <w:highlight w:val="none"/>
          <w:u w:val="none"/>
          <w:lang w:val="en-US" w:eastAsia="zh-CN"/>
        </w:rPr>
        <w:t xml:space="preserve"> 岩土工程勘察报告（剖面图、钻孔柱状图）</w:t>
      </w:r>
      <w:bookmarkEnd w:id="319"/>
      <w:bookmarkEnd w:id="320"/>
    </w:p>
    <w:p>
      <w:pPr>
        <w:pStyle w:val="12"/>
        <w:ind w:left="0" w:leftChars="0" w:firstLine="0" w:firstLineChars="0"/>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577840" cy="7979410"/>
            <wp:effectExtent l="0" t="0" r="10160" b="8890"/>
            <wp:docPr id="32" name="图片 32" descr="5b728f13f34052d461656df6a13e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b728f13f34052d461656df6a13eb4e"/>
                    <pic:cNvPicPr>
                      <a:picLocks noChangeAspect="1"/>
                    </pic:cNvPicPr>
                  </pic:nvPicPr>
                  <pic:blipFill>
                    <a:blip r:embed="rId43"/>
                    <a:stretch>
                      <a:fillRect/>
                    </a:stretch>
                  </pic:blipFill>
                  <pic:spPr>
                    <a:xfrm>
                      <a:off x="0" y="0"/>
                      <a:ext cx="5577840" cy="7979410"/>
                    </a:xfrm>
                    <a:prstGeom prst="rect">
                      <a:avLst/>
                    </a:prstGeom>
                  </pic:spPr>
                </pic:pic>
              </a:graphicData>
            </a:graphic>
          </wp:inline>
        </w:drawing>
      </w:r>
    </w:p>
    <w:p>
      <w:pPr>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735955" cy="8422640"/>
            <wp:effectExtent l="0" t="0" r="4445" b="10160"/>
            <wp:docPr id="33" name="图片 33" descr="0c809f89875fd80bd25e45832443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c809f89875fd80bd25e458324434d4"/>
                    <pic:cNvPicPr>
                      <a:picLocks noChangeAspect="1"/>
                    </pic:cNvPicPr>
                  </pic:nvPicPr>
                  <pic:blipFill>
                    <a:blip r:embed="rId44"/>
                    <a:stretch>
                      <a:fillRect/>
                    </a:stretch>
                  </pic:blipFill>
                  <pic:spPr>
                    <a:xfrm>
                      <a:off x="0" y="0"/>
                      <a:ext cx="5735955" cy="8422640"/>
                    </a:xfrm>
                    <a:prstGeom prst="rect">
                      <a:avLst/>
                    </a:prstGeom>
                  </pic:spPr>
                </pic:pic>
              </a:graphicData>
            </a:graphic>
          </wp:inline>
        </w:drawing>
      </w:r>
    </w:p>
    <w:p>
      <w:pPr>
        <w:pStyle w:val="12"/>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5626100" cy="8422005"/>
            <wp:effectExtent l="0" t="0" r="0" b="10795"/>
            <wp:docPr id="15" name="图片 15" descr="9a6fe68ed23531a7f39cb768e29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a6fe68ed23531a7f39cb768e295125"/>
                    <pic:cNvPicPr>
                      <a:picLocks noChangeAspect="1"/>
                    </pic:cNvPicPr>
                  </pic:nvPicPr>
                  <pic:blipFill>
                    <a:blip r:embed="rId45"/>
                    <a:stretch>
                      <a:fillRect/>
                    </a:stretch>
                  </pic:blipFill>
                  <pic:spPr>
                    <a:xfrm>
                      <a:off x="0" y="0"/>
                      <a:ext cx="5626100" cy="8422005"/>
                    </a:xfrm>
                    <a:prstGeom prst="rect">
                      <a:avLst/>
                    </a:prstGeom>
                  </pic:spPr>
                </pic:pic>
              </a:graphicData>
            </a:graphic>
          </wp:inline>
        </w:drawing>
      </w:r>
    </w:p>
    <w:p>
      <w:pPr>
        <w:spacing w:line="24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6040120" cy="8417560"/>
            <wp:effectExtent l="0" t="0" r="5080" b="2540"/>
            <wp:docPr id="17" name="图片 17" descr="169372360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3723608663"/>
                    <pic:cNvPicPr>
                      <a:picLocks noChangeAspect="1"/>
                    </pic:cNvPicPr>
                  </pic:nvPicPr>
                  <pic:blipFill>
                    <a:blip r:embed="rId46"/>
                    <a:stretch>
                      <a:fillRect/>
                    </a:stretch>
                  </pic:blipFill>
                  <pic:spPr>
                    <a:xfrm>
                      <a:off x="0" y="0"/>
                      <a:ext cx="6040120" cy="8417560"/>
                    </a:xfrm>
                    <a:prstGeom prst="rect">
                      <a:avLst/>
                    </a:prstGeom>
                  </pic:spPr>
                </pic:pic>
              </a:graphicData>
            </a:graphic>
          </wp:inline>
        </w:drawing>
      </w:r>
    </w:p>
    <w:p>
      <w:pPr>
        <w:pStyle w:val="12"/>
        <w:ind w:left="0"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6047105" cy="8374380"/>
            <wp:effectExtent l="0" t="0" r="10795" b="7620"/>
            <wp:docPr id="18" name="图片 18" descr="e07e70fb5cc0302508c3c37922fd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07e70fb5cc0302508c3c37922fdf62"/>
                    <pic:cNvPicPr>
                      <a:picLocks noChangeAspect="1"/>
                    </pic:cNvPicPr>
                  </pic:nvPicPr>
                  <pic:blipFill>
                    <a:blip r:embed="rId47"/>
                    <a:stretch>
                      <a:fillRect/>
                    </a:stretch>
                  </pic:blipFill>
                  <pic:spPr>
                    <a:xfrm>
                      <a:off x="0" y="0"/>
                      <a:ext cx="6047105" cy="8374380"/>
                    </a:xfrm>
                    <a:prstGeom prst="rect">
                      <a:avLst/>
                    </a:prstGeom>
                  </pic:spPr>
                </pic:pic>
              </a:graphicData>
            </a:graphic>
          </wp:inline>
        </w:drawing>
      </w:r>
    </w:p>
    <w:p>
      <w:pPr>
        <w:ind w:left="0" w:leftChars="0" w:firstLine="0" w:firstLineChars="0"/>
        <w:rPr>
          <w:rFonts w:hint="eastAsia" w:ascii="宋体" w:hAnsi="宋体" w:eastAsia="宋体" w:cs="宋体"/>
          <w:color w:val="auto"/>
          <w:highlight w:val="none"/>
          <w:lang w:val="en-US"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p>
      <w:pPr>
        <w:pStyle w:val="12"/>
        <w:ind w:left="0" w:leftChars="0" w:firstLine="0" w:firstLineChars="0"/>
        <w:rPr>
          <w:rFonts w:hint="eastAsia" w:ascii="宋体" w:hAnsi="宋体" w:eastAsia="宋体" w:cs="宋体"/>
        </w:rPr>
      </w:pPr>
      <w:r>
        <w:rPr>
          <w:rFonts w:hint="eastAsia" w:ascii="宋体" w:hAnsi="宋体" w:eastAsia="宋体" w:cs="宋体"/>
          <w:color w:val="auto"/>
          <w:highlight w:val="none"/>
          <w:lang w:val="en-US" w:eastAsia="zh-CN"/>
        </w:rPr>
        <w:drawing>
          <wp:inline distT="0" distB="0" distL="114300" distR="114300">
            <wp:extent cx="8565515" cy="5467985"/>
            <wp:effectExtent l="0" t="0" r="6985" b="5715"/>
            <wp:docPr id="22" name="图片 22" descr="20953503cc9e6144a79bcc259287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953503cc9e6144a79bcc259287e51"/>
                    <pic:cNvPicPr>
                      <a:picLocks noChangeAspect="1"/>
                    </pic:cNvPicPr>
                  </pic:nvPicPr>
                  <pic:blipFill>
                    <a:blip r:embed="rId48"/>
                    <a:stretch>
                      <a:fillRect/>
                    </a:stretch>
                  </pic:blipFill>
                  <pic:spPr>
                    <a:xfrm>
                      <a:off x="0" y="0"/>
                      <a:ext cx="8565515" cy="5467985"/>
                    </a:xfrm>
                    <a:prstGeom prst="rect">
                      <a:avLst/>
                    </a:prstGeom>
                  </pic:spPr>
                </pic:pic>
              </a:graphicData>
            </a:graphic>
          </wp:inline>
        </w:drawing>
      </w:r>
    </w:p>
    <w:sectPr>
      <w:footerReference r:id="rId8" w:type="default"/>
      <w:pgSz w:w="16838" w:h="11905" w:orient="landscape"/>
      <w:pgMar w:top="1587" w:right="1701" w:bottom="1587" w:left="1701" w:header="1077" w:footer="1134" w:gutter="0"/>
      <w:pgNumType w:fmt="decimal"/>
      <w:cols w:space="0" w:num="1"/>
      <w:rtlGutter w:val="0"/>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2614"/>
        <w:tab w:val="clear" w:pos="4153"/>
      </w:tabs>
      <w:rPr>
        <w:rFonts w:ascii="Times New Roman" w:hAnsi="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Times New Roman" w:hAnsi="Times New Roman" w:eastAsia="宋体"/>
        <w:sz w:val="21"/>
        <w:szCs w:val="21"/>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idowControl w:val="0"/>
      <w:rPr>
        <w:rFonts w:ascii="Times New Roman" w:hAnsi="Times New Roman" w:eastAsia="Calibri" w:cs="Times New Roman"/>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7428A"/>
    <w:multiLevelType w:val="singleLevel"/>
    <w:tmpl w:val="9577428A"/>
    <w:lvl w:ilvl="0" w:tentative="0">
      <w:start w:val="1"/>
      <w:numFmt w:val="decimal"/>
      <w:suff w:val="nothing"/>
      <w:lvlText w:val="（%1）"/>
      <w:lvlJc w:val="left"/>
    </w:lvl>
  </w:abstractNum>
  <w:abstractNum w:abstractNumId="1">
    <w:nsid w:val="9B61FE74"/>
    <w:multiLevelType w:val="multilevel"/>
    <w:tmpl w:val="9B61FE74"/>
    <w:lvl w:ilvl="0" w:tentative="0">
      <w:start w:val="1"/>
      <w:numFmt w:val="chineseCountingThousand"/>
      <w:suff w:val="nothing"/>
      <w:lvlText w:val="第%1章"/>
      <w:lvlJc w:val="left"/>
      <w:pPr>
        <w:ind w:left="0" w:firstLine="0"/>
      </w:pPr>
      <w:rPr>
        <w:rFonts w:hint="eastAsia" w:ascii="黑体" w:hAnsi="黑体" w:eastAsia="黑体"/>
        <w:sz w:val="36"/>
        <w:szCs w:val="36"/>
      </w:rPr>
    </w:lvl>
    <w:lvl w:ilvl="1" w:tentative="0">
      <w:start w:val="1"/>
      <w:numFmt w:val="none"/>
      <w:pStyle w:val="8"/>
      <w:suff w:val="nothing"/>
      <w:lvlText w:val=""/>
      <w:lvlJc w:val="left"/>
      <w:pPr>
        <w:ind w:left="0" w:firstLine="0"/>
      </w:pPr>
      <w:rPr>
        <w:rFonts w:hint="eastAsia"/>
      </w:rPr>
    </w:lvl>
    <w:lvl w:ilvl="2" w:tentative="0">
      <w:start w:val="1"/>
      <w:numFmt w:val="none"/>
      <w:pStyle w:val="9"/>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C643824B"/>
    <w:multiLevelType w:val="singleLevel"/>
    <w:tmpl w:val="C643824B"/>
    <w:lvl w:ilvl="0" w:tentative="0">
      <w:start w:val="1"/>
      <w:numFmt w:val="decimal"/>
      <w:suff w:val="nothing"/>
      <w:lvlText w:val="%1）"/>
      <w:lvlJc w:val="left"/>
    </w:lvl>
  </w:abstractNum>
  <w:abstractNum w:abstractNumId="3">
    <w:nsid w:val="78FDED9E"/>
    <w:multiLevelType w:val="singleLevel"/>
    <w:tmpl w:val="78FDED9E"/>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20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zMmUwMzk4MWQ5MGEwNDk5NjRiOGY3OWZiMDkyMTMifQ=="/>
  </w:docVars>
  <w:rsids>
    <w:rsidRoot w:val="2CBF0C24"/>
    <w:rsid w:val="00D917F1"/>
    <w:rsid w:val="0158789D"/>
    <w:rsid w:val="01835AC3"/>
    <w:rsid w:val="0389073D"/>
    <w:rsid w:val="040C1C8D"/>
    <w:rsid w:val="0414147C"/>
    <w:rsid w:val="043203F2"/>
    <w:rsid w:val="054641E6"/>
    <w:rsid w:val="067F3540"/>
    <w:rsid w:val="070A6DCE"/>
    <w:rsid w:val="08AA5348"/>
    <w:rsid w:val="08D61583"/>
    <w:rsid w:val="0BD24B65"/>
    <w:rsid w:val="0C796AFD"/>
    <w:rsid w:val="0D452595"/>
    <w:rsid w:val="0DE06ABD"/>
    <w:rsid w:val="0DE501A0"/>
    <w:rsid w:val="0E94470F"/>
    <w:rsid w:val="0F727744"/>
    <w:rsid w:val="0FE97737"/>
    <w:rsid w:val="105E23FD"/>
    <w:rsid w:val="118F4385"/>
    <w:rsid w:val="130F48A2"/>
    <w:rsid w:val="138B21D5"/>
    <w:rsid w:val="13B92D06"/>
    <w:rsid w:val="163C62C4"/>
    <w:rsid w:val="19D62C82"/>
    <w:rsid w:val="19F35022"/>
    <w:rsid w:val="1EF94D20"/>
    <w:rsid w:val="1F83021C"/>
    <w:rsid w:val="20744BD1"/>
    <w:rsid w:val="20C64530"/>
    <w:rsid w:val="221145E9"/>
    <w:rsid w:val="22B62B59"/>
    <w:rsid w:val="240424FD"/>
    <w:rsid w:val="249D274B"/>
    <w:rsid w:val="25371AAD"/>
    <w:rsid w:val="25524FEF"/>
    <w:rsid w:val="266B78A6"/>
    <w:rsid w:val="27C052F3"/>
    <w:rsid w:val="28B15B83"/>
    <w:rsid w:val="29A70519"/>
    <w:rsid w:val="2A7F7171"/>
    <w:rsid w:val="2AFB4D84"/>
    <w:rsid w:val="2BEE03F9"/>
    <w:rsid w:val="2CBF0C24"/>
    <w:rsid w:val="2D2B6D65"/>
    <w:rsid w:val="2E255A7A"/>
    <w:rsid w:val="2E5834DA"/>
    <w:rsid w:val="308050E6"/>
    <w:rsid w:val="308C0468"/>
    <w:rsid w:val="31F84007"/>
    <w:rsid w:val="33BE302F"/>
    <w:rsid w:val="350C3522"/>
    <w:rsid w:val="35372AA8"/>
    <w:rsid w:val="364F191D"/>
    <w:rsid w:val="376C38F1"/>
    <w:rsid w:val="39201E84"/>
    <w:rsid w:val="39B25EC8"/>
    <w:rsid w:val="39E41F8A"/>
    <w:rsid w:val="3C6A39C6"/>
    <w:rsid w:val="3CD11D42"/>
    <w:rsid w:val="3F4F77DE"/>
    <w:rsid w:val="40FE2E20"/>
    <w:rsid w:val="41FA01FE"/>
    <w:rsid w:val="42EE4A55"/>
    <w:rsid w:val="44D3620E"/>
    <w:rsid w:val="44D4074E"/>
    <w:rsid w:val="45D43AD7"/>
    <w:rsid w:val="45F656FE"/>
    <w:rsid w:val="46150A6C"/>
    <w:rsid w:val="46542C1A"/>
    <w:rsid w:val="486706F8"/>
    <w:rsid w:val="4B42108B"/>
    <w:rsid w:val="4B7847A0"/>
    <w:rsid w:val="4BC43B9E"/>
    <w:rsid w:val="4C376BB6"/>
    <w:rsid w:val="4C697705"/>
    <w:rsid w:val="4CC8759D"/>
    <w:rsid w:val="4ED626AB"/>
    <w:rsid w:val="4F057870"/>
    <w:rsid w:val="50C36A0F"/>
    <w:rsid w:val="521E7F3D"/>
    <w:rsid w:val="53672943"/>
    <w:rsid w:val="55BF2AC6"/>
    <w:rsid w:val="56741F47"/>
    <w:rsid w:val="57A06022"/>
    <w:rsid w:val="57AC4467"/>
    <w:rsid w:val="593F1BE0"/>
    <w:rsid w:val="59E8707B"/>
    <w:rsid w:val="5A7E40BB"/>
    <w:rsid w:val="5BCD47FD"/>
    <w:rsid w:val="5BEC3A42"/>
    <w:rsid w:val="5CFB6221"/>
    <w:rsid w:val="5D945425"/>
    <w:rsid w:val="5DF9688E"/>
    <w:rsid w:val="5E560CAC"/>
    <w:rsid w:val="60BE3BB6"/>
    <w:rsid w:val="60ED2AF8"/>
    <w:rsid w:val="63BD3E92"/>
    <w:rsid w:val="646075D6"/>
    <w:rsid w:val="657E1006"/>
    <w:rsid w:val="6600417D"/>
    <w:rsid w:val="6716400D"/>
    <w:rsid w:val="68085260"/>
    <w:rsid w:val="69937E32"/>
    <w:rsid w:val="6A620361"/>
    <w:rsid w:val="6B621F16"/>
    <w:rsid w:val="6CD8710B"/>
    <w:rsid w:val="6CFF4B44"/>
    <w:rsid w:val="6F6142D7"/>
    <w:rsid w:val="70835662"/>
    <w:rsid w:val="71383CF0"/>
    <w:rsid w:val="722B6ABD"/>
    <w:rsid w:val="739A1C7A"/>
    <w:rsid w:val="748A60ED"/>
    <w:rsid w:val="7504535C"/>
    <w:rsid w:val="779D426C"/>
    <w:rsid w:val="789906C0"/>
    <w:rsid w:val="7A4A5A80"/>
    <w:rsid w:val="7B3459C8"/>
    <w:rsid w:val="7BF3413B"/>
    <w:rsid w:val="7C120DEF"/>
    <w:rsid w:val="7C2C6987"/>
    <w:rsid w:val="7C9D386E"/>
    <w:rsid w:val="7D367A9E"/>
    <w:rsid w:val="7D6733BC"/>
    <w:rsid w:val="7E093127"/>
    <w:rsid w:val="7E926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kern w:val="2"/>
      <w:sz w:val="21"/>
      <w:szCs w:val="24"/>
      <w:lang w:val="en-US" w:eastAsia="zh-CN" w:bidi="ar-SA"/>
    </w:rPr>
  </w:style>
  <w:style w:type="paragraph" w:styleId="7">
    <w:name w:val="heading 1"/>
    <w:basedOn w:val="1"/>
    <w:next w:val="1"/>
    <w:link w:val="46"/>
    <w:qFormat/>
    <w:uiPriority w:val="0"/>
    <w:pPr>
      <w:spacing w:line="520" w:lineRule="exact"/>
      <w:ind w:left="0" w:firstLine="0"/>
      <w:outlineLvl w:val="0"/>
    </w:pPr>
    <w:rPr>
      <w:rFonts w:ascii="宋体" w:hAnsi="宋体" w:eastAsia="宋体" w:cs="宋体"/>
      <w:b/>
      <w:bCs/>
      <w:sz w:val="32"/>
      <w:szCs w:val="32"/>
      <w:lang w:val="zh-CN" w:bidi="zh-CN"/>
    </w:rPr>
  </w:style>
  <w:style w:type="paragraph" w:styleId="8">
    <w:name w:val="heading 2"/>
    <w:basedOn w:val="1"/>
    <w:next w:val="1"/>
    <w:link w:val="42"/>
    <w:unhideWhenUsed/>
    <w:qFormat/>
    <w:uiPriority w:val="0"/>
    <w:pPr>
      <w:keepNext/>
      <w:keepLines/>
      <w:numPr>
        <w:ilvl w:val="1"/>
        <w:numId w:val="1"/>
      </w:numPr>
      <w:spacing w:before="120" w:after="120" w:line="520" w:lineRule="exact"/>
      <w:outlineLvl w:val="1"/>
    </w:pPr>
    <w:rPr>
      <w:rFonts w:ascii="Cambria" w:hAnsi="Cambria" w:eastAsiaTheme="minorEastAsia"/>
      <w:b/>
      <w:bCs/>
      <w:sz w:val="28"/>
      <w:szCs w:val="32"/>
    </w:rPr>
  </w:style>
  <w:style w:type="paragraph" w:styleId="9">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6"/>
    <w:basedOn w:val="1"/>
    <w:next w:val="1"/>
    <w:qFormat/>
    <w:uiPriority w:val="1"/>
    <w:pPr>
      <w:ind w:left="1346" w:hanging="630"/>
      <w:outlineLvl w:val="6"/>
    </w:pPr>
    <w:rPr>
      <w:rFonts w:ascii="华文仿宋" w:hAnsi="华文仿宋" w:eastAsia="华文仿宋" w:cs="华文仿宋"/>
      <w:b/>
      <w:bCs/>
      <w:sz w:val="28"/>
      <w:szCs w:val="28"/>
      <w:lang w:val="zh-CN" w:eastAsia="zh-CN" w:bidi="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spacing w:after="0"/>
      <w:ind w:firstLine="420" w:firstLineChars="100"/>
    </w:pPr>
    <w:rPr>
      <w:rFonts w:eastAsia="仿宋_GB2312" w:cs="Times New Roman"/>
      <w:kern w:val="0"/>
      <w:sz w:val="32"/>
      <w:szCs w:val="24"/>
    </w:rPr>
  </w:style>
  <w:style w:type="paragraph" w:styleId="3">
    <w:name w:val="Body Text"/>
    <w:basedOn w:val="1"/>
    <w:next w:val="4"/>
    <w:qFormat/>
    <w:uiPriority w:val="1"/>
    <w:rPr>
      <w:rFonts w:ascii="宋体" w:hAnsi="宋体" w:eastAsia="宋体" w:cs="宋体"/>
      <w:sz w:val="28"/>
      <w:szCs w:val="28"/>
      <w:lang w:val="zh-CN" w:eastAsia="zh-CN" w:bidi="zh-CN"/>
    </w:rPr>
  </w:style>
  <w:style w:type="paragraph" w:styleId="4">
    <w:name w:val="Body Text 2"/>
    <w:basedOn w:val="1"/>
    <w:unhideWhenUsed/>
    <w:qFormat/>
    <w:uiPriority w:val="99"/>
    <w:pPr>
      <w:widowControl w:val="0"/>
      <w:spacing w:line="360" w:lineRule="auto"/>
      <w:ind w:firstLine="200" w:firstLineChars="200"/>
      <w:jc w:val="both"/>
    </w:pPr>
    <w:rPr>
      <w:rFonts w:ascii="Calibri" w:hAnsi="Calibri" w:eastAsia="楷体_GB2312" w:cs="Times New Roman"/>
      <w:kern w:val="2"/>
      <w:sz w:val="32"/>
      <w:szCs w:val="24"/>
      <w:lang w:val="en-US" w:eastAsia="zh-CN" w:bidi="ar-SA"/>
    </w:rPr>
  </w:style>
  <w:style w:type="paragraph" w:styleId="5">
    <w:name w:val="Body Text First Indent 2"/>
    <w:basedOn w:val="6"/>
    <w:next w:val="1"/>
    <w:qFormat/>
    <w:uiPriority w:val="0"/>
    <w:pPr>
      <w:ind w:firstLine="420"/>
    </w:pPr>
  </w:style>
  <w:style w:type="paragraph" w:styleId="6">
    <w:name w:val="Body Text Indent"/>
    <w:basedOn w:val="1"/>
    <w:unhideWhenUsed/>
    <w:qFormat/>
    <w:uiPriority w:val="99"/>
    <w:pPr>
      <w:spacing w:after="120"/>
      <w:ind w:left="420" w:leftChars="200"/>
    </w:pPr>
  </w:style>
  <w:style w:type="paragraph" w:styleId="11">
    <w:name w:val="Normal Indent"/>
    <w:basedOn w:val="1"/>
    <w:qFormat/>
    <w:uiPriority w:val="0"/>
  </w:style>
  <w:style w:type="paragraph" w:styleId="12">
    <w:name w:val="Block Text"/>
    <w:basedOn w:val="1"/>
    <w:next w:val="1"/>
    <w:qFormat/>
    <w:uiPriority w:val="0"/>
    <w:pPr>
      <w:snapToGrid w:val="0"/>
      <w:spacing w:line="408" w:lineRule="auto"/>
      <w:ind w:left="-113" w:right="-510" w:firstLine="510"/>
    </w:pPr>
    <w:rPr>
      <w:sz w:val="24"/>
      <w:szCs w:val="20"/>
    </w:rPr>
  </w:style>
  <w:style w:type="paragraph" w:styleId="13">
    <w:name w:val="Plain Text"/>
    <w:basedOn w:val="1"/>
    <w:qFormat/>
    <w:uiPriority w:val="0"/>
    <w:rPr>
      <w:rFonts w:ascii="宋体" w:hAnsi="Courier New"/>
    </w:rPr>
  </w:style>
  <w:style w:type="paragraph" w:styleId="14">
    <w:name w:val="footer"/>
    <w:basedOn w:val="1"/>
    <w:qFormat/>
    <w:uiPriority w:val="99"/>
    <w:pPr>
      <w:tabs>
        <w:tab w:val="center" w:pos="4153"/>
        <w:tab w:val="right" w:pos="8306"/>
      </w:tabs>
      <w:snapToGrid w:val="0"/>
      <w:jc w:val="left"/>
    </w:pPr>
    <w:rPr>
      <w:sz w:val="18"/>
    </w:rPr>
  </w:style>
  <w:style w:type="paragraph" w:styleId="15">
    <w:name w:val="header"/>
    <w:basedOn w:val="1"/>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rPr>
      <w:sz w:val="24"/>
    </w:rPr>
  </w:style>
  <w:style w:type="paragraph" w:styleId="19">
    <w:name w:val="Title"/>
    <w:basedOn w:val="1"/>
    <w:next w:val="1"/>
    <w:qFormat/>
    <w:uiPriority w:val="0"/>
    <w:pPr>
      <w:spacing w:before="240" w:after="60"/>
      <w:jc w:val="center"/>
      <w:outlineLvl w:val="0"/>
    </w:pPr>
    <w:rPr>
      <w:rFonts w:ascii="等线 Light" w:hAnsi="等线 Light" w:cs="Times New Roman"/>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paragraph" w:customStyle="1" w:styleId="24">
    <w:name w:val="WPSOffice手动目录 1"/>
    <w:qFormat/>
    <w:uiPriority w:val="0"/>
    <w:rPr>
      <w:rFonts w:ascii="Calibri" w:hAnsi="Calibri" w:eastAsia="Calibri" w:cs="Times New Roman"/>
      <w:lang w:val="en-US" w:eastAsia="zh-CN" w:bidi="ar-SA"/>
    </w:rPr>
  </w:style>
  <w:style w:type="paragraph" w:customStyle="1" w:styleId="25">
    <w:name w:val="WPSOffice手动目录 2"/>
    <w:qFormat/>
    <w:uiPriority w:val="0"/>
    <w:pPr>
      <w:ind w:leftChars="200"/>
    </w:pPr>
    <w:rPr>
      <w:rFonts w:asciiTheme="minorHAnsi" w:hAnsiTheme="minorHAnsi" w:eastAsiaTheme="minorEastAsia" w:cstheme="minorBidi"/>
      <w:sz w:val="20"/>
      <w:szCs w:val="20"/>
    </w:rPr>
  </w:style>
  <w:style w:type="paragraph" w:customStyle="1" w:styleId="26">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7">
    <w:name w:val="正文缩进1"/>
    <w:basedOn w:val="1"/>
    <w:qFormat/>
    <w:uiPriority w:val="0"/>
    <w:pPr>
      <w:widowControl/>
      <w:adjustRightInd w:val="0"/>
      <w:snapToGrid w:val="0"/>
      <w:spacing w:line="520" w:lineRule="exact"/>
      <w:ind w:firstLine="200" w:firstLineChars="200"/>
      <w:jc w:val="left"/>
    </w:pPr>
    <w:rPr>
      <w:rFonts w:ascii="Times New Roman" w:hAnsi="Times New Roman"/>
      <w:kern w:val="0"/>
      <w:sz w:val="28"/>
      <w:szCs w:val="22"/>
    </w:rPr>
  </w:style>
  <w:style w:type="table" w:customStyle="1" w:styleId="28">
    <w:name w:val="网格型3"/>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4"/>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Table Paragraph"/>
    <w:basedOn w:val="1"/>
    <w:qFormat/>
    <w:uiPriority w:val="1"/>
    <w:pPr>
      <w:jc w:val="center"/>
    </w:pPr>
    <w:rPr>
      <w:rFonts w:ascii="宋体" w:hAnsi="宋体" w:eastAsia="宋体" w:cs="宋体"/>
      <w:lang w:val="zh-CN" w:eastAsia="zh-CN" w:bidi="zh-CN"/>
    </w:rPr>
  </w:style>
  <w:style w:type="paragraph" w:customStyle="1" w:styleId="31">
    <w:name w:val="TableStyle10.5"/>
    <w:basedOn w:val="1"/>
    <w:qFormat/>
    <w:uiPriority w:val="0"/>
    <w:pPr>
      <w:jc w:val="center"/>
    </w:pPr>
    <w:rPr>
      <w:sz w:val="21"/>
    </w:rPr>
  </w:style>
  <w:style w:type="character" w:customStyle="1" w:styleId="32">
    <w:name w:val="font61"/>
    <w:basedOn w:val="22"/>
    <w:qFormat/>
    <w:uiPriority w:val="0"/>
    <w:rPr>
      <w:rFonts w:hint="default" w:ascii="Cambria" w:hAnsi="Cambria" w:eastAsia="Cambria" w:cs="Cambria"/>
      <w:color w:val="000000"/>
      <w:sz w:val="20"/>
      <w:szCs w:val="20"/>
      <w:u w:val="none"/>
    </w:rPr>
  </w:style>
  <w:style w:type="character" w:customStyle="1" w:styleId="33">
    <w:name w:val="font12"/>
    <w:basedOn w:val="22"/>
    <w:qFormat/>
    <w:uiPriority w:val="0"/>
    <w:rPr>
      <w:rFonts w:hint="eastAsia" w:ascii="宋体" w:hAnsi="宋体" w:eastAsia="宋体" w:cs="宋体"/>
      <w:color w:val="000000"/>
      <w:sz w:val="18"/>
      <w:szCs w:val="18"/>
      <w:u w:val="none"/>
    </w:rPr>
  </w:style>
  <w:style w:type="character" w:customStyle="1" w:styleId="34">
    <w:name w:val="font91"/>
    <w:basedOn w:val="22"/>
    <w:qFormat/>
    <w:uiPriority w:val="0"/>
    <w:rPr>
      <w:rFonts w:hint="default" w:ascii="Times New Roman" w:hAnsi="Times New Roman" w:cs="Times New Roman"/>
      <w:color w:val="000000"/>
      <w:sz w:val="22"/>
      <w:szCs w:val="22"/>
      <w:u w:val="none"/>
    </w:rPr>
  </w:style>
  <w:style w:type="paragraph" w:customStyle="1" w:styleId="35">
    <w:name w:val="表格"/>
    <w:basedOn w:val="1"/>
    <w:qFormat/>
    <w:uiPriority w:val="0"/>
    <w:pPr>
      <w:keepNext/>
      <w:widowControl w:val="0"/>
      <w:adjustRightInd w:val="0"/>
      <w:spacing w:line="312" w:lineRule="atLeast"/>
      <w:jc w:val="center"/>
      <w:textAlignment w:val="baseline"/>
    </w:pPr>
    <w:rPr>
      <w:sz w:val="21"/>
    </w:rPr>
  </w:style>
  <w:style w:type="character" w:customStyle="1" w:styleId="36">
    <w:name w:val="font51"/>
    <w:basedOn w:val="22"/>
    <w:qFormat/>
    <w:uiPriority w:val="0"/>
    <w:rPr>
      <w:rFonts w:hint="eastAsia" w:ascii="宋体" w:hAnsi="宋体" w:eastAsia="宋体" w:cs="宋体"/>
      <w:color w:val="000000"/>
      <w:sz w:val="20"/>
      <w:szCs w:val="20"/>
      <w:u w:val="none"/>
    </w:rPr>
  </w:style>
  <w:style w:type="character" w:customStyle="1" w:styleId="37">
    <w:name w:val="font41"/>
    <w:qFormat/>
    <w:uiPriority w:val="0"/>
    <w:rPr>
      <w:rFonts w:hint="default" w:ascii="Times New Roman" w:hAnsi="Times New Roman" w:cs="Times New Roman"/>
      <w:color w:val="000000"/>
      <w:sz w:val="22"/>
      <w:szCs w:val="22"/>
      <w:u w:val="none"/>
    </w:rPr>
  </w:style>
  <w:style w:type="character" w:customStyle="1" w:styleId="38">
    <w:name w:val="font21"/>
    <w:basedOn w:val="22"/>
    <w:qFormat/>
    <w:uiPriority w:val="0"/>
    <w:rPr>
      <w:rFonts w:hint="default" w:ascii="Times New Roman" w:hAnsi="Times New Roman" w:cs="Times New Roman"/>
      <w:color w:val="000000"/>
      <w:sz w:val="22"/>
      <w:szCs w:val="22"/>
      <w:u w:val="none"/>
      <w:vertAlign w:val="superscript"/>
    </w:rPr>
  </w:style>
  <w:style w:type="character" w:customStyle="1" w:styleId="39">
    <w:name w:val="font111"/>
    <w:basedOn w:val="22"/>
    <w:qFormat/>
    <w:uiPriority w:val="0"/>
    <w:rPr>
      <w:rFonts w:hint="default" w:ascii="Times New Roman" w:hAnsi="Times New Roman" w:cs="Times New Roman"/>
      <w:color w:val="000000"/>
      <w:sz w:val="22"/>
      <w:szCs w:val="22"/>
      <w:u w:val="none"/>
      <w:vertAlign w:val="subscript"/>
    </w:rPr>
  </w:style>
  <w:style w:type="character" w:customStyle="1" w:styleId="40">
    <w:name w:val="font101"/>
    <w:qFormat/>
    <w:uiPriority w:val="0"/>
    <w:rPr>
      <w:rFonts w:hint="default" w:ascii="Cambria" w:hAnsi="Cambria" w:eastAsia="Cambria" w:cs="Cambria"/>
      <w:color w:val="000000"/>
      <w:sz w:val="20"/>
      <w:szCs w:val="20"/>
      <w:u w:val="none"/>
      <w:vertAlign w:val="superscript"/>
    </w:rPr>
  </w:style>
  <w:style w:type="paragraph" w:styleId="41">
    <w:name w:val="List Paragraph"/>
    <w:basedOn w:val="1"/>
    <w:qFormat/>
    <w:uiPriority w:val="1"/>
    <w:pPr>
      <w:ind w:left="222" w:firstLine="561"/>
    </w:pPr>
    <w:rPr>
      <w:rFonts w:ascii="宋体" w:hAnsi="宋体" w:eastAsia="宋体" w:cs="宋体"/>
      <w:lang w:val="zh-CN" w:eastAsia="zh-CN" w:bidi="zh-CN"/>
    </w:rPr>
  </w:style>
  <w:style w:type="character" w:customStyle="1" w:styleId="42">
    <w:name w:val=" Char Char12"/>
    <w:basedOn w:val="22"/>
    <w:link w:val="8"/>
    <w:qFormat/>
    <w:uiPriority w:val="9"/>
    <w:rPr>
      <w:rFonts w:ascii="Cambria" w:hAnsi="Cambria" w:eastAsiaTheme="minorEastAsia"/>
      <w:b/>
      <w:bCs/>
      <w:sz w:val="28"/>
      <w:szCs w:val="32"/>
    </w:rPr>
  </w:style>
  <w:style w:type="paragraph" w:customStyle="1" w:styleId="43">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44">
    <w:name w:val="Table Text"/>
    <w:basedOn w:val="1"/>
    <w:semiHidden/>
    <w:qFormat/>
    <w:uiPriority w:val="0"/>
    <w:rPr>
      <w:rFonts w:ascii="宋体" w:hAnsi="宋体" w:eastAsia="宋体" w:cs="宋体"/>
      <w:sz w:val="21"/>
      <w:szCs w:val="21"/>
      <w:lang w:val="en-US" w:eastAsia="en-US" w:bidi="ar-SA"/>
    </w:rPr>
  </w:style>
  <w:style w:type="table" w:customStyle="1" w:styleId="45">
    <w:name w:val="Table Normal"/>
    <w:semiHidden/>
    <w:unhideWhenUsed/>
    <w:qFormat/>
    <w:uiPriority w:val="0"/>
    <w:tblPr>
      <w:tblCellMar>
        <w:top w:w="0" w:type="dxa"/>
        <w:left w:w="0" w:type="dxa"/>
        <w:bottom w:w="0" w:type="dxa"/>
        <w:right w:w="0" w:type="dxa"/>
      </w:tblCellMar>
    </w:tblPr>
  </w:style>
  <w:style w:type="character" w:customStyle="1" w:styleId="46">
    <w:name w:val="标题 1 Char"/>
    <w:link w:val="7"/>
    <w:uiPriority w:val="0"/>
    <w:rPr>
      <w:rFonts w:ascii="宋体" w:hAnsi="宋体" w:eastAsia="宋体" w:cs="宋体"/>
      <w:b/>
      <w:bCs/>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24497</Words>
  <Characters>29930</Characters>
  <Lines>0</Lines>
  <Paragraphs>0</Paragraphs>
  <TotalTime>8</TotalTime>
  <ScaleCrop>false</ScaleCrop>
  <LinksUpToDate>false</LinksUpToDate>
  <CharactersWithSpaces>31659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2023-10-28T10:22:00Z</dcterms:created>
  <dc:creator>宁静致远</dc:creator>
  <cp:lastModifiedBy>西瓜</cp:lastModifiedBy>
  <dcterms:modified xsi:type="dcterms:W3CDTF">2023-10-30T08:56:40Z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6384CDBF31FB42C2A4A0130B0BE655A9_11</vt:lpwstr>
  </property>
</Properties>
</file>