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b/>
          <w:sz w:val="44"/>
          <w:szCs w:val="44"/>
        </w:rPr>
      </w:pPr>
    </w:p>
    <w:p>
      <w:pPr>
        <w:rPr>
          <w:rFonts w:ascii="黑体" w:hAnsi="黑体" w:eastAsia="黑体"/>
          <w:b/>
          <w:sz w:val="44"/>
          <w:szCs w:val="44"/>
        </w:rPr>
      </w:pPr>
    </w:p>
    <w:p>
      <w:pPr>
        <w:rPr>
          <w:rFonts w:ascii="黑体" w:hAnsi="黑体" w:eastAsia="黑体"/>
          <w:b/>
          <w:sz w:val="44"/>
          <w:szCs w:val="44"/>
        </w:rPr>
      </w:pPr>
    </w:p>
    <w:p>
      <w:pPr>
        <w:jc w:val="center"/>
        <w:rPr>
          <w:rFonts w:asciiTheme="majorEastAsia" w:hAnsiTheme="majorEastAsia" w:eastAsiaTheme="majorEastAsia"/>
          <w:b/>
          <w:sz w:val="52"/>
          <w:szCs w:val="52"/>
        </w:rPr>
      </w:pPr>
      <w:r>
        <w:rPr>
          <w:rFonts w:hint="eastAsia" w:asciiTheme="majorEastAsia" w:hAnsiTheme="majorEastAsia" w:eastAsiaTheme="majorEastAsia"/>
          <w:b/>
          <w:sz w:val="52"/>
          <w:szCs w:val="52"/>
        </w:rPr>
        <w:t>转移支付资金项目绩效评价报告</w:t>
      </w:r>
    </w:p>
    <w:p>
      <w:pPr>
        <w:jc w:val="center"/>
        <w:rPr>
          <w:rFonts w:ascii="黑体" w:hAnsi="黑体" w:eastAsia="黑体"/>
          <w:b/>
          <w:sz w:val="44"/>
          <w:szCs w:val="44"/>
        </w:rPr>
      </w:pPr>
    </w:p>
    <w:p>
      <w:pP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r>
        <w:rPr>
          <w:rFonts w:ascii="宋体" w:hAnsi="宋体" w:cs="新宋体"/>
          <w:kern w:val="0"/>
          <w:sz w:val="24"/>
        </w:rPr>
        <w:drawing>
          <wp:inline distT="0" distB="0" distL="0" distR="0">
            <wp:extent cx="2400300" cy="24003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a:xfrm>
                      <a:off x="0" y="0"/>
                      <a:ext cx="2400300" cy="2400300"/>
                    </a:xfrm>
                    <a:prstGeom prst="rect">
                      <a:avLst/>
                    </a:prstGeom>
                    <a:noFill/>
                    <a:ln>
                      <a:noFill/>
                    </a:ln>
                  </pic:spPr>
                </pic:pic>
              </a:graphicData>
            </a:graphic>
          </wp:inline>
        </w:drawing>
      </w: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rPr>
          <w:rFonts w:ascii="黑体" w:hAnsi="黑体" w:eastAsia="黑体"/>
          <w:b/>
          <w:sz w:val="44"/>
          <w:szCs w:val="44"/>
        </w:rPr>
      </w:pP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评价机构：国咨项目管理有限公司</w:t>
      </w: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日期：2022年12月09日</w:t>
      </w:r>
    </w:p>
    <w:p>
      <w:pPr>
        <w:jc w:val="both"/>
        <w:rPr>
          <w:rFonts w:hint="eastAsia" w:asciiTheme="majorEastAsia" w:hAnsiTheme="majorEastAsia" w:eastAsiaTheme="majorEastAsia"/>
          <w:b/>
          <w:sz w:val="52"/>
          <w:szCs w:val="52"/>
        </w:rPr>
      </w:pPr>
    </w:p>
    <w:p>
      <w:pPr>
        <w:jc w:val="center"/>
        <w:rPr>
          <w:rFonts w:asciiTheme="majorEastAsia" w:hAnsiTheme="majorEastAsia" w:eastAsiaTheme="majorEastAsia"/>
          <w:b/>
          <w:sz w:val="52"/>
          <w:szCs w:val="52"/>
        </w:rPr>
      </w:pPr>
      <w:r>
        <w:rPr>
          <w:rFonts w:hint="eastAsia" w:asciiTheme="majorEastAsia" w:hAnsiTheme="majorEastAsia" w:eastAsiaTheme="majorEastAsia"/>
          <w:b/>
          <w:sz w:val="52"/>
          <w:szCs w:val="52"/>
        </w:rPr>
        <w:t>转移支付资金项目绩效评价报告</w:t>
      </w:r>
    </w:p>
    <w:p>
      <w:pPr>
        <w:jc w:val="center"/>
        <w:rPr>
          <w:rFonts w:ascii="黑体" w:hAnsi="黑体" w:eastAsia="黑体"/>
          <w:b/>
          <w:sz w:val="44"/>
          <w:szCs w:val="44"/>
        </w:rPr>
      </w:pPr>
    </w:p>
    <w:p>
      <w:pPr>
        <w:rPr>
          <w:rFonts w:ascii="黑体" w:hAnsi="黑体" w:eastAsia="黑体"/>
          <w:b/>
          <w:sz w:val="44"/>
          <w:szCs w:val="44"/>
        </w:rPr>
      </w:pPr>
    </w:p>
    <w:p>
      <w:pPr>
        <w:spacing w:beforeLines="50"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绩效评价工作组  张迪  李雅莉</w:t>
      </w:r>
    </w:p>
    <w:p>
      <w:pPr>
        <w:spacing w:beforeLines="50"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 xml:space="preserve">                张颖  谢吉波</w:t>
      </w:r>
    </w:p>
    <w:p>
      <w:pPr>
        <w:spacing w:beforeLines="50" w:afterLines="50" w:line="360" w:lineRule="auto"/>
        <w:ind w:left="105" w:leftChars="50" w:right="105" w:rightChars="50" w:firstLine="4320" w:firstLineChars="1200"/>
        <w:rPr>
          <w:rFonts w:ascii="仿宋" w:hAnsi="仿宋" w:eastAsia="仿宋"/>
          <w:sz w:val="36"/>
          <w:szCs w:val="36"/>
        </w:rPr>
      </w:pPr>
      <w:r>
        <w:rPr>
          <w:rFonts w:hint="eastAsia" w:ascii="仿宋" w:hAnsi="仿宋" w:eastAsia="仿宋"/>
          <w:sz w:val="36"/>
          <w:szCs w:val="36"/>
        </w:rPr>
        <w:t>冉若男</w:t>
      </w:r>
    </w:p>
    <w:p>
      <w:pPr>
        <w:spacing w:beforeLines="50" w:afterLines="50" w:line="360" w:lineRule="auto"/>
        <w:ind w:right="105" w:rightChars="50" w:firstLine="1620" w:firstLineChars="450"/>
        <w:rPr>
          <w:rFonts w:ascii="仿宋" w:hAnsi="仿宋" w:eastAsia="仿宋"/>
          <w:sz w:val="36"/>
          <w:szCs w:val="36"/>
        </w:rPr>
      </w:pPr>
      <w:r>
        <w:rPr>
          <w:rFonts w:hint="eastAsia" w:ascii="仿宋" w:hAnsi="仿宋" w:eastAsia="仿宋"/>
          <w:sz w:val="36"/>
          <w:szCs w:val="36"/>
        </w:rPr>
        <w:t>绩效评价专家组  杨林森  注册会计师</w:t>
      </w:r>
    </w:p>
    <w:p>
      <w:pPr>
        <w:spacing w:beforeLines="50"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 xml:space="preserve">                      曹毅    高级工程师                   </w:t>
      </w:r>
    </w:p>
    <w:p>
      <w:pPr>
        <w:spacing w:beforeLines="50" w:afterLines="50" w:line="360" w:lineRule="auto"/>
        <w:ind w:left="105" w:leftChars="50" w:right="105" w:rightChars="50"/>
        <w:jc w:val="center"/>
        <w:rPr>
          <w:rFonts w:hint="eastAsia" w:ascii="仿宋" w:hAnsi="仿宋" w:eastAsia="仿宋"/>
          <w:sz w:val="36"/>
          <w:szCs w:val="36"/>
        </w:rPr>
      </w:pPr>
      <w:r>
        <w:rPr>
          <w:rFonts w:hint="eastAsia" w:ascii="仿宋" w:hAnsi="仿宋" w:eastAsia="仿宋"/>
          <w:sz w:val="36"/>
          <w:szCs w:val="36"/>
        </w:rPr>
        <w:t xml:space="preserve">                      汪淑华  高级工程师</w:t>
      </w:r>
    </w:p>
    <w:p>
      <w:pPr>
        <w:spacing w:beforeLines="50" w:afterLines="50" w:line="360" w:lineRule="auto"/>
        <w:ind w:left="105" w:leftChars="50" w:right="105" w:rightChars="50"/>
        <w:jc w:val="center"/>
        <w:rPr>
          <w:rFonts w:hint="eastAsia" w:ascii="仿宋" w:hAnsi="仿宋" w:eastAsia="仿宋"/>
          <w:sz w:val="36"/>
          <w:szCs w:val="36"/>
        </w:rPr>
      </w:pPr>
      <w:r>
        <w:rPr>
          <w:rFonts w:hint="eastAsia" w:ascii="仿宋" w:hAnsi="仿宋" w:eastAsia="仿宋"/>
          <w:sz w:val="36"/>
          <w:szCs w:val="36"/>
          <w:lang w:val="en-US" w:eastAsia="zh-CN"/>
        </w:rPr>
        <w:t xml:space="preserve">                       </w:t>
      </w:r>
      <w:r>
        <w:rPr>
          <w:rFonts w:hint="eastAsia" w:ascii="仿宋" w:hAnsi="仿宋" w:eastAsia="仿宋"/>
          <w:sz w:val="36"/>
          <w:szCs w:val="36"/>
        </w:rPr>
        <w:t>韩江波   高级工程师</w:t>
      </w:r>
    </w:p>
    <w:p>
      <w:pPr>
        <w:spacing w:beforeLines="50" w:afterLines="50" w:line="360" w:lineRule="auto"/>
        <w:ind w:left="105" w:leftChars="50" w:right="105" w:rightChars="50"/>
        <w:jc w:val="center"/>
        <w:rPr>
          <w:rFonts w:hint="eastAsia" w:ascii="仿宋" w:hAnsi="仿宋" w:eastAsia="仿宋"/>
          <w:sz w:val="36"/>
          <w:szCs w:val="36"/>
        </w:rPr>
      </w:pPr>
      <w:r>
        <w:rPr>
          <w:rFonts w:hint="eastAsia" w:ascii="仿宋" w:hAnsi="仿宋" w:eastAsia="仿宋"/>
          <w:sz w:val="36"/>
          <w:szCs w:val="36"/>
        </w:rPr>
        <w:t xml:space="preserve">                 刘振青  律师</w:t>
      </w:r>
    </w:p>
    <w:p>
      <w:pPr>
        <w:spacing w:beforeLines="50"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 xml:space="preserve"> 编制人  张颖</w:t>
      </w:r>
    </w:p>
    <w:p>
      <w:pPr>
        <w:spacing w:beforeLines="50" w:afterLines="50" w:line="360" w:lineRule="auto"/>
        <w:ind w:right="105" w:rightChars="50" w:firstLine="3240" w:firstLineChars="900"/>
        <w:rPr>
          <w:rFonts w:ascii="仿宋" w:hAnsi="仿宋" w:eastAsia="仿宋"/>
          <w:sz w:val="36"/>
          <w:szCs w:val="36"/>
        </w:rPr>
      </w:pPr>
      <w:r>
        <w:rPr>
          <w:rFonts w:hint="eastAsia" w:ascii="仿宋" w:hAnsi="仿宋" w:eastAsia="仿宋"/>
          <w:sz w:val="36"/>
          <w:szCs w:val="36"/>
        </w:rPr>
        <w:t>审核人  张迪</w:t>
      </w:r>
    </w:p>
    <w:p>
      <w:pPr>
        <w:spacing w:beforeLines="50" w:afterLines="50" w:line="360" w:lineRule="auto"/>
        <w:ind w:left="105" w:leftChars="50" w:right="105" w:rightChars="50"/>
        <w:jc w:val="center"/>
        <w:rPr>
          <w:rFonts w:ascii="黑体" w:hAnsi="黑体" w:eastAsia="黑体"/>
          <w:b/>
          <w:sz w:val="44"/>
          <w:szCs w:val="44"/>
        </w:rPr>
      </w:pPr>
    </w:p>
    <w:p>
      <w:pPr>
        <w:rPr>
          <w:rFonts w:ascii="黑体" w:hAnsi="黑体" w:eastAsia="黑体"/>
          <w:b/>
          <w:sz w:val="44"/>
          <w:szCs w:val="44"/>
        </w:rPr>
      </w:pP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评价机构：国咨项目管理有限公司</w:t>
      </w: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日期：2021年12月09日</w:t>
      </w: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drawing>
          <wp:inline distT="0" distB="0" distL="0" distR="0">
            <wp:extent cx="5274310" cy="74587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7458741"/>
                    </a:xfrm>
                    <a:prstGeom prst="rect">
                      <a:avLst/>
                    </a:prstGeom>
                    <a:noFill/>
                    <a:ln>
                      <a:noFill/>
                    </a:ln>
                  </pic:spPr>
                </pic:pic>
              </a:graphicData>
            </a:graphic>
          </wp:inline>
        </w:drawing>
      </w: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摘  要</w:t>
      </w:r>
    </w:p>
    <w:p>
      <w:pPr>
        <w:spacing w:beforeLines="50" w:afterLines="50" w:line="360" w:lineRule="auto"/>
        <w:ind w:left="105" w:leftChars="50" w:right="105" w:rightChars="50" w:firstLine="600" w:firstLineChars="200"/>
        <w:jc w:val="left"/>
        <w:rPr>
          <w:rFonts w:asciiTheme="minorEastAsia" w:hAnsiTheme="minorEastAsia"/>
          <w:sz w:val="30"/>
          <w:szCs w:val="30"/>
        </w:rPr>
      </w:pPr>
      <w:r>
        <w:rPr>
          <w:rFonts w:hint="eastAsia" w:asciiTheme="minorEastAsia" w:hAnsiTheme="minorEastAsia"/>
          <w:sz w:val="30"/>
          <w:szCs w:val="30"/>
        </w:rPr>
        <w:t xml:space="preserve">为贯彻落实《中共中央 国务院关于全面实施预算绩效管理的意见》和《中共河南省委 河南省人民政府关于全面实施预算绩效管理的实施意见》等文件精神，加强财政资金绩效管理，提高资金使用效益，三门峡市陕州区财政局委托国咨项目管理有限公司，对转移支付资金项目进行绩效评价。 </w:t>
      </w:r>
    </w:p>
    <w:p>
      <w:pPr>
        <w:spacing w:beforeLines="50" w:afterLines="50" w:line="360" w:lineRule="auto"/>
        <w:ind w:left="105" w:leftChars="50" w:right="105" w:rightChars="50" w:firstLine="600" w:firstLineChars="200"/>
        <w:jc w:val="left"/>
        <w:rPr>
          <w:rFonts w:asciiTheme="minorEastAsia" w:hAnsiTheme="minorEastAsia"/>
          <w:color w:val="auto"/>
          <w:sz w:val="30"/>
          <w:szCs w:val="30"/>
        </w:rPr>
      </w:pPr>
      <w:r>
        <w:rPr>
          <w:rFonts w:hint="eastAsia" w:asciiTheme="minorEastAsia" w:hAnsiTheme="minorEastAsia"/>
          <w:sz w:val="30"/>
          <w:szCs w:val="30"/>
        </w:rPr>
        <w:t>国咨项目管理有限公司通过构建评价指标体系、机构座谈、问卷调查等形式，对转移支付资金项目进行综合评价。评价结果表明:转移支付资金项目绩效评价综合得分</w:t>
      </w:r>
      <w:r>
        <w:rPr>
          <w:rFonts w:hint="eastAsia" w:asciiTheme="minorEastAsia" w:hAnsiTheme="minorEastAsia"/>
          <w:color w:val="000000" w:themeColor="text1"/>
          <w:sz w:val="30"/>
          <w:szCs w:val="30"/>
        </w:rPr>
        <w:t>92.</w:t>
      </w:r>
      <w:r>
        <w:rPr>
          <w:rFonts w:hint="eastAsia" w:asciiTheme="minorEastAsia" w:hAnsiTheme="minorEastAsia"/>
          <w:color w:val="000000" w:themeColor="text1"/>
          <w:sz w:val="30"/>
          <w:szCs w:val="30"/>
          <w:lang w:val="en-US" w:eastAsia="zh-CN"/>
        </w:rPr>
        <w:t>8</w:t>
      </w:r>
      <w:r>
        <w:rPr>
          <w:rFonts w:hint="eastAsia" w:asciiTheme="minorEastAsia" w:hAnsiTheme="minorEastAsia"/>
          <w:color w:val="000000" w:themeColor="text1"/>
          <w:sz w:val="30"/>
          <w:szCs w:val="30"/>
        </w:rPr>
        <w:t>，评价结果为“优”。</w:t>
      </w:r>
      <w:r>
        <w:rPr>
          <w:rFonts w:hint="eastAsia" w:asciiTheme="minorEastAsia" w:hAnsiTheme="minorEastAsia"/>
          <w:sz w:val="30"/>
          <w:szCs w:val="30"/>
        </w:rPr>
        <w:t>评价过程中，发现该项目实施过程中</w:t>
      </w:r>
      <w:r>
        <w:rPr>
          <w:rFonts w:hint="eastAsia" w:asciiTheme="minorEastAsia" w:hAnsiTheme="minorEastAsia"/>
          <w:color w:val="auto"/>
          <w:sz w:val="30"/>
          <w:szCs w:val="30"/>
        </w:rPr>
        <w:t>存在</w:t>
      </w:r>
      <w:r>
        <w:rPr>
          <w:rFonts w:hint="eastAsia" w:asciiTheme="minorEastAsia" w:hAnsiTheme="minorEastAsia"/>
          <w:color w:val="auto"/>
          <w:sz w:val="30"/>
          <w:szCs w:val="30"/>
          <w:lang w:eastAsia="zh-CN"/>
        </w:rPr>
        <w:t>绩效不够明确，受益群众满意度有待提高</w:t>
      </w:r>
      <w:r>
        <w:rPr>
          <w:rFonts w:hint="eastAsia" w:asciiTheme="minorEastAsia" w:hAnsiTheme="minorEastAsia"/>
          <w:color w:val="auto"/>
          <w:sz w:val="30"/>
          <w:szCs w:val="30"/>
        </w:rPr>
        <w:t>等问题，评价组从构建全过程预算绩效管理链条、</w:t>
      </w:r>
      <w:r>
        <w:rPr>
          <w:rFonts w:hint="eastAsia" w:asciiTheme="minorEastAsia" w:hAnsiTheme="minorEastAsia"/>
          <w:color w:val="auto"/>
          <w:sz w:val="30"/>
          <w:szCs w:val="30"/>
          <w:lang w:eastAsia="zh-CN"/>
        </w:rPr>
        <w:t>提高群众满意度</w:t>
      </w:r>
      <w:r>
        <w:rPr>
          <w:rFonts w:hint="eastAsia" w:asciiTheme="minorEastAsia" w:hAnsiTheme="minorEastAsia"/>
          <w:color w:val="auto"/>
          <w:sz w:val="30"/>
          <w:szCs w:val="30"/>
        </w:rPr>
        <w:t>等方面提出优化建议。</w:t>
      </w:r>
    </w:p>
    <w:p>
      <w:pPr>
        <w:spacing w:beforeLines="50" w:afterLines="50" w:line="360" w:lineRule="auto"/>
        <w:ind w:left="105" w:leftChars="50" w:right="105" w:rightChars="50" w:firstLine="883" w:firstLineChars="200"/>
        <w:jc w:val="center"/>
        <w:rPr>
          <w:rFonts w:asciiTheme="majorEastAsia" w:hAnsiTheme="majorEastAsia" w:eastAsiaTheme="majorEastAsia"/>
          <w:b/>
          <w:sz w:val="44"/>
          <w:szCs w:val="44"/>
        </w:rPr>
      </w:pPr>
    </w:p>
    <w:p>
      <w:pPr>
        <w:spacing w:beforeLines="50" w:afterLines="50" w:line="360" w:lineRule="auto"/>
        <w:ind w:left="105" w:leftChars="50" w:right="105" w:rightChars="50" w:firstLine="883" w:firstLineChars="200"/>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hint="eastAsia" w:asciiTheme="majorEastAsia" w:hAnsiTheme="majorEastAsia" w:eastAsiaTheme="majorEastAsia"/>
          <w:b/>
          <w:sz w:val="32"/>
          <w:szCs w:val="32"/>
        </w:rPr>
      </w:pPr>
    </w:p>
    <w:p>
      <w:pPr>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目 录</w:t>
      </w:r>
    </w:p>
    <w:p>
      <w:pPr>
        <w:pStyle w:val="9"/>
        <w:tabs>
          <w:tab w:val="right" w:leader="dot" w:pos="8296"/>
        </w:tabs>
        <w:ind w:left="0" w:leftChars="0"/>
        <w:rPr>
          <w:sz w:val="28"/>
          <w:szCs w:val="28"/>
        </w:rPr>
      </w:pPr>
      <w:r>
        <w:rPr>
          <w:rFonts w:asciiTheme="minorEastAsia" w:hAnsiTheme="minorEastAsia"/>
          <w:b/>
          <w:sz w:val="28"/>
          <w:szCs w:val="28"/>
        </w:rPr>
        <w:fldChar w:fldCharType="begin"/>
      </w:r>
      <w:r>
        <w:rPr>
          <w:rFonts w:hint="eastAsia" w:asciiTheme="minorEastAsia" w:hAnsiTheme="minorEastAsia"/>
          <w:b/>
          <w:sz w:val="28"/>
          <w:szCs w:val="28"/>
        </w:rPr>
        <w:instrText xml:space="preserve">TOC \o "1-3" \h \z \u</w:instrText>
      </w:r>
      <w:r>
        <w:rPr>
          <w:rFonts w:asciiTheme="minorEastAsia" w:hAnsiTheme="minorEastAsia"/>
          <w:b/>
          <w:sz w:val="28"/>
          <w:szCs w:val="28"/>
        </w:rPr>
        <w:fldChar w:fldCharType="separate"/>
      </w:r>
      <w:r>
        <w:fldChar w:fldCharType="begin"/>
      </w:r>
      <w:r>
        <w:instrText xml:space="preserve"> HYPERLINK \l "_Toc93918194" </w:instrText>
      </w:r>
      <w:r>
        <w:fldChar w:fldCharType="separate"/>
      </w:r>
      <w:r>
        <w:rPr>
          <w:rStyle w:val="13"/>
          <w:rFonts w:hint="eastAsia" w:asciiTheme="minorEastAsia" w:hAnsiTheme="minorEastAsia"/>
          <w:sz w:val="28"/>
          <w:szCs w:val="28"/>
        </w:rPr>
        <w:t>一、概述</w:t>
      </w:r>
      <w:r>
        <w:rPr>
          <w:sz w:val="28"/>
          <w:szCs w:val="28"/>
        </w:rPr>
        <w:tab/>
      </w:r>
      <w:r>
        <w:rPr>
          <w:sz w:val="28"/>
          <w:szCs w:val="28"/>
        </w:rPr>
        <w:fldChar w:fldCharType="begin"/>
      </w:r>
      <w:r>
        <w:rPr>
          <w:sz w:val="28"/>
          <w:szCs w:val="28"/>
        </w:rPr>
        <w:instrText xml:space="preserve"> PAGEREF _Toc93918194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"_Toc93918195" </w:instrText>
      </w:r>
      <w:r>
        <w:fldChar w:fldCharType="separate"/>
      </w:r>
      <w:r>
        <w:rPr>
          <w:rStyle w:val="13"/>
          <w:rFonts w:hint="eastAsia" w:asciiTheme="minorEastAsia" w:hAnsiTheme="minorEastAsia"/>
          <w:sz w:val="28"/>
          <w:szCs w:val="28"/>
        </w:rPr>
        <w:t>（一）项目单位基本情况</w:t>
      </w:r>
      <w:r>
        <w:rPr>
          <w:sz w:val="28"/>
          <w:szCs w:val="28"/>
        </w:rPr>
        <w:tab/>
      </w:r>
      <w:r>
        <w:rPr>
          <w:sz w:val="28"/>
          <w:szCs w:val="28"/>
        </w:rPr>
        <w:fldChar w:fldCharType="begin"/>
      </w:r>
      <w:r>
        <w:rPr>
          <w:sz w:val="28"/>
          <w:szCs w:val="28"/>
        </w:rPr>
        <w:instrText xml:space="preserve"> PAGEREF _Toc93918195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"_Toc93918196" </w:instrText>
      </w:r>
      <w:r>
        <w:fldChar w:fldCharType="separate"/>
      </w:r>
      <w:r>
        <w:rPr>
          <w:rStyle w:val="13"/>
          <w:rFonts w:hint="eastAsia" w:asciiTheme="minorEastAsia" w:hAnsiTheme="minorEastAsia"/>
          <w:sz w:val="28"/>
          <w:szCs w:val="28"/>
        </w:rPr>
        <w:t>（二）项目背景</w:t>
      </w:r>
      <w:r>
        <w:rPr>
          <w:sz w:val="28"/>
          <w:szCs w:val="28"/>
        </w:rPr>
        <w:tab/>
      </w:r>
      <w:r>
        <w:rPr>
          <w:sz w:val="28"/>
          <w:szCs w:val="28"/>
        </w:rPr>
        <w:fldChar w:fldCharType="begin"/>
      </w:r>
      <w:r>
        <w:rPr>
          <w:sz w:val="28"/>
          <w:szCs w:val="28"/>
        </w:rPr>
        <w:instrText xml:space="preserve"> PAGEREF _Toc93918196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"_Toc93918197" </w:instrText>
      </w:r>
      <w:r>
        <w:fldChar w:fldCharType="separate"/>
      </w:r>
      <w:r>
        <w:rPr>
          <w:rStyle w:val="13"/>
          <w:rFonts w:hint="eastAsia" w:asciiTheme="minorEastAsia" w:hAnsiTheme="minorEastAsia"/>
          <w:sz w:val="28"/>
          <w:szCs w:val="28"/>
        </w:rPr>
        <w:t>（三）项目基本情况</w:t>
      </w:r>
      <w:r>
        <w:rPr>
          <w:sz w:val="28"/>
          <w:szCs w:val="28"/>
        </w:rPr>
        <w:tab/>
      </w:r>
      <w:r>
        <w:rPr>
          <w:sz w:val="28"/>
          <w:szCs w:val="28"/>
        </w:rPr>
        <w:fldChar w:fldCharType="begin"/>
      </w:r>
      <w:r>
        <w:rPr>
          <w:sz w:val="28"/>
          <w:szCs w:val="28"/>
        </w:rPr>
        <w:instrText xml:space="preserve"> PAGEREF _Toc93918197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"_Toc93918198" </w:instrText>
      </w:r>
      <w:r>
        <w:fldChar w:fldCharType="separate"/>
      </w:r>
      <w:r>
        <w:rPr>
          <w:rStyle w:val="13"/>
          <w:rFonts w:hint="eastAsia" w:asciiTheme="minorEastAsia" w:hAnsiTheme="minorEastAsia"/>
          <w:sz w:val="28"/>
          <w:szCs w:val="28"/>
        </w:rPr>
        <w:t>（四）项目绩效目标</w:t>
      </w:r>
      <w:r>
        <w:rPr>
          <w:sz w:val="28"/>
          <w:szCs w:val="28"/>
        </w:rPr>
        <w:tab/>
      </w:r>
      <w:r>
        <w:rPr>
          <w:sz w:val="28"/>
          <w:szCs w:val="28"/>
        </w:rPr>
        <w:fldChar w:fldCharType="begin"/>
      </w:r>
      <w:r>
        <w:rPr>
          <w:sz w:val="28"/>
          <w:szCs w:val="28"/>
        </w:rPr>
        <w:instrText xml:space="preserve"> PAGEREF _Toc93918198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"_Toc93918199" </w:instrText>
      </w:r>
      <w:r>
        <w:fldChar w:fldCharType="separate"/>
      </w:r>
      <w:r>
        <w:rPr>
          <w:rStyle w:val="13"/>
          <w:rFonts w:hint="eastAsia" w:asciiTheme="minorEastAsia" w:hAnsiTheme="minorEastAsia"/>
          <w:sz w:val="28"/>
          <w:szCs w:val="28"/>
        </w:rPr>
        <w:t>二、绩效评价工作简述</w:t>
      </w:r>
      <w:r>
        <w:rPr>
          <w:sz w:val="28"/>
          <w:szCs w:val="28"/>
        </w:rPr>
        <w:tab/>
      </w:r>
      <w:r>
        <w:rPr>
          <w:sz w:val="28"/>
          <w:szCs w:val="28"/>
        </w:rPr>
        <w:fldChar w:fldCharType="begin"/>
      </w:r>
      <w:r>
        <w:rPr>
          <w:sz w:val="28"/>
          <w:szCs w:val="28"/>
        </w:rPr>
        <w:instrText xml:space="preserve"> PAGEREF _Toc93918199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8"/>
        <w:tabs>
          <w:tab w:val="right" w:leader="dot" w:pos="8296"/>
        </w:tabs>
        <w:ind w:firstLine="420" w:firstLineChars="200"/>
        <w:rPr>
          <w:sz w:val="28"/>
          <w:szCs w:val="28"/>
        </w:rPr>
      </w:pPr>
      <w:r>
        <w:fldChar w:fldCharType="begin"/>
      </w:r>
      <w:r>
        <w:instrText xml:space="preserve"> HYPERLINK \l "_Toc93918200" </w:instrText>
      </w:r>
      <w:r>
        <w:fldChar w:fldCharType="separate"/>
      </w:r>
      <w:r>
        <w:rPr>
          <w:rStyle w:val="13"/>
          <w:rFonts w:hint="eastAsia" w:asciiTheme="minorEastAsia" w:hAnsiTheme="minorEastAsia"/>
          <w:sz w:val="28"/>
          <w:szCs w:val="28"/>
        </w:rPr>
        <w:t>（一）绩效评价目的、对象和范围</w:t>
      </w:r>
      <w:r>
        <w:rPr>
          <w:sz w:val="28"/>
          <w:szCs w:val="28"/>
        </w:rPr>
        <w:tab/>
      </w:r>
      <w:r>
        <w:rPr>
          <w:sz w:val="28"/>
          <w:szCs w:val="28"/>
        </w:rPr>
        <w:fldChar w:fldCharType="begin"/>
      </w:r>
      <w:r>
        <w:rPr>
          <w:sz w:val="28"/>
          <w:szCs w:val="28"/>
        </w:rPr>
        <w:instrText xml:space="preserve"> PAGEREF _Toc93918200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"_Toc93918201" </w:instrText>
      </w:r>
      <w:r>
        <w:fldChar w:fldCharType="separate"/>
      </w:r>
      <w:r>
        <w:rPr>
          <w:rStyle w:val="13"/>
          <w:rFonts w:hint="eastAsia" w:asciiTheme="minorEastAsia" w:hAnsiTheme="minorEastAsia"/>
          <w:sz w:val="28"/>
          <w:szCs w:val="28"/>
        </w:rPr>
        <w:t>（二）绩效评价的依据</w:t>
      </w:r>
      <w:r>
        <w:rPr>
          <w:sz w:val="28"/>
          <w:szCs w:val="28"/>
        </w:rPr>
        <w:tab/>
      </w:r>
      <w:r>
        <w:rPr>
          <w:sz w:val="28"/>
          <w:szCs w:val="28"/>
        </w:rPr>
        <w:fldChar w:fldCharType="begin"/>
      </w:r>
      <w:r>
        <w:rPr>
          <w:sz w:val="28"/>
          <w:szCs w:val="28"/>
        </w:rPr>
        <w:instrText xml:space="preserve"> PAGEREF _Toc93918201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"_Toc93918202" </w:instrText>
      </w:r>
      <w:r>
        <w:fldChar w:fldCharType="separate"/>
      </w:r>
      <w:r>
        <w:rPr>
          <w:rStyle w:val="13"/>
          <w:rFonts w:hint="eastAsia" w:asciiTheme="minorEastAsia" w:hAnsiTheme="minorEastAsia"/>
          <w:sz w:val="28"/>
          <w:szCs w:val="28"/>
        </w:rPr>
        <w:t>（三）绩效评价工作过程</w:t>
      </w:r>
      <w:r>
        <w:rPr>
          <w:sz w:val="28"/>
          <w:szCs w:val="28"/>
        </w:rPr>
        <w:tab/>
      </w:r>
      <w:r>
        <w:rPr>
          <w:sz w:val="28"/>
          <w:szCs w:val="28"/>
        </w:rPr>
        <w:fldChar w:fldCharType="begin"/>
      </w:r>
      <w:r>
        <w:rPr>
          <w:sz w:val="28"/>
          <w:szCs w:val="28"/>
        </w:rPr>
        <w:instrText xml:space="preserve"> PAGEREF _Toc93918202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8"/>
        <w:tabs>
          <w:tab w:val="right" w:leader="dot" w:pos="8296"/>
        </w:tabs>
        <w:ind w:firstLine="420" w:firstLineChars="200"/>
        <w:rPr>
          <w:sz w:val="28"/>
          <w:szCs w:val="28"/>
        </w:rPr>
      </w:pPr>
      <w:r>
        <w:fldChar w:fldCharType="begin"/>
      </w:r>
      <w:r>
        <w:instrText xml:space="preserve"> HYPERLINK \l "_Toc93918203" </w:instrText>
      </w:r>
      <w:r>
        <w:fldChar w:fldCharType="separate"/>
      </w:r>
      <w:r>
        <w:rPr>
          <w:rStyle w:val="13"/>
          <w:rFonts w:hint="eastAsia" w:asciiTheme="minorEastAsia" w:hAnsiTheme="minorEastAsia"/>
          <w:sz w:val="28"/>
          <w:szCs w:val="28"/>
        </w:rPr>
        <w:t>（四）绩效评价原则、评价方法和标准</w:t>
      </w:r>
      <w:r>
        <w:rPr>
          <w:sz w:val="28"/>
          <w:szCs w:val="28"/>
        </w:rPr>
        <w:tab/>
      </w:r>
      <w:r>
        <w:rPr>
          <w:sz w:val="28"/>
          <w:szCs w:val="28"/>
        </w:rPr>
        <w:fldChar w:fldCharType="begin"/>
      </w:r>
      <w:r>
        <w:rPr>
          <w:sz w:val="28"/>
          <w:szCs w:val="28"/>
        </w:rPr>
        <w:instrText xml:space="preserve"> PAGEREF _Toc93918203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8"/>
        <w:tabs>
          <w:tab w:val="right" w:leader="dot" w:pos="8296"/>
        </w:tabs>
        <w:ind w:firstLine="420" w:firstLineChars="200"/>
        <w:rPr>
          <w:sz w:val="28"/>
          <w:szCs w:val="28"/>
        </w:rPr>
      </w:pPr>
      <w:r>
        <w:fldChar w:fldCharType="begin"/>
      </w:r>
      <w:r>
        <w:instrText xml:space="preserve"> HYPERLINK \l "_Toc93918204" </w:instrText>
      </w:r>
      <w:r>
        <w:fldChar w:fldCharType="separate"/>
      </w:r>
      <w:r>
        <w:rPr>
          <w:rStyle w:val="13"/>
          <w:rFonts w:hint="eastAsia" w:asciiTheme="minorEastAsia" w:hAnsiTheme="minorEastAsia"/>
          <w:sz w:val="28"/>
          <w:szCs w:val="28"/>
        </w:rPr>
        <w:t>（五）绩效评价指标体系</w:t>
      </w:r>
      <w:r>
        <w:rPr>
          <w:sz w:val="28"/>
          <w:szCs w:val="28"/>
        </w:rPr>
        <w:tab/>
      </w:r>
      <w:r>
        <w:rPr>
          <w:sz w:val="28"/>
          <w:szCs w:val="28"/>
        </w:rPr>
        <w:fldChar w:fldCharType="begin"/>
      </w:r>
      <w:r>
        <w:rPr>
          <w:sz w:val="28"/>
          <w:szCs w:val="28"/>
        </w:rPr>
        <w:instrText xml:space="preserve"> PAGEREF _Toc93918204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"_Toc93918205" </w:instrText>
      </w:r>
      <w:r>
        <w:fldChar w:fldCharType="separate"/>
      </w:r>
      <w:r>
        <w:rPr>
          <w:rStyle w:val="13"/>
          <w:rFonts w:hint="eastAsia" w:asciiTheme="minorEastAsia" w:hAnsiTheme="minorEastAsia"/>
          <w:kern w:val="44"/>
          <w:sz w:val="28"/>
          <w:szCs w:val="28"/>
        </w:rPr>
        <w:t>（六）绩效评价标准及评价等级</w:t>
      </w:r>
      <w:r>
        <w:rPr>
          <w:sz w:val="28"/>
          <w:szCs w:val="28"/>
        </w:rPr>
        <w:tab/>
      </w:r>
      <w:r>
        <w:rPr>
          <w:sz w:val="28"/>
          <w:szCs w:val="28"/>
        </w:rPr>
        <w:fldChar w:fldCharType="begin"/>
      </w:r>
      <w:r>
        <w:rPr>
          <w:sz w:val="28"/>
          <w:szCs w:val="28"/>
        </w:rPr>
        <w:instrText xml:space="preserve"> PAGEREF _Toc93918205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"_Toc93918206" </w:instrText>
      </w:r>
      <w:r>
        <w:fldChar w:fldCharType="separate"/>
      </w:r>
      <w:r>
        <w:rPr>
          <w:rStyle w:val="13"/>
          <w:rFonts w:hint="eastAsia" w:asciiTheme="minorEastAsia" w:hAnsiTheme="minorEastAsia"/>
          <w:sz w:val="28"/>
          <w:szCs w:val="28"/>
        </w:rPr>
        <w:t>三、绩效评价分析</w:t>
      </w:r>
      <w:r>
        <w:rPr>
          <w:sz w:val="28"/>
          <w:szCs w:val="28"/>
        </w:rPr>
        <w:tab/>
      </w:r>
      <w:r>
        <w:rPr>
          <w:sz w:val="28"/>
          <w:szCs w:val="28"/>
        </w:rPr>
        <w:fldChar w:fldCharType="begin"/>
      </w:r>
      <w:r>
        <w:rPr>
          <w:sz w:val="28"/>
          <w:szCs w:val="28"/>
        </w:rPr>
        <w:instrText xml:space="preserve"> PAGEREF _Toc93918206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"_Toc93918207" </w:instrText>
      </w:r>
      <w:r>
        <w:fldChar w:fldCharType="separate"/>
      </w:r>
      <w:r>
        <w:rPr>
          <w:rStyle w:val="13"/>
          <w:rFonts w:hint="eastAsia"/>
          <w:sz w:val="28"/>
          <w:szCs w:val="28"/>
        </w:rPr>
        <w:t>（一）</w:t>
      </w:r>
      <w:r>
        <w:rPr>
          <w:rStyle w:val="13"/>
          <w:rFonts w:hint="eastAsia" w:asciiTheme="minorEastAsia" w:hAnsiTheme="minorEastAsia"/>
          <w:sz w:val="28"/>
          <w:szCs w:val="28"/>
        </w:rPr>
        <w:t>项目决策情况</w:t>
      </w:r>
      <w:r>
        <w:rPr>
          <w:sz w:val="28"/>
          <w:szCs w:val="28"/>
        </w:rPr>
        <w:tab/>
      </w:r>
      <w:r>
        <w:rPr>
          <w:sz w:val="28"/>
          <w:szCs w:val="28"/>
        </w:rPr>
        <w:fldChar w:fldCharType="begin"/>
      </w:r>
      <w:r>
        <w:rPr>
          <w:sz w:val="28"/>
          <w:szCs w:val="28"/>
        </w:rPr>
        <w:instrText xml:space="preserve"> PAGEREF _Toc93918207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"_Toc93918208" </w:instrText>
      </w:r>
      <w:r>
        <w:fldChar w:fldCharType="separate"/>
      </w:r>
      <w:r>
        <w:rPr>
          <w:rStyle w:val="13"/>
          <w:rFonts w:hint="eastAsia"/>
          <w:sz w:val="28"/>
          <w:szCs w:val="28"/>
        </w:rPr>
        <w:t>（二）</w:t>
      </w:r>
      <w:r>
        <w:rPr>
          <w:rStyle w:val="13"/>
          <w:rFonts w:hint="eastAsia" w:asciiTheme="minorEastAsia" w:hAnsiTheme="minorEastAsia"/>
          <w:sz w:val="28"/>
          <w:szCs w:val="28"/>
        </w:rPr>
        <w:t>项目过程情况</w:t>
      </w:r>
      <w:r>
        <w:rPr>
          <w:sz w:val="28"/>
          <w:szCs w:val="28"/>
        </w:rPr>
        <w:tab/>
      </w:r>
      <w:r>
        <w:rPr>
          <w:sz w:val="28"/>
          <w:szCs w:val="28"/>
        </w:rPr>
        <w:fldChar w:fldCharType="begin"/>
      </w:r>
      <w:r>
        <w:rPr>
          <w:sz w:val="28"/>
          <w:szCs w:val="28"/>
        </w:rPr>
        <w:instrText xml:space="preserve"> PAGEREF _Toc93918208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"_Toc93918209" </w:instrText>
      </w:r>
      <w:r>
        <w:fldChar w:fldCharType="separate"/>
      </w:r>
      <w:r>
        <w:rPr>
          <w:rStyle w:val="13"/>
          <w:rFonts w:hint="eastAsia"/>
          <w:sz w:val="28"/>
          <w:szCs w:val="28"/>
        </w:rPr>
        <w:t>（三）</w:t>
      </w:r>
      <w:r>
        <w:rPr>
          <w:rStyle w:val="13"/>
          <w:rFonts w:hint="eastAsia" w:asciiTheme="minorEastAsia" w:hAnsiTheme="minorEastAsia"/>
          <w:sz w:val="28"/>
          <w:szCs w:val="28"/>
        </w:rPr>
        <w:t>项目产出情况</w:t>
      </w:r>
      <w:r>
        <w:rPr>
          <w:sz w:val="28"/>
          <w:szCs w:val="28"/>
        </w:rPr>
        <w:tab/>
      </w:r>
      <w:r>
        <w:rPr>
          <w:sz w:val="28"/>
          <w:szCs w:val="28"/>
        </w:rPr>
        <w:fldChar w:fldCharType="begin"/>
      </w:r>
      <w:r>
        <w:rPr>
          <w:sz w:val="28"/>
          <w:szCs w:val="28"/>
        </w:rPr>
        <w:instrText xml:space="preserve"> PAGEREF _Toc93918209 \h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"_Toc93918210" </w:instrText>
      </w:r>
      <w:r>
        <w:fldChar w:fldCharType="separate"/>
      </w:r>
      <w:r>
        <w:rPr>
          <w:rStyle w:val="13"/>
          <w:rFonts w:hint="eastAsia"/>
          <w:sz w:val="28"/>
          <w:szCs w:val="28"/>
        </w:rPr>
        <w:t>（四）</w:t>
      </w:r>
      <w:r>
        <w:rPr>
          <w:rStyle w:val="13"/>
          <w:rFonts w:hint="eastAsia" w:asciiTheme="minorEastAsia" w:hAnsiTheme="minorEastAsia"/>
          <w:sz w:val="28"/>
          <w:szCs w:val="28"/>
        </w:rPr>
        <w:t>项目效益情况</w:t>
      </w:r>
      <w:r>
        <w:rPr>
          <w:sz w:val="28"/>
          <w:szCs w:val="28"/>
        </w:rPr>
        <w:tab/>
      </w:r>
      <w:r>
        <w:rPr>
          <w:sz w:val="28"/>
          <w:szCs w:val="28"/>
        </w:rPr>
        <w:fldChar w:fldCharType="begin"/>
      </w:r>
      <w:r>
        <w:rPr>
          <w:sz w:val="28"/>
          <w:szCs w:val="28"/>
        </w:rPr>
        <w:instrText xml:space="preserve"> PAGEREF _Toc93918210 \h </w:instrText>
      </w:r>
      <w:r>
        <w:rPr>
          <w:sz w:val="28"/>
          <w:szCs w:val="28"/>
        </w:rPr>
        <w:fldChar w:fldCharType="separate"/>
      </w:r>
      <w:r>
        <w:rPr>
          <w:sz w:val="28"/>
          <w:szCs w:val="28"/>
        </w:rPr>
        <w:t>22</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"_Toc93918211" </w:instrText>
      </w:r>
      <w:r>
        <w:fldChar w:fldCharType="separate"/>
      </w:r>
      <w:r>
        <w:rPr>
          <w:rStyle w:val="13"/>
          <w:rFonts w:hint="eastAsia" w:asciiTheme="minorEastAsia" w:hAnsiTheme="minorEastAsia"/>
          <w:sz w:val="28"/>
          <w:szCs w:val="28"/>
        </w:rPr>
        <w:t>四、综合绩效评价情况及评价结论</w:t>
      </w:r>
      <w:r>
        <w:rPr>
          <w:sz w:val="28"/>
          <w:szCs w:val="28"/>
        </w:rPr>
        <w:tab/>
      </w:r>
      <w:r>
        <w:rPr>
          <w:sz w:val="28"/>
          <w:szCs w:val="28"/>
        </w:rPr>
        <w:fldChar w:fldCharType="begin"/>
      </w:r>
      <w:r>
        <w:rPr>
          <w:sz w:val="28"/>
          <w:szCs w:val="28"/>
        </w:rPr>
        <w:instrText xml:space="preserve"> PAGEREF _Toc93918211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8"/>
        <w:tabs>
          <w:tab w:val="right" w:leader="dot" w:pos="8296"/>
        </w:tabs>
        <w:ind w:firstLine="420" w:firstLineChars="200"/>
        <w:rPr>
          <w:sz w:val="28"/>
          <w:szCs w:val="28"/>
        </w:rPr>
      </w:pPr>
      <w:r>
        <w:fldChar w:fldCharType="begin"/>
      </w:r>
      <w:r>
        <w:instrText xml:space="preserve"> HYPERLINK \l "_Toc93918212" </w:instrText>
      </w:r>
      <w:r>
        <w:fldChar w:fldCharType="separate"/>
      </w:r>
      <w:r>
        <w:rPr>
          <w:rStyle w:val="13"/>
          <w:rFonts w:hint="eastAsia" w:asciiTheme="minorEastAsia" w:hAnsiTheme="minorEastAsia"/>
          <w:sz w:val="28"/>
          <w:szCs w:val="28"/>
        </w:rPr>
        <w:t>（一）综合绩效评价情况</w:t>
      </w:r>
      <w:r>
        <w:rPr>
          <w:sz w:val="28"/>
          <w:szCs w:val="28"/>
        </w:rPr>
        <w:tab/>
      </w:r>
      <w:r>
        <w:rPr>
          <w:sz w:val="28"/>
          <w:szCs w:val="28"/>
        </w:rPr>
        <w:fldChar w:fldCharType="begin"/>
      </w:r>
      <w:r>
        <w:rPr>
          <w:sz w:val="28"/>
          <w:szCs w:val="28"/>
        </w:rPr>
        <w:instrText xml:space="preserve"> PAGEREF _Toc93918212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"_Toc93918213" </w:instrText>
      </w:r>
      <w:r>
        <w:fldChar w:fldCharType="separate"/>
      </w:r>
      <w:r>
        <w:rPr>
          <w:rStyle w:val="13"/>
          <w:rFonts w:hint="eastAsia" w:asciiTheme="minorEastAsia" w:hAnsiTheme="minorEastAsia"/>
          <w:sz w:val="28"/>
          <w:szCs w:val="28"/>
        </w:rPr>
        <w:t>（二）总体评价结论</w:t>
      </w:r>
      <w:r>
        <w:rPr>
          <w:sz w:val="28"/>
          <w:szCs w:val="28"/>
        </w:rPr>
        <w:tab/>
      </w:r>
      <w:r>
        <w:rPr>
          <w:sz w:val="28"/>
          <w:szCs w:val="28"/>
        </w:rPr>
        <w:fldChar w:fldCharType="begin"/>
      </w:r>
      <w:r>
        <w:rPr>
          <w:sz w:val="28"/>
          <w:szCs w:val="28"/>
        </w:rPr>
        <w:instrText xml:space="preserve"> PAGEREF _Toc93918213 \h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"_Toc93918214" </w:instrText>
      </w:r>
      <w:r>
        <w:fldChar w:fldCharType="separate"/>
      </w:r>
      <w:r>
        <w:rPr>
          <w:rStyle w:val="13"/>
          <w:rFonts w:hint="eastAsia" w:asciiTheme="minorEastAsia" w:hAnsiTheme="minorEastAsia"/>
          <w:sz w:val="28"/>
          <w:szCs w:val="28"/>
        </w:rPr>
        <w:t>五</w:t>
      </w:r>
      <w:r>
        <w:rPr>
          <w:rStyle w:val="13"/>
          <w:rFonts w:hint="eastAsia"/>
          <w:sz w:val="28"/>
          <w:szCs w:val="28"/>
        </w:rPr>
        <w:t>、</w:t>
      </w:r>
      <w:r>
        <w:rPr>
          <w:rStyle w:val="13"/>
          <w:rFonts w:hint="eastAsia" w:asciiTheme="minorEastAsia" w:hAnsiTheme="minorEastAsia"/>
          <w:sz w:val="28"/>
          <w:szCs w:val="28"/>
        </w:rPr>
        <w:t>主要经验及做法、存在的问题及原因分析</w:t>
      </w:r>
      <w:r>
        <w:rPr>
          <w:sz w:val="28"/>
          <w:szCs w:val="28"/>
        </w:rPr>
        <w:tab/>
      </w:r>
      <w:r>
        <w:rPr>
          <w:sz w:val="28"/>
          <w:szCs w:val="28"/>
        </w:rPr>
        <w:fldChar w:fldCharType="begin"/>
      </w:r>
      <w:r>
        <w:rPr>
          <w:sz w:val="28"/>
          <w:szCs w:val="28"/>
        </w:rPr>
        <w:instrText xml:space="preserve"> PAGEREF _Toc93918214 \h </w:instrText>
      </w:r>
      <w:r>
        <w:rPr>
          <w:sz w:val="28"/>
          <w:szCs w:val="28"/>
        </w:rPr>
        <w:fldChar w:fldCharType="separate"/>
      </w:r>
      <w:r>
        <w:rPr>
          <w:sz w:val="28"/>
          <w:szCs w:val="28"/>
        </w:rPr>
        <w:t>28</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"_Toc93918215" </w:instrText>
      </w:r>
      <w:r>
        <w:fldChar w:fldCharType="separate"/>
      </w:r>
      <w:r>
        <w:rPr>
          <w:rStyle w:val="13"/>
          <w:rFonts w:hint="eastAsia"/>
          <w:sz w:val="28"/>
          <w:szCs w:val="28"/>
        </w:rPr>
        <w:t>（一）</w:t>
      </w:r>
      <w:r>
        <w:rPr>
          <w:rStyle w:val="13"/>
          <w:rFonts w:hint="eastAsia" w:asciiTheme="minorEastAsia" w:hAnsiTheme="minorEastAsia"/>
          <w:sz w:val="28"/>
          <w:szCs w:val="28"/>
        </w:rPr>
        <w:t>主要经验做法</w:t>
      </w:r>
      <w:r>
        <w:rPr>
          <w:sz w:val="28"/>
          <w:szCs w:val="28"/>
        </w:rPr>
        <w:tab/>
      </w:r>
      <w:r>
        <w:rPr>
          <w:sz w:val="28"/>
          <w:szCs w:val="28"/>
        </w:rPr>
        <w:fldChar w:fldCharType="begin"/>
      </w:r>
      <w:r>
        <w:rPr>
          <w:sz w:val="28"/>
          <w:szCs w:val="28"/>
        </w:rPr>
        <w:instrText xml:space="preserve"> PAGEREF _Toc93918215 \h </w:instrText>
      </w:r>
      <w:r>
        <w:rPr>
          <w:sz w:val="28"/>
          <w:szCs w:val="28"/>
        </w:rPr>
        <w:fldChar w:fldCharType="separate"/>
      </w:r>
      <w:r>
        <w:rPr>
          <w:sz w:val="28"/>
          <w:szCs w:val="28"/>
        </w:rPr>
        <w:t>28</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"_Toc93918216" </w:instrText>
      </w:r>
      <w:r>
        <w:fldChar w:fldCharType="separate"/>
      </w:r>
      <w:r>
        <w:rPr>
          <w:rStyle w:val="13"/>
          <w:rFonts w:hint="eastAsia"/>
          <w:sz w:val="28"/>
          <w:szCs w:val="28"/>
        </w:rPr>
        <w:t>（二）</w:t>
      </w:r>
      <w:r>
        <w:rPr>
          <w:rStyle w:val="13"/>
          <w:rFonts w:hint="eastAsia" w:asciiTheme="minorEastAsia" w:hAnsiTheme="minorEastAsia"/>
          <w:sz w:val="28"/>
          <w:szCs w:val="28"/>
        </w:rPr>
        <w:t>存在的问题及原因分析</w:t>
      </w:r>
      <w:r>
        <w:rPr>
          <w:sz w:val="28"/>
          <w:szCs w:val="28"/>
        </w:rPr>
        <w:tab/>
      </w:r>
      <w:r>
        <w:rPr>
          <w:sz w:val="28"/>
          <w:szCs w:val="28"/>
        </w:rPr>
        <w:fldChar w:fldCharType="begin"/>
      </w:r>
      <w:r>
        <w:rPr>
          <w:sz w:val="28"/>
          <w:szCs w:val="28"/>
        </w:rPr>
        <w:instrText xml:space="preserve"> PAGEREF _Toc93918216 \h </w:instrText>
      </w:r>
      <w:r>
        <w:rPr>
          <w:sz w:val="28"/>
          <w:szCs w:val="28"/>
        </w:rPr>
        <w:fldChar w:fldCharType="separate"/>
      </w:r>
      <w:r>
        <w:rPr>
          <w:b/>
        </w:rPr>
        <w:t>错误！未定义书签。</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"_Toc93918217" </w:instrText>
      </w:r>
      <w:r>
        <w:fldChar w:fldCharType="separate"/>
      </w:r>
      <w:r>
        <w:rPr>
          <w:rStyle w:val="13"/>
          <w:rFonts w:hint="eastAsia" w:asciiTheme="minorEastAsia" w:hAnsiTheme="minorEastAsia"/>
          <w:sz w:val="28"/>
          <w:szCs w:val="28"/>
        </w:rPr>
        <w:t>六、有关建议</w:t>
      </w:r>
      <w:r>
        <w:rPr>
          <w:sz w:val="28"/>
          <w:szCs w:val="28"/>
        </w:rPr>
        <w:tab/>
      </w:r>
      <w:r>
        <w:rPr>
          <w:sz w:val="28"/>
          <w:szCs w:val="28"/>
        </w:rPr>
        <w:fldChar w:fldCharType="begin"/>
      </w:r>
      <w:r>
        <w:rPr>
          <w:sz w:val="28"/>
          <w:szCs w:val="28"/>
        </w:rPr>
        <w:instrText xml:space="preserve"> PAGEREF _Toc93918217 \h </w:instrText>
      </w:r>
      <w:r>
        <w:rPr>
          <w:sz w:val="28"/>
          <w:szCs w:val="28"/>
        </w:rPr>
        <w:fldChar w:fldCharType="separate"/>
      </w:r>
      <w:r>
        <w:rPr>
          <w:sz w:val="28"/>
          <w:szCs w:val="28"/>
        </w:rPr>
        <w:t>29</w:t>
      </w:r>
      <w:r>
        <w:rPr>
          <w:sz w:val="28"/>
          <w:szCs w:val="28"/>
        </w:rPr>
        <w:fldChar w:fldCharType="end"/>
      </w:r>
      <w:r>
        <w:rPr>
          <w:sz w:val="28"/>
          <w:szCs w:val="28"/>
        </w:rPr>
        <w:fldChar w:fldCharType="end"/>
      </w:r>
    </w:p>
    <w:p>
      <w:pPr>
        <w:jc w:val="center"/>
        <w:rPr>
          <w:rFonts w:asciiTheme="majorEastAsia" w:hAnsiTheme="majorEastAsia" w:eastAsiaTheme="majorEastAsia"/>
          <w:b/>
          <w:sz w:val="28"/>
          <w:szCs w:val="28"/>
        </w:rPr>
      </w:pPr>
      <w:r>
        <w:rPr>
          <w:rFonts w:asciiTheme="minorEastAsia" w:hAnsiTheme="minorEastAsia"/>
          <w:sz w:val="28"/>
          <w:szCs w:val="28"/>
        </w:rPr>
        <w:fldChar w:fldCharType="end"/>
      </w: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jc w:val="center"/>
        <w:rPr>
          <w:rFonts w:asciiTheme="majorEastAsia" w:hAnsiTheme="majorEastAsia" w:eastAsiaTheme="majorEastAsia"/>
          <w:b/>
          <w:sz w:val="28"/>
          <w:szCs w:val="28"/>
        </w:rPr>
      </w:pPr>
    </w:p>
    <w:p>
      <w:pPr>
        <w:rPr>
          <w:rFonts w:asciiTheme="majorEastAsia" w:hAnsiTheme="majorEastAsia" w:eastAsiaTheme="majorEastAsia"/>
          <w:b/>
          <w:sz w:val="44"/>
          <w:szCs w:val="44"/>
        </w:rPr>
      </w:pPr>
    </w:p>
    <w:p>
      <w:pPr>
        <w:jc w:val="center"/>
        <w:rPr>
          <w:rFonts w:ascii="黑体" w:hAnsi="黑体" w:eastAsia="黑体"/>
          <w:b/>
          <w:sz w:val="44"/>
          <w:szCs w:val="44"/>
        </w:rPr>
        <w:sectPr>
          <w:footerReference r:id="rId3" w:type="default"/>
          <w:pgSz w:w="11906" w:h="16838"/>
          <w:pgMar w:top="1440" w:right="1800" w:bottom="1440" w:left="1800" w:header="851" w:footer="992" w:gutter="0"/>
          <w:cols w:space="425" w:num="1"/>
          <w:docGrid w:type="lines" w:linePitch="312" w:charSpace="0"/>
        </w:sectPr>
      </w:pPr>
    </w:p>
    <w:p>
      <w:pPr>
        <w:jc w:val="center"/>
        <w:rPr>
          <w:rFonts w:ascii="黑体" w:hAnsi="黑体" w:eastAsia="黑体"/>
          <w:b/>
          <w:sz w:val="44"/>
          <w:szCs w:val="44"/>
        </w:rPr>
      </w:pPr>
      <w:r>
        <w:rPr>
          <w:rFonts w:hint="eastAsia" w:ascii="黑体" w:hAnsi="黑体" w:eastAsia="黑体"/>
          <w:b/>
          <w:sz w:val="44"/>
          <w:szCs w:val="44"/>
        </w:rPr>
        <w:t>转移支付资金项目绩效评价报告</w:t>
      </w:r>
    </w:p>
    <w:p>
      <w:pPr>
        <w:spacing w:beforeLines="50"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为贯彻落实《中共中央 国务院关于全面实施预算绩效管理的意见》和《中共河南省委 河南省人民政府关于全面实施预算绩效管理的实施意见》等文件精神，加强财政资金绩效管理，提高资金使用效益，三门峡市陕州区财政局委托国咨项目管理有限公司，对转移支付资金项目进行了绩效评价，现将有关情况报告如下。</w:t>
      </w:r>
    </w:p>
    <w:p>
      <w:pPr>
        <w:pStyle w:val="3"/>
        <w:rPr>
          <w:rFonts w:asciiTheme="minorEastAsia" w:hAnsiTheme="minorEastAsia"/>
        </w:rPr>
      </w:pPr>
      <w:bookmarkStart w:id="0" w:name="_Toc93918194"/>
      <w:r>
        <w:rPr>
          <w:rFonts w:hint="eastAsia" w:asciiTheme="minorEastAsia" w:hAnsiTheme="minorEastAsia"/>
        </w:rPr>
        <w:t>一、概述</w:t>
      </w:r>
      <w:bookmarkEnd w:id="0"/>
    </w:p>
    <w:p>
      <w:pPr>
        <w:pStyle w:val="3"/>
        <w:rPr>
          <w:rFonts w:asciiTheme="minorEastAsia" w:hAnsiTheme="minorEastAsia"/>
          <w:sz w:val="30"/>
          <w:szCs w:val="30"/>
        </w:rPr>
      </w:pPr>
      <w:bookmarkStart w:id="1" w:name="_Toc93918195"/>
      <w:r>
        <w:rPr>
          <w:rFonts w:hint="eastAsia" w:asciiTheme="minorEastAsia" w:hAnsiTheme="minorEastAsia"/>
          <w:sz w:val="30"/>
          <w:szCs w:val="30"/>
        </w:rPr>
        <w:t>（一）项目单位基本情况</w:t>
      </w:r>
      <w:bookmarkEnd w:id="1"/>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三门峡市陕州区</w:t>
      </w:r>
      <w:r>
        <w:rPr>
          <w:rFonts w:ascii="宋体" w:hAnsi="宋体" w:eastAsia="宋体"/>
          <w:sz w:val="30"/>
          <w:szCs w:val="30"/>
        </w:rPr>
        <w:t>公安局是主管</w:t>
      </w:r>
      <w:r>
        <w:rPr>
          <w:rFonts w:hint="eastAsia" w:ascii="宋体" w:hAnsi="宋体" w:eastAsia="宋体"/>
          <w:sz w:val="30"/>
          <w:szCs w:val="30"/>
        </w:rPr>
        <w:t>陕州区</w:t>
      </w:r>
      <w:r>
        <w:rPr>
          <w:rFonts w:ascii="宋体" w:hAnsi="宋体" w:eastAsia="宋体"/>
          <w:sz w:val="30"/>
          <w:szCs w:val="30"/>
        </w:rPr>
        <w:t>公安工作的政府职能部门，承担的工作职责主要包括：</w:t>
      </w:r>
      <w:r>
        <w:rPr>
          <w:rFonts w:hint="eastAsia" w:ascii="宋体" w:hAnsi="宋体" w:eastAsia="宋体"/>
          <w:sz w:val="30"/>
          <w:szCs w:val="30"/>
        </w:rPr>
        <w:t>贯彻落实国家、省、市公安工作法律、法规和方针政策，拟订全区公安工作发展规划及有关规定；掌握影响社会稳定、危害国家政治安全和社会治安的情况；负责全区公安机关侦查工作，协调、侦办全区刑事犯罪案件、危害国家政治安全的犯罪案件、经济犯罪案件和上级批转的重大案件及专项工作；负责全区治安管理工作；负责出入境管理有关工作；负责全区道路交通安全管理工作；负责全区公安机关对公共信息网络的安全保护工作，负责信息安全等级保护工作的监督、检查、指导；拟订全区公安机关被装配备标准、制度，参与拟订公安机关装备、经费标准，拟订管理制度贯彻落实国家关于公安队伍建设的方针政策，拟订全区公安队伍管理监督工作规定，查处或督办全区公安队伍违纪案件，负责全区公安队伍思想政治建设和工作作风建设。</w:t>
      </w:r>
    </w:p>
    <w:p>
      <w:pPr>
        <w:pStyle w:val="3"/>
      </w:pPr>
      <w:bookmarkStart w:id="2" w:name="_Toc93918196"/>
      <w:r>
        <w:rPr>
          <w:rFonts w:hint="eastAsia" w:asciiTheme="minorEastAsia" w:hAnsiTheme="minorEastAsia"/>
          <w:sz w:val="30"/>
          <w:szCs w:val="30"/>
        </w:rPr>
        <w:t>（二）项目背景</w:t>
      </w:r>
      <w:bookmarkEnd w:id="2"/>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加强政法经费保障是贯彻落实科学发展观和党的十七大关于深化司法体制改革战略部署的重要措施，中央和省级财政按照“明确责任、分类负担、收支脱钩、全额保障”的政法经费保障新体制要求，不断加大对地方政法部门的投入力度。强化政法资金保障，夯实公共安全基础。</w:t>
      </w:r>
    </w:p>
    <w:p>
      <w:pPr>
        <w:pStyle w:val="3"/>
        <w:rPr>
          <w:rFonts w:asciiTheme="minorEastAsia" w:hAnsiTheme="minorEastAsia"/>
          <w:sz w:val="30"/>
          <w:szCs w:val="30"/>
        </w:rPr>
      </w:pPr>
      <w:bookmarkStart w:id="3" w:name="_Toc93918197"/>
      <w:r>
        <w:rPr>
          <w:rFonts w:hint="eastAsia" w:asciiTheme="minorEastAsia" w:hAnsiTheme="minorEastAsia"/>
          <w:sz w:val="30"/>
          <w:szCs w:val="30"/>
        </w:rPr>
        <w:t>（三）项目基本情况</w:t>
      </w:r>
      <w:bookmarkEnd w:id="3"/>
    </w:p>
    <w:p>
      <w:pPr>
        <w:pStyle w:val="14"/>
        <w:spacing w:beforeLines="50" w:afterLines="50" w:line="360" w:lineRule="auto"/>
        <w:ind w:left="105" w:leftChars="50" w:right="105" w:rightChars="50" w:firstLine="600"/>
        <w:rPr>
          <w:rFonts w:ascii="宋体" w:hAnsi="宋体" w:eastAsia="宋体"/>
          <w:sz w:val="30"/>
          <w:szCs w:val="30"/>
        </w:rPr>
      </w:pPr>
      <w:bookmarkStart w:id="4" w:name="_Toc93918198"/>
      <w:r>
        <w:rPr>
          <w:rFonts w:hint="eastAsia" w:ascii="宋体" w:hAnsi="宋体" w:eastAsia="宋体" w:cs="Times New Roman"/>
          <w:sz w:val="30"/>
          <w:szCs w:val="30"/>
        </w:rPr>
        <w:t>2021年下达公安转移支付资金共912.78万元，其中：中央资金598.78万元，地方资金314万元；办案业务经费694.78万元，业务装备经费218万元。</w:t>
      </w:r>
    </w:p>
    <w:p>
      <w:pPr>
        <w:autoSpaceDE w:val="0"/>
        <w:autoSpaceDN w:val="0"/>
        <w:adjustRightInd w:val="0"/>
        <w:spacing w:line="600" w:lineRule="exact"/>
        <w:ind w:firstLine="640" w:firstLineChars="200"/>
        <w:rPr>
          <w:rFonts w:ascii="宋体" w:hAnsi="宋体" w:eastAsia="宋体" w:cs="仿宋_GB2312"/>
          <w:bCs/>
          <w:sz w:val="32"/>
          <w:szCs w:val="32"/>
        </w:rPr>
      </w:pPr>
      <w:r>
        <w:rPr>
          <w:rFonts w:hint="eastAsia" w:ascii="宋体" w:hAnsi="宋体" w:eastAsia="宋体" w:cs="仿宋_GB2312"/>
          <w:bCs/>
          <w:sz w:val="32"/>
          <w:szCs w:val="32"/>
        </w:rPr>
        <w:t>办案业务费694.78万元，用于保障全局执法办案业务费用支出，开展业务所需的警用执法车辆运行费、差旅费、宣传版面的印刷费、专线租赁费等。</w:t>
      </w:r>
    </w:p>
    <w:p>
      <w:pPr>
        <w:autoSpaceDE w:val="0"/>
        <w:autoSpaceDN w:val="0"/>
        <w:adjustRightInd w:val="0"/>
        <w:spacing w:line="600" w:lineRule="exact"/>
        <w:ind w:firstLine="640" w:firstLineChars="200"/>
        <w:rPr>
          <w:rFonts w:ascii="宋体" w:hAnsi="宋体" w:eastAsia="宋体" w:cs="仿宋_GB2312"/>
          <w:bCs/>
          <w:sz w:val="32"/>
          <w:szCs w:val="32"/>
        </w:rPr>
      </w:pPr>
      <w:r>
        <w:rPr>
          <w:rFonts w:hint="eastAsia" w:ascii="宋体" w:hAnsi="宋体" w:eastAsia="宋体" w:cs="仿宋_GB2312"/>
          <w:bCs/>
          <w:sz w:val="32"/>
          <w:szCs w:val="32"/>
        </w:rPr>
        <w:t>业务装备费218万元，用于4个项目支出：</w:t>
      </w:r>
    </w:p>
    <w:p>
      <w:pPr>
        <w:autoSpaceDE w:val="0"/>
        <w:autoSpaceDN w:val="0"/>
        <w:adjustRightInd w:val="0"/>
        <w:spacing w:line="600" w:lineRule="exact"/>
        <w:ind w:firstLine="640" w:firstLineChars="200"/>
        <w:rPr>
          <w:rFonts w:ascii="宋体" w:hAnsi="宋体" w:eastAsia="宋体" w:cs="仿宋_GB2312"/>
          <w:bCs/>
          <w:sz w:val="32"/>
          <w:szCs w:val="32"/>
        </w:rPr>
      </w:pPr>
      <w:r>
        <w:rPr>
          <w:rFonts w:hint="eastAsia" w:ascii="宋体" w:hAnsi="宋体" w:eastAsia="宋体" w:cs="仿宋_GB2312"/>
          <w:bCs/>
          <w:sz w:val="32"/>
          <w:szCs w:val="32"/>
        </w:rPr>
        <w:t>（1）智慧安防小区建设项20.3万元；</w:t>
      </w:r>
    </w:p>
    <w:p>
      <w:pPr>
        <w:autoSpaceDE w:val="0"/>
        <w:autoSpaceDN w:val="0"/>
        <w:adjustRightInd w:val="0"/>
        <w:spacing w:line="600" w:lineRule="exact"/>
        <w:ind w:firstLine="640" w:firstLineChars="200"/>
        <w:rPr>
          <w:rFonts w:ascii="宋体" w:hAnsi="宋体" w:eastAsia="宋体" w:cs="仿宋_GB2312"/>
          <w:bCs/>
          <w:sz w:val="32"/>
          <w:szCs w:val="32"/>
        </w:rPr>
      </w:pPr>
      <w:r>
        <w:rPr>
          <w:rFonts w:hint="eastAsia" w:ascii="宋体" w:hAnsi="宋体" w:eastAsia="宋体" w:cs="仿宋_GB2312"/>
          <w:bCs/>
          <w:sz w:val="32"/>
          <w:szCs w:val="32"/>
        </w:rPr>
        <w:t>（2）城市视频监控应用系统建设169.45万元；</w:t>
      </w:r>
    </w:p>
    <w:p>
      <w:pPr>
        <w:autoSpaceDE w:val="0"/>
        <w:autoSpaceDN w:val="0"/>
        <w:adjustRightInd w:val="0"/>
        <w:spacing w:line="600" w:lineRule="exact"/>
        <w:ind w:firstLine="640" w:firstLineChars="200"/>
        <w:rPr>
          <w:rFonts w:ascii="宋体" w:hAnsi="宋体" w:eastAsia="宋体" w:cs="仿宋_GB2312"/>
          <w:bCs/>
          <w:sz w:val="32"/>
          <w:szCs w:val="32"/>
        </w:rPr>
      </w:pPr>
      <w:r>
        <w:rPr>
          <w:rFonts w:hint="eastAsia" w:ascii="宋体" w:hAnsi="宋体" w:eastAsia="宋体" w:cs="仿宋_GB2312"/>
          <w:bCs/>
          <w:sz w:val="32"/>
          <w:szCs w:val="32"/>
        </w:rPr>
        <w:t>（3）执法勤务装备执法记录仪26.07万元；</w:t>
      </w:r>
    </w:p>
    <w:p>
      <w:pPr>
        <w:autoSpaceDE w:val="0"/>
        <w:autoSpaceDN w:val="0"/>
        <w:adjustRightInd w:val="0"/>
        <w:spacing w:line="600" w:lineRule="exact"/>
        <w:ind w:firstLine="640" w:firstLineChars="200"/>
        <w:rPr>
          <w:rFonts w:ascii="宋体" w:hAnsi="宋体" w:eastAsia="宋体" w:cs="仿宋_GB2312"/>
          <w:bCs/>
          <w:sz w:val="32"/>
          <w:szCs w:val="32"/>
        </w:rPr>
      </w:pPr>
      <w:r>
        <w:rPr>
          <w:rFonts w:hint="eastAsia" w:ascii="宋体" w:hAnsi="宋体" w:eastAsia="宋体" w:cs="仿宋_GB2312"/>
          <w:bCs/>
          <w:sz w:val="32"/>
          <w:szCs w:val="32"/>
        </w:rPr>
        <w:t>（4）个人防护装备及单警装备2.18万元。</w:t>
      </w:r>
    </w:p>
    <w:p>
      <w:pPr>
        <w:pStyle w:val="3"/>
        <w:rPr>
          <w:rFonts w:asciiTheme="minorEastAsia" w:hAnsiTheme="minorEastAsia"/>
          <w:sz w:val="30"/>
          <w:szCs w:val="30"/>
        </w:rPr>
      </w:pPr>
      <w:r>
        <w:rPr>
          <w:rFonts w:hint="eastAsia" w:asciiTheme="minorEastAsia" w:hAnsiTheme="minorEastAsia"/>
          <w:sz w:val="30"/>
          <w:szCs w:val="30"/>
        </w:rPr>
        <w:t>（四）项目绩效目标</w:t>
      </w:r>
      <w:bookmarkEnd w:id="4"/>
    </w:p>
    <w:p>
      <w:pPr>
        <w:pStyle w:val="14"/>
        <w:spacing w:beforeLines="50" w:afterLines="50" w:line="360" w:lineRule="auto"/>
        <w:ind w:left="105" w:leftChars="50" w:right="105" w:rightChars="50" w:firstLine="600"/>
        <w:rPr>
          <w:rFonts w:ascii="宋体" w:hAnsi="宋体" w:eastAsia="宋体"/>
          <w:color w:val="000000" w:themeColor="text1"/>
          <w:sz w:val="30"/>
          <w:szCs w:val="30"/>
        </w:rPr>
      </w:pPr>
      <w:r>
        <w:rPr>
          <w:rFonts w:hint="eastAsia" w:ascii="宋体" w:hAnsi="宋体" w:eastAsia="宋体"/>
          <w:color w:val="000000" w:themeColor="text1"/>
          <w:sz w:val="30"/>
          <w:szCs w:val="30"/>
        </w:rPr>
        <w:t>支持地方公安机关开展各类业务工作，重点补助国保、维稳工作、重大案件侦破、重大活动安保、反恐怖、执法规范化建设、民警教育训练、区域警务合作等办案经费。保障重点装备建设项目和县级公安机关基本业务装备配备。支持地方公安机关有效打击各类犯罪，提高各类案件查办率，维护社会大局稳定。</w:t>
      </w:r>
    </w:p>
    <w:p>
      <w:pPr>
        <w:pStyle w:val="2"/>
        <w:rPr>
          <w:rFonts w:asciiTheme="minorEastAsia" w:hAnsiTheme="minorEastAsia"/>
          <w:sz w:val="32"/>
          <w:szCs w:val="32"/>
        </w:rPr>
      </w:pPr>
      <w:bookmarkStart w:id="5" w:name="_Toc93918199"/>
      <w:r>
        <w:rPr>
          <w:rFonts w:hint="eastAsia" w:asciiTheme="minorEastAsia" w:hAnsiTheme="minorEastAsia"/>
          <w:sz w:val="32"/>
          <w:szCs w:val="32"/>
        </w:rPr>
        <w:t>二、绩效评价工作简述</w:t>
      </w:r>
      <w:bookmarkEnd w:id="5"/>
    </w:p>
    <w:p>
      <w:pPr>
        <w:pStyle w:val="2"/>
        <w:rPr>
          <w:rFonts w:asciiTheme="minorEastAsia" w:hAnsiTheme="minorEastAsia"/>
          <w:sz w:val="30"/>
          <w:szCs w:val="30"/>
        </w:rPr>
      </w:pPr>
      <w:bookmarkStart w:id="6" w:name="_Toc93918200"/>
      <w:r>
        <w:rPr>
          <w:rFonts w:hint="eastAsia" w:asciiTheme="minorEastAsia" w:hAnsiTheme="minorEastAsia"/>
          <w:sz w:val="30"/>
          <w:szCs w:val="30"/>
        </w:rPr>
        <w:t>（一）绩效评价目的、对象和范围</w:t>
      </w:r>
      <w:bookmarkEnd w:id="6"/>
    </w:p>
    <w:p>
      <w:pPr>
        <w:pStyle w:val="14"/>
        <w:numPr>
          <w:ilvl w:val="0"/>
          <w:numId w:val="1"/>
        </w:numPr>
        <w:spacing w:beforeLines="50" w:afterLines="50" w:line="360" w:lineRule="auto"/>
        <w:ind w:left="105" w:leftChars="50" w:right="105" w:rightChars="50" w:firstLine="600"/>
        <w:rPr>
          <w:rFonts w:asciiTheme="minorEastAsia" w:hAnsiTheme="minorEastAsia"/>
          <w:sz w:val="30"/>
          <w:szCs w:val="30"/>
        </w:rPr>
      </w:pPr>
      <w:r>
        <w:rPr>
          <w:rFonts w:hint="eastAsia" w:asciiTheme="minorEastAsia" w:hAnsiTheme="minorEastAsia"/>
          <w:sz w:val="30"/>
          <w:szCs w:val="30"/>
        </w:rPr>
        <w:t>绩效评价目的</w:t>
      </w:r>
    </w:p>
    <w:p>
      <w:pPr>
        <w:spacing w:beforeLines="50"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本次绩效评价以转移支付资金项目资金为主线，考察资金使用情况、预算执行情況、项目进展情况、完工情况和项目产生的绩效等，从运行成本、管理效率、履职效能、社会效益、可持续发展能力和服务对象满意度等方面，多维度分析项目实施效果，客观评价项目绩效，并结合项目开展情况，深入分析有关问题、发展趋势与内在需求，对评价过程中发现的问题和不足，提出改进措施与建议，为下一步项目开展提供依据和参考。</w:t>
      </w:r>
    </w:p>
    <w:p>
      <w:pPr>
        <w:spacing w:beforeLines="50"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2.评价对象及范围</w:t>
      </w:r>
    </w:p>
    <w:p>
      <w:pPr>
        <w:pStyle w:val="14"/>
        <w:spacing w:beforeLines="50" w:afterLines="50" w:line="360" w:lineRule="auto"/>
        <w:ind w:left="105" w:leftChars="50" w:right="105" w:rightChars="50" w:firstLine="600"/>
        <w:rPr>
          <w:sz w:val="30"/>
          <w:szCs w:val="30"/>
        </w:rPr>
      </w:pPr>
      <w:r>
        <w:rPr>
          <w:rFonts w:hint="eastAsia" w:ascii="宋体" w:hAnsi="宋体" w:eastAsia="宋体"/>
          <w:sz w:val="30"/>
          <w:szCs w:val="30"/>
        </w:rPr>
        <w:t>本次评价主要对象为：转移支付资金项目，项目资金合计912.78万元，</w:t>
      </w:r>
      <w:r>
        <w:rPr>
          <w:rFonts w:hint="eastAsia" w:ascii="宋体" w:hAnsi="宋体" w:eastAsia="宋体" w:cs="Times New Roman"/>
          <w:sz w:val="30"/>
          <w:szCs w:val="30"/>
        </w:rPr>
        <w:t>其中：中央资金598.78万元，地方资金314万元</w:t>
      </w:r>
      <w:r>
        <w:rPr>
          <w:rFonts w:hint="eastAsia" w:ascii="宋体" w:hAnsi="宋体" w:eastAsia="宋体"/>
          <w:sz w:val="30"/>
          <w:szCs w:val="30"/>
        </w:rPr>
        <w:t>，评价组根据收回的基础数据表（含调研），评价共抽查资金912.78万元，实际支付912.78万元</w:t>
      </w:r>
      <w:r>
        <w:rPr>
          <w:rFonts w:hint="eastAsia"/>
          <w:sz w:val="30"/>
          <w:szCs w:val="30"/>
        </w:rPr>
        <w:t>。</w:t>
      </w:r>
    </w:p>
    <w:p>
      <w:pPr>
        <w:pStyle w:val="3"/>
        <w:rPr>
          <w:rFonts w:asciiTheme="minorEastAsia" w:hAnsiTheme="minorEastAsia"/>
          <w:sz w:val="30"/>
          <w:szCs w:val="30"/>
        </w:rPr>
      </w:pPr>
      <w:bookmarkStart w:id="7" w:name="_Toc93918201"/>
      <w:r>
        <w:rPr>
          <w:rFonts w:hint="eastAsia" w:asciiTheme="minorEastAsia" w:hAnsiTheme="minorEastAsia"/>
          <w:sz w:val="30"/>
          <w:szCs w:val="30"/>
        </w:rPr>
        <w:t>（二）绩效评价的依据</w:t>
      </w:r>
      <w:bookmarkEnd w:id="7"/>
    </w:p>
    <w:p>
      <w:pPr>
        <w:spacing w:beforeLines="50" w:afterLines="50" w:line="360" w:lineRule="auto"/>
        <w:ind w:left="105" w:leftChars="50" w:right="105" w:rightChars="50" w:firstLine="600" w:firstLineChars="200"/>
        <w:rPr>
          <w:rFonts w:ascii="宋体" w:hAnsi="宋体" w:eastAsia="宋体"/>
          <w:sz w:val="30"/>
          <w:szCs w:val="30"/>
        </w:rPr>
      </w:pPr>
      <w:r>
        <w:rPr>
          <w:rFonts w:hint="eastAsia" w:ascii="宋体" w:hAnsi="宋体" w:eastAsia="宋体"/>
          <w:sz w:val="30"/>
          <w:szCs w:val="30"/>
        </w:rPr>
        <w:t>（1）《财政部关于印发＜项目支出绩效评价管理办法＞的通知》（财预(2020)10号）；</w:t>
      </w:r>
    </w:p>
    <w:p>
      <w:pPr>
        <w:spacing w:beforeLines="50" w:afterLines="50" w:line="360" w:lineRule="auto"/>
        <w:ind w:left="105" w:leftChars="50" w:right="105" w:rightChars="50" w:firstLine="600" w:firstLineChars="200"/>
        <w:rPr>
          <w:rFonts w:ascii="宋体" w:hAnsi="宋体" w:eastAsia="宋体"/>
          <w:sz w:val="30"/>
          <w:szCs w:val="30"/>
        </w:rPr>
      </w:pPr>
      <w:r>
        <w:rPr>
          <w:rFonts w:hint="eastAsia" w:ascii="宋体" w:hAnsi="宋体" w:eastAsia="宋体"/>
          <w:sz w:val="30"/>
          <w:szCs w:val="30"/>
        </w:rPr>
        <w:t>（2）关于贯彻落实《中共中央国务院关于全面实施预算绩效管理的意见》的通知（财预(2018)167号）；</w:t>
      </w:r>
    </w:p>
    <w:p>
      <w:pPr>
        <w:spacing w:beforeLines="50" w:afterLines="50" w:line="360" w:lineRule="auto"/>
        <w:ind w:left="105" w:leftChars="50" w:right="105" w:rightChars="50" w:firstLine="600" w:firstLineChars="200"/>
        <w:rPr>
          <w:rFonts w:ascii="宋体" w:hAnsi="宋体" w:eastAsia="宋体"/>
          <w:sz w:val="30"/>
          <w:szCs w:val="30"/>
        </w:rPr>
      </w:pPr>
      <w:r>
        <w:rPr>
          <w:rFonts w:hint="eastAsia" w:ascii="宋体" w:hAnsi="宋体" w:eastAsia="宋体"/>
          <w:sz w:val="30"/>
          <w:szCs w:val="30"/>
        </w:rPr>
        <w:t>（3）《财政部关于印发＜预算绩效评价共性指标体系框架＞的通知》；</w:t>
      </w:r>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（4）《中共河南省委河南省人民政府关于全面实施预算绩效管理的实施意见》（豫发(2019)10号）；</w:t>
      </w:r>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（5）《中共三门峡市委三门峡市人民政府关于全面实施预算绩效管理的实施意见》（三发(2020)14号）；</w:t>
      </w:r>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（6）《河南省财政厅关于下达2021年全省公安、司法行政机关政法纪检检查转移支付资金预算的通知》（豫财政法【2021】113号）；</w:t>
      </w:r>
    </w:p>
    <w:p>
      <w:pPr>
        <w:widowControl/>
        <w:ind w:firstLine="600" w:firstLineChars="200"/>
        <w:rPr>
          <w:rFonts w:ascii="宋体" w:hAnsi="宋体" w:eastAsia="宋体"/>
          <w:sz w:val="30"/>
          <w:szCs w:val="30"/>
        </w:rPr>
      </w:pPr>
      <w:r>
        <w:rPr>
          <w:rFonts w:hint="eastAsia" w:ascii="宋体" w:hAnsi="宋体" w:eastAsia="宋体"/>
          <w:sz w:val="30"/>
          <w:szCs w:val="30"/>
        </w:rPr>
        <w:t>（7）</w:t>
      </w:r>
      <w:r>
        <w:rPr>
          <w:rFonts w:ascii="宋体" w:hAnsi="宋体" w:eastAsia="宋体"/>
          <w:sz w:val="30"/>
          <w:szCs w:val="30"/>
        </w:rPr>
        <w:t>《</w:t>
      </w:r>
      <w:r>
        <w:rPr>
          <w:rFonts w:hint="eastAsia" w:ascii="宋体" w:hAnsi="宋体" w:eastAsia="宋体"/>
          <w:sz w:val="30"/>
          <w:szCs w:val="30"/>
        </w:rPr>
        <w:t>关于提前下达2021年度政法纪检监察转移支付资金预算的通知</w:t>
      </w:r>
      <w:r>
        <w:rPr>
          <w:rFonts w:ascii="宋体" w:hAnsi="宋体" w:eastAsia="宋体"/>
          <w:sz w:val="30"/>
          <w:szCs w:val="30"/>
        </w:rPr>
        <w:t>》</w:t>
      </w:r>
      <w:r>
        <w:rPr>
          <w:rFonts w:hint="eastAsia" w:ascii="宋体" w:hAnsi="宋体" w:eastAsia="宋体"/>
          <w:sz w:val="30"/>
          <w:szCs w:val="30"/>
        </w:rPr>
        <w:t>（豫财政法【2020】81号）；</w:t>
      </w:r>
    </w:p>
    <w:p>
      <w:pPr>
        <w:widowControl/>
        <w:ind w:firstLine="600" w:firstLineChars="200"/>
        <w:rPr>
          <w:rFonts w:ascii="宋体" w:hAnsi="宋体" w:eastAsia="宋体"/>
          <w:sz w:val="30"/>
          <w:szCs w:val="30"/>
        </w:rPr>
      </w:pPr>
      <w:r>
        <w:rPr>
          <w:rFonts w:hint="eastAsia" w:ascii="宋体" w:hAnsi="宋体" w:eastAsia="宋体"/>
          <w:sz w:val="30"/>
          <w:szCs w:val="30"/>
        </w:rPr>
        <w:t>（8）</w:t>
      </w:r>
      <w:r>
        <w:rPr>
          <w:rFonts w:ascii="宋体" w:hAnsi="宋体" w:eastAsia="宋体"/>
          <w:sz w:val="30"/>
          <w:szCs w:val="30"/>
        </w:rPr>
        <w:t>《</w:t>
      </w:r>
      <w:r>
        <w:rPr>
          <w:rFonts w:hint="eastAsia" w:ascii="宋体" w:hAnsi="宋体" w:eastAsia="宋体"/>
          <w:sz w:val="30"/>
          <w:szCs w:val="30"/>
        </w:rPr>
        <w:t>河南省财政厅关于下达2021年全省公安机关政法纪检监察转移支付资金预算的通知</w:t>
      </w:r>
      <w:r>
        <w:rPr>
          <w:rFonts w:ascii="宋体" w:hAnsi="宋体" w:eastAsia="宋体"/>
          <w:sz w:val="30"/>
          <w:szCs w:val="30"/>
        </w:rPr>
        <w:t>》</w:t>
      </w:r>
      <w:r>
        <w:rPr>
          <w:rFonts w:hint="eastAsia" w:ascii="宋体" w:hAnsi="宋体" w:eastAsia="宋体"/>
          <w:sz w:val="30"/>
          <w:szCs w:val="30"/>
        </w:rPr>
        <w:t>（豫财政法【2021】43号）；</w:t>
      </w:r>
    </w:p>
    <w:p>
      <w:pPr>
        <w:widowControl/>
        <w:ind w:firstLine="600" w:firstLineChars="200"/>
        <w:rPr>
          <w:rFonts w:ascii="宋体" w:hAnsi="宋体" w:eastAsia="宋体"/>
          <w:sz w:val="30"/>
          <w:szCs w:val="30"/>
        </w:rPr>
      </w:pPr>
      <w:r>
        <w:rPr>
          <w:rFonts w:hint="eastAsia" w:ascii="宋体" w:hAnsi="宋体" w:eastAsia="宋体"/>
          <w:sz w:val="30"/>
          <w:szCs w:val="30"/>
        </w:rPr>
        <w:t>（9）</w:t>
      </w:r>
      <w:r>
        <w:rPr>
          <w:rFonts w:ascii="宋体" w:hAnsi="宋体" w:eastAsia="宋体"/>
          <w:sz w:val="30"/>
          <w:szCs w:val="30"/>
        </w:rPr>
        <w:t>《</w:t>
      </w:r>
      <w:r>
        <w:rPr>
          <w:rFonts w:hint="eastAsia" w:ascii="宋体" w:hAnsi="宋体" w:eastAsia="宋体"/>
          <w:sz w:val="30"/>
          <w:szCs w:val="30"/>
        </w:rPr>
        <w:t>河南省公安厅警务保障部关于加强2021年度公安转移支付资金使用管理工作的通知</w:t>
      </w:r>
      <w:r>
        <w:rPr>
          <w:rFonts w:ascii="宋体" w:hAnsi="宋体" w:eastAsia="宋体"/>
          <w:sz w:val="30"/>
          <w:szCs w:val="30"/>
        </w:rPr>
        <w:t>》</w:t>
      </w:r>
      <w:r>
        <w:rPr>
          <w:rFonts w:hint="eastAsia" w:ascii="宋体" w:hAnsi="宋体" w:eastAsia="宋体"/>
          <w:sz w:val="30"/>
          <w:szCs w:val="30"/>
        </w:rPr>
        <w:t>（豫公密发【2021】936号）；</w:t>
      </w:r>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（10）项目绩效目标及其他相关资料，财政部门预算批复，财政部门和预算部门年度预算执行情况；</w:t>
      </w:r>
    </w:p>
    <w:p>
      <w:pPr>
        <w:pStyle w:val="14"/>
        <w:spacing w:beforeLines="50" w:afterLines="50" w:line="360" w:lineRule="auto"/>
        <w:ind w:left="105" w:leftChars="50" w:right="105" w:rightChars="50" w:firstLine="600"/>
        <w:rPr>
          <w:sz w:val="30"/>
          <w:szCs w:val="30"/>
        </w:rPr>
      </w:pPr>
      <w:r>
        <w:rPr>
          <w:rFonts w:hint="eastAsia" w:ascii="宋体" w:hAnsi="宋体" w:eastAsia="宋体"/>
          <w:sz w:val="30"/>
          <w:szCs w:val="30"/>
        </w:rPr>
        <w:t>（11）其他相关制度和文件</w:t>
      </w:r>
      <w:r>
        <w:rPr>
          <w:rFonts w:hint="eastAsia"/>
          <w:sz w:val="30"/>
          <w:szCs w:val="30"/>
        </w:rPr>
        <w:t>。</w:t>
      </w:r>
    </w:p>
    <w:p>
      <w:pPr>
        <w:pStyle w:val="3"/>
        <w:rPr>
          <w:rFonts w:asciiTheme="minorEastAsia" w:hAnsiTheme="minorEastAsia"/>
          <w:sz w:val="30"/>
          <w:szCs w:val="30"/>
        </w:rPr>
      </w:pPr>
      <w:bookmarkStart w:id="8" w:name="_Toc93918202"/>
      <w:r>
        <w:rPr>
          <w:rFonts w:hint="eastAsia" w:asciiTheme="minorEastAsia" w:hAnsiTheme="minorEastAsia"/>
          <w:sz w:val="30"/>
          <w:szCs w:val="30"/>
        </w:rPr>
        <w:t>（三）绩效评价工作过程</w:t>
      </w:r>
      <w:bookmarkEnd w:id="8"/>
    </w:p>
    <w:p>
      <w:pPr>
        <w:spacing w:beforeLines="50" w:afterLines="50" w:line="360" w:lineRule="auto"/>
        <w:ind w:left="105" w:leftChars="50" w:right="105" w:rightChars="50" w:firstLine="600" w:firstLineChars="200"/>
        <w:rPr>
          <w:sz w:val="30"/>
          <w:szCs w:val="30"/>
        </w:rPr>
      </w:pPr>
      <w:r>
        <w:rPr>
          <w:rFonts w:hint="eastAsia"/>
          <w:sz w:val="30"/>
          <w:szCs w:val="30"/>
        </w:rPr>
        <w:t>本次绩效评价工作期间为</w:t>
      </w:r>
      <w:r>
        <w:rPr>
          <w:rFonts w:hint="eastAsia"/>
          <w:color w:val="auto"/>
          <w:sz w:val="30"/>
          <w:szCs w:val="30"/>
        </w:rPr>
        <w:t>2022年11月15日至2022年12月14日，历经前期准备、现</w:t>
      </w:r>
      <w:r>
        <w:rPr>
          <w:rFonts w:hint="eastAsia"/>
          <w:sz w:val="30"/>
          <w:szCs w:val="30"/>
        </w:rPr>
        <w:t>场实施、数据分析与报告撰写等阶段。在此基础上，按要求形成初步评价报告，并根据相关部门、专家意见进行修改完善，形成最终绩效评价报告。</w:t>
      </w:r>
    </w:p>
    <w:p>
      <w:pPr>
        <w:pStyle w:val="14"/>
        <w:spacing w:beforeLines="50" w:afterLines="50" w:line="360" w:lineRule="auto"/>
        <w:ind w:left="105" w:leftChars="50" w:right="105" w:rightChars="50" w:firstLine="600"/>
        <w:rPr>
          <w:sz w:val="30"/>
          <w:szCs w:val="30"/>
        </w:rPr>
      </w:pPr>
      <w:r>
        <w:rPr>
          <w:rFonts w:hint="eastAsia"/>
          <w:sz w:val="30"/>
          <w:szCs w:val="30"/>
        </w:rPr>
        <w:t>1.前期准备工作</w:t>
      </w:r>
    </w:p>
    <w:p>
      <w:pPr>
        <w:pStyle w:val="14"/>
        <w:spacing w:beforeLines="50" w:afterLines="50" w:line="360" w:lineRule="auto"/>
        <w:ind w:left="105" w:leftChars="50" w:right="105" w:rightChars="50" w:firstLine="600"/>
        <w:rPr>
          <w:sz w:val="30"/>
          <w:szCs w:val="30"/>
        </w:rPr>
      </w:pPr>
      <w:r>
        <w:rPr>
          <w:rFonts w:hint="eastAsia"/>
          <w:sz w:val="30"/>
          <w:szCs w:val="30"/>
        </w:rPr>
        <w:t>各项目建设单位根据财政局绩效评价工作部署要求，基于我公司提供的《绩效评价资料清单》对项目资金使用过程中的相关资料进行汇总、准备，资料交接时间为一周。</w:t>
      </w:r>
    </w:p>
    <w:p>
      <w:pPr>
        <w:pStyle w:val="14"/>
        <w:spacing w:beforeLines="50" w:afterLines="50" w:line="360" w:lineRule="auto"/>
        <w:ind w:left="105" w:leftChars="50" w:right="105" w:rightChars="50" w:firstLine="600"/>
        <w:rPr>
          <w:sz w:val="30"/>
          <w:szCs w:val="30"/>
        </w:rPr>
      </w:pPr>
      <w:r>
        <w:rPr>
          <w:rFonts w:hint="eastAsia"/>
          <w:sz w:val="30"/>
          <w:szCs w:val="30"/>
        </w:rPr>
        <w:t xml:space="preserve"> 2.制定绩效评价指标</w:t>
      </w:r>
    </w:p>
    <w:p>
      <w:pPr>
        <w:pStyle w:val="14"/>
        <w:spacing w:beforeLines="50" w:afterLines="50" w:line="360" w:lineRule="auto"/>
        <w:ind w:left="105" w:leftChars="50" w:right="105" w:rightChars="50" w:firstLine="600"/>
        <w:rPr>
          <w:sz w:val="30"/>
          <w:szCs w:val="30"/>
        </w:rPr>
      </w:pPr>
      <w:r>
        <w:rPr>
          <w:rFonts w:hint="eastAsia"/>
          <w:sz w:val="30"/>
          <w:szCs w:val="30"/>
        </w:rPr>
        <w:t>评价组就绩效评价工作内容有针对性地学习了解相关政策及管理制度；制定具体的绩效评价工作方案提交财政局、被评价单位进行审核沟并确定绩效目标和绩效评价指标体系。</w:t>
      </w:r>
    </w:p>
    <w:p>
      <w:pPr>
        <w:pStyle w:val="14"/>
        <w:spacing w:beforeLines="50" w:afterLines="50" w:line="360" w:lineRule="auto"/>
        <w:ind w:left="105" w:leftChars="50" w:right="105" w:rightChars="50" w:firstLine="600"/>
        <w:rPr>
          <w:sz w:val="30"/>
          <w:szCs w:val="30"/>
        </w:rPr>
      </w:pPr>
      <w:r>
        <w:rPr>
          <w:rFonts w:hint="eastAsia"/>
          <w:sz w:val="30"/>
          <w:szCs w:val="30"/>
        </w:rPr>
        <w:t>3.问卷调查</w:t>
      </w:r>
    </w:p>
    <w:p>
      <w:pPr>
        <w:spacing w:beforeLines="50" w:afterLines="50" w:line="360" w:lineRule="auto"/>
        <w:ind w:left="105" w:leftChars="50" w:right="105" w:rightChars="50" w:firstLine="600" w:firstLineChars="200"/>
        <w:rPr>
          <w:sz w:val="30"/>
          <w:szCs w:val="30"/>
        </w:rPr>
      </w:pPr>
      <w:r>
        <w:rPr>
          <w:rFonts w:hint="eastAsia"/>
          <w:sz w:val="30"/>
          <w:szCs w:val="30"/>
        </w:rPr>
        <w:t>根据项目的内容及绩效评价目标从项目实施带来的各方面效益，设计调查问卷，由财政局和被评价单位共同参与，对受益对象满意度展开调查，调查结束后对调查问卷进行整合分析。问卷调查见下表2.1。</w:t>
      </w:r>
    </w:p>
    <w:p>
      <w:pPr>
        <w:spacing w:line="360" w:lineRule="auto"/>
        <w:jc w:val="center"/>
        <w:rPr>
          <w:rFonts w:ascii="宋体" w:hAnsi="宋体" w:eastAsia="宋体"/>
          <w:sz w:val="34"/>
          <w:szCs w:val="34"/>
        </w:rPr>
      </w:pPr>
      <w:r>
        <w:rPr>
          <w:rFonts w:hint="eastAsia" w:ascii="宋体" w:hAnsi="宋体" w:eastAsia="宋体"/>
          <w:sz w:val="34"/>
          <w:szCs w:val="34"/>
        </w:rPr>
        <w:t>转移支付资金项目绩效评价</w:t>
      </w:r>
    </w:p>
    <w:p>
      <w:pPr>
        <w:spacing w:line="360" w:lineRule="auto"/>
        <w:jc w:val="center"/>
        <w:rPr>
          <w:rFonts w:ascii="宋体" w:hAnsi="宋体" w:eastAsia="宋体"/>
          <w:sz w:val="34"/>
          <w:szCs w:val="34"/>
        </w:rPr>
      </w:pPr>
      <w:r>
        <w:rPr>
          <w:rFonts w:hint="eastAsia" w:ascii="宋体" w:hAnsi="宋体" w:eastAsia="宋体"/>
          <w:sz w:val="34"/>
          <w:szCs w:val="34"/>
        </w:rPr>
        <w:t>实地调查问卷</w:t>
      </w:r>
    </w:p>
    <w:p>
      <w:pPr>
        <w:ind w:firstLine="520" w:firstLineChars="200"/>
        <w:jc w:val="left"/>
        <w:rPr>
          <w:rFonts w:ascii="宋体" w:hAnsi="宋体" w:eastAsia="宋体"/>
          <w:sz w:val="26"/>
          <w:szCs w:val="26"/>
        </w:rPr>
      </w:pPr>
      <w:r>
        <w:rPr>
          <w:rFonts w:hint="eastAsia" w:ascii="宋体" w:hAnsi="宋体" w:eastAsia="宋体"/>
          <w:sz w:val="26"/>
          <w:szCs w:val="26"/>
        </w:rPr>
        <w:t>感谢您能在百忙之中抽空来完成本次调查！下面是一些关于转移支付资金项目的问题，希望您能耐心填写。</w:t>
      </w:r>
    </w:p>
    <w:p>
      <w:pPr>
        <w:jc w:val="left"/>
        <w:rPr>
          <w:rFonts w:ascii="宋体" w:hAnsi="宋体" w:eastAsia="宋体"/>
          <w:sz w:val="28"/>
          <w:szCs w:val="28"/>
        </w:rPr>
      </w:pPr>
      <w:r>
        <w:rPr>
          <w:rFonts w:ascii="宋体" w:hAnsi="宋体" w:eastAsia="宋体"/>
          <w:sz w:val="28"/>
          <w:szCs w:val="28"/>
        </w:rPr>
        <w:t>1</w:t>
      </w:r>
      <w:r>
        <w:rPr>
          <w:rFonts w:hint="eastAsia" w:ascii="宋体" w:hAnsi="宋体" w:eastAsia="宋体"/>
          <w:sz w:val="28"/>
          <w:szCs w:val="28"/>
        </w:rPr>
        <w:t>、性别：</w:t>
      </w:r>
    </w:p>
    <w:p>
      <w:pPr>
        <w:ind w:firstLine="280" w:firstLineChars="100"/>
        <w:jc w:val="left"/>
        <w:rPr>
          <w:rFonts w:ascii="宋体" w:hAnsi="宋体" w:eastAsia="宋体"/>
          <w:sz w:val="28"/>
          <w:szCs w:val="28"/>
        </w:rPr>
      </w:pPr>
      <w:r>
        <w:rPr>
          <w:rFonts w:hint="eastAsia" w:ascii="宋体" w:hAnsi="宋体" w:eastAsia="宋体"/>
          <w:sz w:val="28"/>
          <w:szCs w:val="28"/>
        </w:rPr>
        <w:t>□男    □女</w:t>
      </w:r>
    </w:p>
    <w:p>
      <w:pPr>
        <w:jc w:val="left"/>
        <w:rPr>
          <w:rFonts w:ascii="宋体" w:hAnsi="宋体" w:eastAsia="宋体"/>
          <w:sz w:val="28"/>
          <w:szCs w:val="28"/>
        </w:rPr>
      </w:pPr>
      <w:r>
        <w:rPr>
          <w:rFonts w:ascii="宋体" w:hAnsi="宋体" w:eastAsia="宋体"/>
          <w:sz w:val="28"/>
          <w:szCs w:val="28"/>
        </w:rPr>
        <w:t>2</w:t>
      </w:r>
      <w:r>
        <w:rPr>
          <w:rFonts w:hint="eastAsia" w:ascii="宋体" w:hAnsi="宋体" w:eastAsia="宋体"/>
          <w:sz w:val="28"/>
          <w:szCs w:val="28"/>
        </w:rPr>
        <w:t>、您的年龄：</w:t>
      </w:r>
    </w:p>
    <w:p>
      <w:pPr>
        <w:ind w:firstLine="280" w:firstLineChars="100"/>
        <w:jc w:val="left"/>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18~35</w:t>
      </w:r>
      <w:r>
        <w:rPr>
          <w:rFonts w:hint="eastAsia" w:ascii="宋体" w:hAnsi="宋体" w:eastAsia="宋体"/>
          <w:sz w:val="28"/>
          <w:szCs w:val="28"/>
        </w:rPr>
        <w:t>岁</w:t>
      </w:r>
      <w:r>
        <w:rPr>
          <w:rFonts w:hint="eastAsia" w:ascii="宋体" w:hAnsi="宋体" w:eastAsia="宋体"/>
          <w:sz w:val="28"/>
          <w:szCs w:val="28"/>
          <w:lang w:eastAsia="zh-CN"/>
        </w:rPr>
        <w:t>□</w:t>
      </w:r>
      <w:r>
        <w:rPr>
          <w:rFonts w:ascii="宋体" w:hAnsi="宋体" w:eastAsia="宋体"/>
          <w:sz w:val="28"/>
          <w:szCs w:val="28"/>
        </w:rPr>
        <w:t>36~55</w:t>
      </w:r>
      <w:r>
        <w:rPr>
          <w:rFonts w:hint="eastAsia" w:ascii="宋体" w:hAnsi="宋体" w:eastAsia="宋体"/>
          <w:sz w:val="28"/>
          <w:szCs w:val="28"/>
        </w:rPr>
        <w:t>岁□</w:t>
      </w:r>
      <w:r>
        <w:rPr>
          <w:rFonts w:ascii="宋体" w:hAnsi="宋体" w:eastAsia="宋体"/>
          <w:sz w:val="28"/>
          <w:szCs w:val="28"/>
        </w:rPr>
        <w:t>56~65</w:t>
      </w:r>
      <w:r>
        <w:rPr>
          <w:rFonts w:hint="eastAsia" w:ascii="宋体" w:hAnsi="宋体" w:eastAsia="宋体"/>
          <w:sz w:val="28"/>
          <w:szCs w:val="28"/>
        </w:rPr>
        <w:t>岁</w:t>
      </w:r>
    </w:p>
    <w:p>
      <w:pPr>
        <w:jc w:val="left"/>
        <w:rPr>
          <w:rFonts w:ascii="宋体" w:hAnsi="宋体" w:eastAsia="宋体"/>
          <w:sz w:val="28"/>
          <w:szCs w:val="28"/>
        </w:rPr>
      </w:pPr>
      <w:r>
        <w:rPr>
          <w:rFonts w:hint="eastAsia" w:ascii="宋体" w:hAnsi="宋体" w:eastAsia="宋体"/>
          <w:sz w:val="28"/>
          <w:szCs w:val="28"/>
        </w:rPr>
        <w:t>3、你的户口性质：</w:t>
      </w:r>
    </w:p>
    <w:p>
      <w:pPr>
        <w:ind w:firstLine="280" w:firstLineChars="100"/>
        <w:jc w:val="left"/>
        <w:rPr>
          <w:rFonts w:ascii="宋体" w:hAnsi="宋体" w:eastAsia="宋体"/>
          <w:sz w:val="28"/>
          <w:szCs w:val="28"/>
        </w:rPr>
      </w:pPr>
      <w:r>
        <w:rPr>
          <w:rFonts w:hint="eastAsia" w:ascii="宋体" w:hAnsi="宋体" w:eastAsia="宋体"/>
          <w:sz w:val="28"/>
          <w:szCs w:val="28"/>
        </w:rPr>
        <w:t>□本地常住         □外地暂住      □临时来陕州区</w:t>
      </w:r>
    </w:p>
    <w:p>
      <w:pPr>
        <w:jc w:val="left"/>
        <w:rPr>
          <w:rFonts w:ascii="宋体" w:hAnsi="宋体" w:eastAsia="宋体"/>
          <w:sz w:val="28"/>
          <w:szCs w:val="28"/>
        </w:rPr>
      </w:pPr>
      <w:r>
        <w:rPr>
          <w:rFonts w:hint="eastAsia" w:ascii="宋体" w:hAnsi="宋体" w:eastAsia="宋体"/>
          <w:sz w:val="28"/>
          <w:szCs w:val="28"/>
        </w:rPr>
        <w:t>4、在目前的社会治安环境下，您感觉安全吗？</w:t>
      </w:r>
    </w:p>
    <w:p>
      <w:pPr>
        <w:ind w:firstLine="280" w:firstLineChars="100"/>
        <w:jc w:val="left"/>
        <w:rPr>
          <w:rFonts w:ascii="宋体" w:hAnsi="宋体" w:eastAsia="宋体"/>
          <w:sz w:val="28"/>
          <w:szCs w:val="28"/>
        </w:rPr>
      </w:pPr>
      <w:r>
        <w:rPr>
          <w:rFonts w:hint="eastAsia" w:ascii="宋体" w:hAnsi="宋体" w:eastAsia="宋体"/>
          <w:sz w:val="28"/>
          <w:szCs w:val="28"/>
        </w:rPr>
        <w:t>□很安全□基本安全□不太安全</w:t>
      </w:r>
    </w:p>
    <w:p>
      <w:pPr>
        <w:ind w:left="280" w:hanging="280" w:hangingChars="100"/>
        <w:jc w:val="left"/>
        <w:rPr>
          <w:rFonts w:ascii="宋体" w:hAnsi="宋体" w:eastAsia="宋体"/>
          <w:sz w:val="28"/>
          <w:szCs w:val="28"/>
        </w:rPr>
      </w:pPr>
      <w:r>
        <w:rPr>
          <w:rFonts w:hint="eastAsia" w:ascii="宋体" w:hAnsi="宋体" w:eastAsia="宋体"/>
          <w:sz w:val="28"/>
          <w:szCs w:val="28"/>
        </w:rPr>
        <w:t>5、今年以来，您或您的家人（包括家庭财产）是否遭受过不法侵害？□遭受过         □未遭受过</w:t>
      </w:r>
    </w:p>
    <w:p>
      <w:pPr>
        <w:jc w:val="left"/>
        <w:rPr>
          <w:rFonts w:ascii="宋体" w:hAnsi="宋体" w:eastAsia="宋体"/>
          <w:sz w:val="28"/>
          <w:szCs w:val="28"/>
        </w:rPr>
      </w:pPr>
      <w:r>
        <w:rPr>
          <w:rFonts w:hint="eastAsia" w:ascii="宋体" w:hAnsi="宋体" w:eastAsia="宋体"/>
          <w:sz w:val="28"/>
          <w:szCs w:val="28"/>
        </w:rPr>
        <w:t>6、您感觉所在地的社会治安状况如何？</w:t>
      </w:r>
    </w:p>
    <w:p>
      <w:pPr>
        <w:ind w:firstLine="280" w:firstLineChars="100"/>
        <w:jc w:val="left"/>
        <w:rPr>
          <w:rFonts w:ascii="宋体" w:hAnsi="宋体" w:eastAsia="宋体"/>
          <w:sz w:val="28"/>
          <w:szCs w:val="28"/>
        </w:rPr>
      </w:pPr>
      <w:r>
        <w:rPr>
          <w:rFonts w:hint="eastAsia" w:ascii="宋体" w:hAnsi="宋体" w:eastAsia="宋体"/>
          <w:sz w:val="28"/>
          <w:szCs w:val="28"/>
        </w:rPr>
        <w:t>□很好□一般□较差</w:t>
      </w:r>
    </w:p>
    <w:p>
      <w:pPr>
        <w:jc w:val="left"/>
        <w:rPr>
          <w:rFonts w:ascii="宋体" w:hAnsi="宋体" w:eastAsia="宋体"/>
          <w:sz w:val="28"/>
          <w:szCs w:val="28"/>
        </w:rPr>
      </w:pPr>
      <w:r>
        <w:rPr>
          <w:rFonts w:hint="eastAsia" w:ascii="宋体" w:hAnsi="宋体" w:eastAsia="宋体"/>
          <w:sz w:val="28"/>
          <w:szCs w:val="28"/>
        </w:rPr>
        <w:t>7、今年以来您觉得您的居住地附近发生的治安和刑事案件情况如何？</w:t>
      </w:r>
    </w:p>
    <w:p>
      <w:pPr>
        <w:ind w:firstLine="280" w:firstLineChars="100"/>
        <w:jc w:val="left"/>
        <w:rPr>
          <w:rFonts w:ascii="宋体" w:hAnsi="宋体" w:eastAsia="宋体"/>
          <w:sz w:val="28"/>
          <w:szCs w:val="28"/>
        </w:rPr>
      </w:pPr>
      <w:r>
        <w:rPr>
          <w:rFonts w:hint="eastAsia" w:ascii="宋体" w:hAnsi="宋体" w:eastAsia="宋体"/>
          <w:sz w:val="28"/>
          <w:szCs w:val="28"/>
        </w:rPr>
        <w:t>□明显减少□差不多□明显增加</w:t>
      </w:r>
    </w:p>
    <w:p>
      <w:pPr>
        <w:jc w:val="left"/>
        <w:rPr>
          <w:rFonts w:ascii="宋体" w:hAnsi="宋体" w:eastAsia="宋体"/>
          <w:sz w:val="28"/>
          <w:szCs w:val="28"/>
        </w:rPr>
      </w:pPr>
      <w:r>
        <w:rPr>
          <w:rFonts w:hint="eastAsia" w:ascii="宋体" w:hAnsi="宋体" w:eastAsia="宋体"/>
          <w:sz w:val="28"/>
          <w:szCs w:val="28"/>
        </w:rPr>
        <w:t>8、您在居住地夜晚单独回家或出门，感觉安全吗？</w:t>
      </w:r>
    </w:p>
    <w:p>
      <w:pPr>
        <w:ind w:firstLine="280" w:firstLineChars="100"/>
        <w:jc w:val="left"/>
        <w:rPr>
          <w:rFonts w:ascii="宋体" w:hAnsi="宋体" w:eastAsia="宋体"/>
          <w:sz w:val="28"/>
          <w:szCs w:val="28"/>
        </w:rPr>
      </w:pPr>
      <w:r>
        <w:rPr>
          <w:rFonts w:hint="eastAsia" w:ascii="宋体" w:hAnsi="宋体" w:eastAsia="宋体"/>
          <w:sz w:val="28"/>
          <w:szCs w:val="28"/>
        </w:rPr>
        <w:t>□很安全□比较安全□不太安全</w:t>
      </w:r>
    </w:p>
    <w:p>
      <w:pPr>
        <w:jc w:val="left"/>
        <w:rPr>
          <w:rFonts w:ascii="宋体" w:hAnsi="宋体" w:eastAsia="宋体"/>
          <w:sz w:val="28"/>
          <w:szCs w:val="28"/>
        </w:rPr>
      </w:pPr>
      <w:r>
        <w:rPr>
          <w:rFonts w:hint="eastAsia" w:ascii="宋体" w:hAnsi="宋体" w:eastAsia="宋体"/>
          <w:sz w:val="28"/>
          <w:szCs w:val="28"/>
        </w:rPr>
        <w:t>9、如果您和家人外出三天以上的时间，您是否担心家中财物被盗？</w:t>
      </w:r>
    </w:p>
    <w:p>
      <w:pPr>
        <w:ind w:firstLine="280" w:firstLineChars="100"/>
        <w:jc w:val="left"/>
        <w:rPr>
          <w:rFonts w:ascii="宋体" w:hAnsi="宋体" w:eastAsia="宋体"/>
          <w:sz w:val="28"/>
          <w:szCs w:val="28"/>
        </w:rPr>
      </w:pPr>
      <w:r>
        <w:rPr>
          <w:rFonts w:hint="eastAsia" w:ascii="宋体" w:hAnsi="宋体" w:eastAsia="宋体"/>
          <w:sz w:val="28"/>
          <w:szCs w:val="28"/>
        </w:rPr>
        <w:t>□根本不担心□有点担心□非常担心</w:t>
      </w:r>
    </w:p>
    <w:p>
      <w:pPr>
        <w:jc w:val="left"/>
        <w:rPr>
          <w:rFonts w:ascii="宋体" w:hAnsi="宋体" w:eastAsia="宋体"/>
          <w:sz w:val="28"/>
          <w:szCs w:val="28"/>
        </w:rPr>
      </w:pPr>
      <w:r>
        <w:rPr>
          <w:rFonts w:hint="eastAsia" w:ascii="宋体" w:hAnsi="宋体" w:eastAsia="宋体"/>
          <w:sz w:val="28"/>
          <w:szCs w:val="28"/>
        </w:rPr>
        <w:t>10、您对所在地派出所民警执法执勤时的总体印象如何？</w:t>
      </w:r>
    </w:p>
    <w:p>
      <w:pPr>
        <w:ind w:firstLine="280" w:firstLineChars="100"/>
        <w:jc w:val="left"/>
        <w:rPr>
          <w:rFonts w:ascii="宋体" w:hAnsi="宋体" w:eastAsia="宋体"/>
          <w:sz w:val="28"/>
          <w:szCs w:val="28"/>
        </w:rPr>
      </w:pPr>
      <w:r>
        <w:rPr>
          <w:rFonts w:hint="eastAsia" w:ascii="宋体" w:hAnsi="宋体" w:eastAsia="宋体"/>
          <w:sz w:val="28"/>
          <w:szCs w:val="28"/>
        </w:rPr>
        <w:t>□严格公正文明     □执法有随意性    □态度有时粗暴</w:t>
      </w:r>
    </w:p>
    <w:p>
      <w:pPr>
        <w:spacing w:beforeLines="50" w:afterLines="50" w:line="360" w:lineRule="auto"/>
        <w:ind w:right="105" w:rightChars="50"/>
        <w:jc w:val="left"/>
        <w:rPr>
          <w:rFonts w:asciiTheme="minorEastAsia" w:hAnsiTheme="minorEastAsia"/>
          <w:sz w:val="30"/>
          <w:szCs w:val="30"/>
        </w:rPr>
      </w:pPr>
      <w:r>
        <w:rPr>
          <w:rFonts w:hint="eastAsia" w:asciiTheme="minorEastAsia" w:hAnsiTheme="minorEastAsia"/>
          <w:sz w:val="30"/>
          <w:szCs w:val="30"/>
        </w:rPr>
        <w:t>问卷调查现场：</w:t>
      </w:r>
      <w:r>
        <w:rPr>
          <w:rFonts w:asciiTheme="minorEastAsia" w:hAnsiTheme="minorEastAsia"/>
          <w:sz w:val="30"/>
          <w:szCs w:val="30"/>
        </w:rPr>
        <w:t xml:space="preserve"> </w:t>
      </w:r>
    </w:p>
    <w:p>
      <w:pPr>
        <w:spacing w:beforeLines="50" w:afterLines="50" w:line="360" w:lineRule="auto"/>
        <w:ind w:right="105" w:rightChars="50"/>
        <w:jc w:val="left"/>
        <w:rPr>
          <w:rFonts w:asciiTheme="minorEastAsia" w:hAnsiTheme="minorEastAsia"/>
          <w:sz w:val="30"/>
          <w:szCs w:val="30"/>
        </w:rPr>
      </w:pPr>
      <w:r>
        <w:rPr>
          <w:rFonts w:asciiTheme="minorEastAsia" w:hAnsiTheme="minorEastAsia"/>
          <w:sz w:val="30"/>
          <w:szCs w:val="30"/>
        </w:rPr>
        <w:drawing>
          <wp:inline distT="0" distB="0" distL="0" distR="0">
            <wp:extent cx="4341495" cy="4714875"/>
            <wp:effectExtent l="19050" t="0" r="1786" b="0"/>
            <wp:docPr id="2" name="图片 1" descr="E:\绩效评价\2021\事后绩效评价项目\发改委双替代项目绩效评价\双替代照片\问卷调查照片\微信图片_2021110509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绩效评价\2021\事后绩效评价项目\发改委双替代项目绩效评价\双替代照片\问卷调查照片\微信图片_20211105094809.jpg"/>
                    <pic:cNvPicPr>
                      <a:picLocks noChangeAspect="1" noChangeArrowheads="1"/>
                    </pic:cNvPicPr>
                  </pic:nvPicPr>
                  <pic:blipFill>
                    <a:blip r:embed="rId9"/>
                    <a:srcRect t="23035" r="5550"/>
                    <a:stretch>
                      <a:fillRect/>
                    </a:stretch>
                  </pic:blipFill>
                  <pic:spPr>
                    <a:xfrm>
                      <a:off x="0" y="0"/>
                      <a:ext cx="4350512" cy="4724538"/>
                    </a:xfrm>
                    <a:prstGeom prst="rect">
                      <a:avLst/>
                    </a:prstGeom>
                    <a:noFill/>
                    <a:ln w="9525">
                      <a:noFill/>
                      <a:miter lim="800000"/>
                      <a:headEnd/>
                      <a:tailEnd/>
                    </a:ln>
                  </pic:spPr>
                </pic:pic>
              </a:graphicData>
            </a:graphic>
          </wp:inline>
        </w:drawing>
      </w:r>
      <w:r>
        <w:rPr>
          <w:rFonts w:asciiTheme="minorEastAsia" w:hAnsiTheme="minorEastAsia"/>
          <w:sz w:val="30"/>
          <w:szCs w:val="30"/>
        </w:rPr>
        <w:drawing>
          <wp:inline distT="0" distB="0" distL="0" distR="0">
            <wp:extent cx="4219575" cy="5095875"/>
            <wp:effectExtent l="19050" t="0" r="9525" b="0"/>
            <wp:docPr id="4" name="图片 2" descr="E:\绩效评价\2021\事后绩效评价项目\陕州区中心幼儿园二期建设项目绩效评价\中心幼儿园照片\问卷调查照片\微信图片_2021110509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E:\绩效评价\2021\事后绩效评价项目\陕州区中心幼儿园二期建设项目绩效评价\中心幼儿园照片\问卷调查照片\微信图片_20211105090606.jpg"/>
                    <pic:cNvPicPr>
                      <a:picLocks noChangeAspect="1" noChangeArrowheads="1"/>
                    </pic:cNvPicPr>
                  </pic:nvPicPr>
                  <pic:blipFill>
                    <a:blip r:embed="rId10"/>
                    <a:srcRect l="5417" t="20190" r="14585" b="7317"/>
                    <a:stretch>
                      <a:fillRect/>
                    </a:stretch>
                  </pic:blipFill>
                  <pic:spPr>
                    <a:xfrm>
                      <a:off x="0" y="0"/>
                      <a:ext cx="4219575" cy="5095875"/>
                    </a:xfrm>
                    <a:prstGeom prst="rect">
                      <a:avLst/>
                    </a:prstGeom>
                    <a:noFill/>
                    <a:ln w="9525">
                      <a:noFill/>
                      <a:miter lim="800000"/>
                      <a:headEnd/>
                      <a:tailEnd/>
                    </a:ln>
                  </pic:spPr>
                </pic:pic>
              </a:graphicData>
            </a:graphic>
          </wp:inline>
        </w:drawing>
      </w:r>
    </w:p>
    <w:p>
      <w:pPr>
        <w:spacing w:beforeLines="50" w:afterLines="50" w:line="360" w:lineRule="auto"/>
        <w:ind w:left="105" w:leftChars="50" w:right="105" w:rightChars="50" w:firstLine="600" w:firstLineChars="200"/>
        <w:rPr>
          <w:sz w:val="30"/>
          <w:szCs w:val="30"/>
        </w:rPr>
      </w:pPr>
      <w:r>
        <w:rPr>
          <w:rFonts w:hint="eastAsia"/>
          <w:sz w:val="30"/>
          <w:szCs w:val="30"/>
        </w:rPr>
        <w:t>4. 组织召开线上座谈会</w:t>
      </w:r>
    </w:p>
    <w:p>
      <w:pPr>
        <w:spacing w:beforeLines="50" w:afterLines="50" w:line="360" w:lineRule="auto"/>
        <w:ind w:left="105" w:leftChars="50" w:right="105" w:rightChars="50" w:firstLine="600" w:firstLineChars="200"/>
        <w:rPr>
          <w:sz w:val="30"/>
          <w:szCs w:val="30"/>
        </w:rPr>
      </w:pPr>
      <w:r>
        <w:rPr>
          <w:rFonts w:hint="eastAsia"/>
          <w:sz w:val="30"/>
          <w:szCs w:val="30"/>
        </w:rPr>
        <w:t>由于疫情原因，为安全起见，工作组根据建设单位提供的项目过程中的相关资料组织绩效评价专家组织召开线上座谈会，通过建立钉钉群等方式进行资料审核，询问答疑，了解项目建设情况并结合指标打分体系进行讨论。</w:t>
      </w:r>
    </w:p>
    <w:p>
      <w:pPr>
        <w:pStyle w:val="14"/>
        <w:spacing w:beforeLines="50" w:afterLines="50" w:line="360" w:lineRule="auto"/>
        <w:ind w:left="105" w:leftChars="50" w:right="105" w:rightChars="50" w:firstLine="600"/>
        <w:rPr>
          <w:sz w:val="30"/>
          <w:szCs w:val="30"/>
        </w:rPr>
      </w:pPr>
      <w:r>
        <w:rPr>
          <w:rFonts w:hint="eastAsia"/>
          <w:sz w:val="30"/>
          <w:szCs w:val="30"/>
        </w:rPr>
        <w:t>5.整理、分析资料</w:t>
      </w:r>
    </w:p>
    <w:p>
      <w:pPr>
        <w:spacing w:beforeLines="50" w:afterLines="50" w:line="360" w:lineRule="auto"/>
        <w:ind w:left="105" w:leftChars="50" w:right="105" w:rightChars="50" w:firstLine="600" w:firstLineChars="200"/>
        <w:rPr>
          <w:sz w:val="30"/>
          <w:szCs w:val="30"/>
        </w:rPr>
      </w:pPr>
      <w:r>
        <w:rPr>
          <w:rFonts w:hint="eastAsia"/>
          <w:sz w:val="30"/>
          <w:szCs w:val="30"/>
        </w:rPr>
        <w:t>整理、分析资料，对获取的资料进行归纳整理；结合座谈会专家意见对相关数据进行统计分析；对发现的问题进行研讨和核实。</w:t>
      </w:r>
    </w:p>
    <w:p>
      <w:pPr>
        <w:pStyle w:val="14"/>
        <w:spacing w:beforeLines="50" w:afterLines="50" w:line="360" w:lineRule="auto"/>
        <w:ind w:left="105" w:leftChars="50" w:right="105" w:rightChars="50" w:firstLine="600"/>
        <w:rPr>
          <w:sz w:val="30"/>
          <w:szCs w:val="30"/>
        </w:rPr>
      </w:pPr>
      <w:r>
        <w:rPr>
          <w:rFonts w:hint="eastAsia"/>
          <w:sz w:val="30"/>
          <w:szCs w:val="30"/>
        </w:rPr>
        <w:t>6.撰写绩效评价报告</w:t>
      </w:r>
    </w:p>
    <w:p>
      <w:pPr>
        <w:pStyle w:val="14"/>
        <w:spacing w:beforeLines="50" w:afterLines="50" w:line="360" w:lineRule="auto"/>
        <w:ind w:left="105" w:leftChars="50" w:right="105" w:rightChars="50" w:firstLine="600"/>
        <w:rPr>
          <w:sz w:val="30"/>
          <w:szCs w:val="30"/>
        </w:rPr>
      </w:pPr>
      <w:r>
        <w:rPr>
          <w:rFonts w:hint="eastAsia"/>
          <w:sz w:val="30"/>
          <w:szCs w:val="30"/>
        </w:rPr>
        <w:t>根据整理分析资料，撰写绩效评价报告，对转移支付资金项目资金使用情况进行总体评价，并对评价过程中发现的问题提出改进的意见和建议。</w:t>
      </w:r>
    </w:p>
    <w:p>
      <w:pPr>
        <w:pStyle w:val="2"/>
        <w:rPr>
          <w:rFonts w:asciiTheme="minorEastAsia" w:hAnsiTheme="minorEastAsia"/>
          <w:sz w:val="30"/>
          <w:szCs w:val="30"/>
        </w:rPr>
      </w:pPr>
      <w:bookmarkStart w:id="9" w:name="_Toc93918203"/>
      <w:r>
        <w:rPr>
          <w:rFonts w:hint="eastAsia" w:asciiTheme="minorEastAsia" w:hAnsiTheme="minorEastAsia"/>
          <w:sz w:val="30"/>
          <w:szCs w:val="30"/>
        </w:rPr>
        <w:t>（四）绩效评价原则、评价方法和标准</w:t>
      </w:r>
      <w:bookmarkEnd w:id="9"/>
    </w:p>
    <w:p>
      <w:pPr>
        <w:spacing w:beforeLines="50" w:afterLines="50" w:line="360" w:lineRule="auto"/>
        <w:ind w:left="105" w:leftChars="50" w:right="105" w:rightChars="50" w:firstLine="600" w:firstLineChars="200"/>
        <w:rPr>
          <w:sz w:val="30"/>
          <w:szCs w:val="30"/>
        </w:rPr>
      </w:pPr>
      <w:r>
        <w:rPr>
          <w:rFonts w:hint="eastAsia"/>
          <w:sz w:val="30"/>
          <w:szCs w:val="30"/>
        </w:rPr>
        <w:t>本次绩效评价坚持科学公正、公开透明、统筹兼顾、分级分类、绩效相关的评价原则，根据设定的绩效目标，以定量和定性、线上座谈相结合的方式进行，采取比较法、因素分析法、公众评判法、等评价方法，依据计划标准、行业标准等评价标准，对专项资金的经济性、效率性和效益性进行客观公正评价。现场调研主要采用座谈、访谈、査阅资料、实地走访等方式进行。现场评价通过发放基础数据表，统计收集数据资料等形式进行，依据现场调研掌握的情况和非现场评价采集的数据，综合分析进行全面总体评价。</w:t>
      </w:r>
    </w:p>
    <w:p>
      <w:pPr>
        <w:pStyle w:val="2"/>
        <w:rPr>
          <w:rFonts w:asciiTheme="minorEastAsia" w:hAnsiTheme="minorEastAsia"/>
          <w:sz w:val="30"/>
          <w:szCs w:val="30"/>
        </w:rPr>
      </w:pPr>
      <w:bookmarkStart w:id="10" w:name="_Toc93918204"/>
      <w:r>
        <w:rPr>
          <w:rFonts w:hint="eastAsia" w:asciiTheme="minorEastAsia" w:hAnsiTheme="minorEastAsia"/>
          <w:sz w:val="30"/>
          <w:szCs w:val="30"/>
        </w:rPr>
        <w:t>（五）绩效评价指标体系</w:t>
      </w:r>
      <w:bookmarkEnd w:id="10"/>
    </w:p>
    <w:p>
      <w:pPr>
        <w:spacing w:beforeLines="50" w:afterLines="50" w:line="360" w:lineRule="auto"/>
        <w:ind w:left="105" w:leftChars="50" w:right="105" w:rightChars="50" w:firstLine="600" w:firstLineChars="200"/>
        <w:rPr>
          <w:sz w:val="28"/>
          <w:szCs w:val="28"/>
        </w:rPr>
      </w:pPr>
      <w:r>
        <w:rPr>
          <w:rFonts w:hint="eastAsia"/>
          <w:sz w:val="30"/>
          <w:szCs w:val="30"/>
        </w:rPr>
        <w:t>本次评价指标体系按照决策-过程-产出-效益的逻辑路径分层设定，划分为4项一级指标，12项二级指标，25项三级指标，总分值100分，一是决策(15分)，主要评价立项依据充分性、立项程序规范性、绩效目标合理性、绩效指标明确性、预算编制科学性、资金分配合理性。二是过程(25分)，主要评价资金到位及时率、预算执行率、资金使用合规性、管理制度健全性、制度执行有效性。三是产出(35分)，主要评价支持市县公安机关数量（个）、治安拘留人次、刑事拘留人次、逮捕犯罪嫌疑人人次、刑事案件立案数量、有效管控涉稳人员数、侦查终结刑事案件数量、结案行政案件数量、强制隔离戒毒人数、缴获毒品数量、公安机关业务装备购置数量、实战训练次数、实战训练参训人次、命案侦破率、公安民警培训合格率、重大安保任务无差错率、购置装备验收合格率、受理案件及时性、装备釆购完成及时性、实战训练开展及时性、成本控制。四是效益(25分)，主要评价刑事、治安案件发案数下降情况、戒毒管控率提升情况、交通事故死亡人数下降情况、促进社会治安稳定情况、人民群众生命财产安全保障情况、挽回经济损失金额、罚没资金追缴金额、社会治安防控体系健全性、公众安全感指数、公安执法满意度。具体绩效评价指标体系及指标解释见下表2.2</w:t>
      </w:r>
      <w:r>
        <w:rPr>
          <w:rFonts w:hint="eastAsia"/>
          <w:sz w:val="28"/>
          <w:szCs w:val="28"/>
        </w:rPr>
        <w:t>：</w:t>
      </w:r>
    </w:p>
    <w:p>
      <w:pPr>
        <w:spacing w:beforeLines="50" w:afterLines="50" w:line="360" w:lineRule="auto"/>
        <w:ind w:left="105" w:leftChars="50" w:right="105" w:rightChars="50" w:firstLine="602" w:firstLineChars="200"/>
        <w:jc w:val="center"/>
        <w:rPr>
          <w:rFonts w:asciiTheme="minorEastAsia" w:hAnsiTheme="minorEastAsia"/>
          <w:b/>
          <w:sz w:val="30"/>
          <w:szCs w:val="30"/>
        </w:rPr>
      </w:pPr>
      <w:r>
        <w:rPr>
          <w:rFonts w:hint="eastAsia" w:asciiTheme="minorEastAsia" w:hAnsiTheme="minorEastAsia"/>
          <w:b/>
          <w:sz w:val="30"/>
          <w:szCs w:val="30"/>
        </w:rPr>
        <w:t>表2.2   转移支付资金项目</w:t>
      </w:r>
    </w:p>
    <w:p>
      <w:pPr>
        <w:spacing w:beforeLines="50" w:afterLines="50" w:line="360" w:lineRule="auto"/>
        <w:ind w:left="105" w:leftChars="50" w:right="105" w:rightChars="50" w:firstLine="602" w:firstLineChars="200"/>
        <w:jc w:val="center"/>
        <w:rPr>
          <w:rFonts w:asciiTheme="minorEastAsia" w:hAnsiTheme="minorEastAsia"/>
          <w:b/>
          <w:sz w:val="30"/>
          <w:szCs w:val="30"/>
        </w:rPr>
      </w:pPr>
      <w:r>
        <w:rPr>
          <w:rFonts w:hint="eastAsia" w:asciiTheme="minorEastAsia" w:hAnsiTheme="minorEastAsia"/>
          <w:b/>
          <w:sz w:val="30"/>
          <w:szCs w:val="30"/>
        </w:rPr>
        <w:t>绩效评价指标体系</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5"/>
        <w:gridCol w:w="569"/>
        <w:gridCol w:w="850"/>
        <w:gridCol w:w="565"/>
        <w:gridCol w:w="1276"/>
        <w:gridCol w:w="565"/>
        <w:gridCol w:w="39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1" w:hRule="atLeast"/>
        </w:trPr>
        <w:tc>
          <w:tcPr>
            <w:tcW w:w="34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一级指标</w:t>
            </w:r>
          </w:p>
        </w:tc>
        <w:tc>
          <w:tcPr>
            <w:tcW w:w="342"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511"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205" w:right="195"/>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二级指标</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18" w:right="11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ind w:left="25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三级指标</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3" w:right="110"/>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指标解释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346" w:type="pct"/>
            <w:vMerge w:val="restart"/>
            <w:tcBorders>
              <w:top w:val="single" w:color="000000" w:sz="4" w:space="0"/>
              <w:left w:val="single" w:color="000000" w:sz="4" w:space="0"/>
              <w:right w:val="single" w:color="000000" w:sz="4" w:space="0"/>
            </w:tcBorders>
            <w:vAlign w:val="center"/>
          </w:tcPr>
          <w:p>
            <w:pPr>
              <w:pStyle w:val="20"/>
              <w:ind w:left="13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决策</w:t>
            </w:r>
          </w:p>
        </w:tc>
        <w:tc>
          <w:tcPr>
            <w:tcW w:w="342" w:type="pct"/>
            <w:vMerge w:val="restart"/>
            <w:tcBorders>
              <w:top w:val="single" w:color="000000" w:sz="4" w:space="0"/>
              <w:left w:val="single" w:color="000000" w:sz="4" w:space="0"/>
              <w:right w:val="single" w:color="000000" w:sz="4" w:space="0"/>
            </w:tcBorders>
            <w:vAlign w:val="center"/>
          </w:tcPr>
          <w:p>
            <w:pPr>
              <w:pStyle w:val="20"/>
              <w:ind w:left="124"/>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15</w:t>
            </w:r>
          </w:p>
        </w:tc>
        <w:tc>
          <w:tcPr>
            <w:tcW w:w="511" w:type="pct"/>
            <w:vMerge w:val="restart"/>
            <w:tcBorders>
              <w:top w:val="single" w:color="000000" w:sz="4" w:space="0"/>
              <w:left w:val="single" w:color="000000" w:sz="4" w:space="0"/>
              <w:right w:val="single" w:color="000000" w:sz="4" w:space="0"/>
            </w:tcBorders>
            <w:vAlign w:val="center"/>
          </w:tcPr>
          <w:p>
            <w:pPr>
              <w:pStyle w:val="20"/>
              <w:spacing w:before="97"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项目立项</w:t>
            </w:r>
          </w:p>
        </w:tc>
        <w:tc>
          <w:tcPr>
            <w:tcW w:w="340" w:type="pct"/>
            <w:vMerge w:val="restart"/>
            <w:tcBorders>
              <w:top w:val="single" w:color="000000" w:sz="4" w:space="0"/>
              <w:left w:val="single" w:color="000000" w:sz="4" w:space="0"/>
              <w:right w:val="single" w:color="000000" w:sz="4" w:space="0"/>
            </w:tcBorders>
            <w:vAlign w:val="center"/>
          </w:tcPr>
          <w:p>
            <w:pPr>
              <w:pStyle w:val="20"/>
              <w:ind w:left="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5</w:t>
            </w: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zh-CN"/>
              </w:rPr>
              <w:t>立项依据充分性</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0"/>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项目设立是否有明确政策规定，是否为促进事业发展所必须，文件依据、相关资料提供是否充分。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46" w:type="pct"/>
            <w:vMerge w:val="continue"/>
            <w:tcBorders>
              <w:left w:val="single" w:color="000000" w:sz="4" w:space="0"/>
              <w:right w:val="single" w:color="000000" w:sz="4" w:space="0"/>
            </w:tcBorders>
            <w:vAlign w:val="center"/>
          </w:tcPr>
          <w:p>
            <w:pPr>
              <w:pStyle w:val="20"/>
              <w:jc w:val="center"/>
              <w:rPr>
                <w:rFonts w:asciiTheme="minorEastAsia" w:hAnsiTheme="minorEastAsia" w:eastAsiaTheme="minorEastAsia"/>
                <w:sz w:val="20"/>
                <w:lang w:eastAsia="zh-CN"/>
              </w:rPr>
            </w:pPr>
          </w:p>
        </w:tc>
        <w:tc>
          <w:tcPr>
            <w:tcW w:w="342" w:type="pct"/>
            <w:vMerge w:val="continue"/>
            <w:tcBorders>
              <w:left w:val="single" w:color="000000" w:sz="4" w:space="0"/>
              <w:right w:val="single" w:color="000000" w:sz="4" w:space="0"/>
            </w:tcBorders>
            <w:vAlign w:val="center"/>
          </w:tcPr>
          <w:p>
            <w:pPr>
              <w:pStyle w:val="20"/>
              <w:jc w:val="center"/>
              <w:rPr>
                <w:rFonts w:asciiTheme="minorEastAsia" w:hAnsiTheme="minorEastAsia" w:eastAsiaTheme="minorEastAsia"/>
                <w:sz w:val="20"/>
                <w:lang w:eastAsia="zh-CN"/>
              </w:rPr>
            </w:pPr>
          </w:p>
        </w:tc>
        <w:tc>
          <w:tcPr>
            <w:tcW w:w="511" w:type="pct"/>
            <w:vMerge w:val="continue"/>
            <w:tcBorders>
              <w:left w:val="single" w:color="000000" w:sz="4" w:space="0"/>
              <w:bottom w:val="single" w:color="000000" w:sz="4" w:space="0"/>
              <w:right w:val="single" w:color="000000" w:sz="4" w:space="0"/>
            </w:tcBorders>
            <w:vAlign w:val="center"/>
          </w:tcPr>
          <w:p>
            <w:pPr>
              <w:pStyle w:val="20"/>
              <w:jc w:val="center"/>
              <w:rPr>
                <w:rFonts w:asciiTheme="minorEastAsia" w:hAnsiTheme="minorEastAsia" w:eastAsiaTheme="minorEastAsia"/>
                <w:sz w:val="20"/>
                <w:lang w:eastAsia="zh-CN"/>
              </w:rPr>
            </w:pPr>
          </w:p>
        </w:tc>
        <w:tc>
          <w:tcPr>
            <w:tcW w:w="340" w:type="pct"/>
            <w:vMerge w:val="continue"/>
            <w:tcBorders>
              <w:left w:val="single" w:color="000000" w:sz="4" w:space="0"/>
              <w:bottom w:val="single" w:color="000000" w:sz="4" w:space="0"/>
              <w:right w:val="single" w:color="000000" w:sz="4" w:space="0"/>
            </w:tcBorders>
            <w:vAlign w:val="center"/>
          </w:tcPr>
          <w:p>
            <w:pPr>
              <w:pStyle w:val="20"/>
              <w:jc w:val="center"/>
              <w:rPr>
                <w:rFonts w:asciiTheme="minorEastAsia" w:hAnsiTheme="minorEastAsia" w:eastAsiaTheme="minorEastAsia"/>
                <w:sz w:val="20"/>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zh-CN"/>
              </w:rPr>
              <w:t>立项程序规范性</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项目的申请、设立过程是否符合相关要求，用以反映和考核项目立项的规范情况。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511"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绩效目标</w:t>
            </w:r>
          </w:p>
        </w:tc>
        <w:tc>
          <w:tcPr>
            <w:tcW w:w="340"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6</w:t>
            </w: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绩效目标合理性</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项目所设定的绩效目标是否符合实际、切实可行，用以反映和考核项目绩效目标与项目实施的相符情况。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3"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51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8" w:firstLine="105" w:firstLineChars="50"/>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绩效指标明确性</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依据绩效目标设定的绩效指标是否清晰、细化、可衡量等，用以反映和考核项目绩效目标的细化情况。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2"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511"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资金投入</w:t>
            </w:r>
          </w:p>
        </w:tc>
        <w:tc>
          <w:tcPr>
            <w:tcW w:w="340"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4</w:t>
            </w: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资金投入明确性</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2"/>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资金预算是否细化、具体、准确，具有可操作性。资金用途和开支范围是否明确。资金支出进度是否明确、细化、股学合理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346"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2"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51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zh-CN"/>
              </w:rPr>
              <w:t>资金分配合理性</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项目预算资金分配是否有经过科学论证、有明确标准及测算依据，与实际是否相适应，用以反映和考核项目预算资金分配的科学性、合理性情况。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346"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3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过程</w:t>
            </w:r>
          </w:p>
        </w:tc>
        <w:tc>
          <w:tcPr>
            <w:tcW w:w="342"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24"/>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25</w:t>
            </w:r>
          </w:p>
        </w:tc>
        <w:tc>
          <w:tcPr>
            <w:tcW w:w="511"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资金管理</w:t>
            </w:r>
          </w:p>
        </w:tc>
        <w:tc>
          <w:tcPr>
            <w:tcW w:w="340"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15</w:t>
            </w: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资金到位率</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实际到位资金与预算资金的比率，用以反映和考核资金落实情况对项目实施的总体保障程度。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34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2"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
              <w:ind w:left="101" w:right="99"/>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预算执行率</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6</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项目预算资金是否按照计划执行，用以反映或考核项目预算执行情况。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34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2"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zh-CN"/>
              </w:rPr>
              <w:t>资金使用合规性</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6</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资金使用是否合法合规、真实有据。项目资金是否单独核算并分项目建立收支台账，账务处理是否及时、规范。会计信息是否真实、完整，管理建议是否切合实际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34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2"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1"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组织实施</w:t>
            </w:r>
          </w:p>
        </w:tc>
        <w:tc>
          <w:tcPr>
            <w:tcW w:w="340"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10</w:t>
            </w: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管理制度健全性</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5</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项目实施单位的财务和业务管理制度是否健全，用以反映和考核财务和业务管理制度对项目顺利实施的保障情况。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34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2"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制度执行有效性</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5</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项目实施是否符合相关管理规定，用以反映和考核相关管理制度的有效执行情况。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346" w:type="pct"/>
            <w:vMerge w:val="restart"/>
            <w:tcBorders>
              <w:top w:val="single" w:color="000000" w:sz="4" w:space="0"/>
              <w:left w:val="single" w:color="000000" w:sz="4" w:space="0"/>
              <w:right w:val="single" w:color="000000" w:sz="4" w:space="0"/>
            </w:tcBorders>
            <w:vAlign w:val="center"/>
          </w:tcPr>
          <w:p>
            <w:pPr>
              <w:pStyle w:val="20"/>
              <w:ind w:left="138"/>
              <w:jc w:val="center"/>
              <w:rPr>
                <w:rFonts w:asciiTheme="minorEastAsia" w:hAnsiTheme="minorEastAsia" w:eastAsiaTheme="minorEastAsia"/>
                <w:sz w:val="21"/>
                <w:lang w:eastAsia="zh-CN"/>
              </w:rPr>
            </w:pPr>
          </w:p>
          <w:p>
            <w:pPr>
              <w:pStyle w:val="20"/>
              <w:ind w:left="13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w:t>
            </w:r>
          </w:p>
        </w:tc>
        <w:tc>
          <w:tcPr>
            <w:tcW w:w="342" w:type="pct"/>
            <w:vMerge w:val="restart"/>
            <w:tcBorders>
              <w:top w:val="single" w:color="000000" w:sz="4" w:space="0"/>
              <w:left w:val="single" w:color="000000" w:sz="4" w:space="0"/>
              <w:right w:val="single" w:color="000000" w:sz="4" w:space="0"/>
            </w:tcBorders>
            <w:vAlign w:val="center"/>
          </w:tcPr>
          <w:p>
            <w:pPr>
              <w:pStyle w:val="20"/>
              <w:ind w:left="124"/>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35</w:t>
            </w:r>
          </w:p>
        </w:tc>
        <w:tc>
          <w:tcPr>
            <w:tcW w:w="511" w:type="pct"/>
            <w:vMerge w:val="restart"/>
            <w:tcBorders>
              <w:top w:val="single" w:color="000000" w:sz="4" w:space="0"/>
              <w:left w:val="single" w:color="000000" w:sz="4" w:space="0"/>
              <w:right w:val="single" w:color="000000" w:sz="4" w:space="0"/>
            </w:tcBorders>
            <w:vAlign w:val="center"/>
          </w:tcPr>
          <w:p>
            <w:pPr>
              <w:pStyle w:val="20"/>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产出数量</w:t>
            </w:r>
          </w:p>
        </w:tc>
        <w:tc>
          <w:tcPr>
            <w:tcW w:w="340" w:type="pct"/>
            <w:vMerge w:val="restart"/>
            <w:tcBorders>
              <w:top w:val="single" w:color="000000" w:sz="4" w:space="0"/>
              <w:left w:val="single" w:color="000000" w:sz="4" w:space="0"/>
              <w:right w:val="single" w:color="000000" w:sz="4" w:space="0"/>
            </w:tcBorders>
            <w:vAlign w:val="center"/>
          </w:tcPr>
          <w:p>
            <w:pPr>
              <w:pStyle w:val="20"/>
              <w:ind w:left="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19</w:t>
            </w: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支持市县公安机关数量</w:t>
            </w:r>
            <w:r>
              <w:rPr>
                <w:rFonts w:hint="eastAsia" w:asciiTheme="minorEastAsia" w:hAnsiTheme="minorEastAsia" w:eastAsiaTheme="minorEastAsia"/>
                <w:color w:val="auto"/>
                <w:sz w:val="21"/>
                <w:lang w:eastAsia="zh-CN"/>
              </w:rPr>
              <w:t>（个）</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项目实施所支持的本市县公安机关数量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治安拘留人次</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 xml:space="preserve"> 本年度陕州区治安拘留人次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刑事拘留人次</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 xml:space="preserve"> 本年度陕州区刑事拘留人次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逮捕犯罪嫌疑人人次</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 xml:space="preserve"> 本年度陕州区逮捕犯罪嫌疑人人次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刑事案件立案数量</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本年度陕州区刑事案件立案数量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有效管控涉稳人员数</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本年度陕州区有效管控涉稳人员数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侦查终结刑事案件数量</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本年度陕州区侦查终结刑事案件数量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结案行政案件数量</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本年度陕州区结案行政案件数量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强制隔离戒毒人数</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本年度陕州区强制隔离戒毒人数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缴获毒品数量</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本年度陕州区缴获毒品数量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公安机关业务装备购置数量</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本年度陕州区公安机关业务装备购置数量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实战训练次数</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本年度陕州区实战训练次数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实战训练参训人次</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本年度陕州区实战训练参训人次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1" w:type="pct"/>
            <w:vMerge w:val="restart"/>
            <w:tcBorders>
              <w:top w:val="single" w:color="000000" w:sz="4" w:space="0"/>
              <w:left w:val="single" w:color="000000" w:sz="4" w:space="0"/>
              <w:right w:val="single" w:color="000000" w:sz="4" w:space="0"/>
            </w:tcBorders>
            <w:vAlign w:val="center"/>
          </w:tcPr>
          <w:p>
            <w:pPr>
              <w:pStyle w:val="20"/>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产出质量</w:t>
            </w:r>
          </w:p>
        </w:tc>
        <w:tc>
          <w:tcPr>
            <w:tcW w:w="340" w:type="pct"/>
            <w:vMerge w:val="restart"/>
            <w:tcBorders>
              <w:top w:val="single" w:color="000000" w:sz="4" w:space="0"/>
              <w:left w:val="single" w:color="000000" w:sz="4" w:space="0"/>
              <w:right w:val="single" w:color="000000" w:sz="4" w:space="0"/>
            </w:tcBorders>
            <w:vAlign w:val="center"/>
          </w:tcPr>
          <w:p>
            <w:pPr>
              <w:pStyle w:val="20"/>
              <w:ind w:lef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8</w:t>
            </w: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命案侦破率</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本年度陕州区命案侦破率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公安民警培训合格率</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本年度陕州区公安民警培训合格率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trPr>
        <w:tc>
          <w:tcPr>
            <w:tcW w:w="346" w:type="pct"/>
            <w:vMerge w:val="continue"/>
            <w:tcBorders>
              <w:left w:val="single" w:color="000000" w:sz="4" w:space="0"/>
              <w:right w:val="single" w:color="000000" w:sz="4" w:space="0"/>
            </w:tcBorders>
            <w:vAlign w:val="center"/>
          </w:tcPr>
          <w:p>
            <w:pPr>
              <w:pStyle w:val="20"/>
              <w:jc w:val="center"/>
              <w:rPr>
                <w:rFonts w:asciiTheme="minorEastAsia" w:hAnsiTheme="minorEastAsia" w:eastAsiaTheme="minorEastAsia"/>
                <w:sz w:val="20"/>
                <w:lang w:eastAsia="zh-CN"/>
              </w:rPr>
            </w:pPr>
          </w:p>
        </w:tc>
        <w:tc>
          <w:tcPr>
            <w:tcW w:w="342" w:type="pct"/>
            <w:vMerge w:val="continue"/>
            <w:tcBorders>
              <w:left w:val="single" w:color="000000" w:sz="4" w:space="0"/>
              <w:right w:val="single" w:color="000000" w:sz="4" w:space="0"/>
            </w:tcBorders>
            <w:vAlign w:val="center"/>
          </w:tcPr>
          <w:p>
            <w:pPr>
              <w:pStyle w:val="20"/>
              <w:jc w:val="center"/>
              <w:rPr>
                <w:rFonts w:asciiTheme="minorEastAsia" w:hAnsiTheme="minorEastAsia" w:eastAsiaTheme="minorEastAsia"/>
                <w:sz w:val="20"/>
                <w:lang w:eastAsia="zh-CN"/>
              </w:rPr>
            </w:pPr>
          </w:p>
        </w:tc>
        <w:tc>
          <w:tcPr>
            <w:tcW w:w="511" w:type="pct"/>
            <w:vMerge w:val="continue"/>
            <w:tcBorders>
              <w:left w:val="single" w:color="000000" w:sz="4" w:space="0"/>
              <w:right w:val="single" w:color="000000" w:sz="4" w:space="0"/>
            </w:tcBorders>
            <w:vAlign w:val="center"/>
          </w:tcPr>
          <w:p>
            <w:pPr>
              <w:pStyle w:val="20"/>
              <w:jc w:val="center"/>
              <w:rPr>
                <w:rFonts w:asciiTheme="minorEastAsia" w:hAnsiTheme="minorEastAsia" w:eastAsiaTheme="minorEastAsia"/>
                <w:sz w:val="20"/>
                <w:lang w:eastAsia="zh-CN"/>
              </w:rPr>
            </w:pPr>
          </w:p>
        </w:tc>
        <w:tc>
          <w:tcPr>
            <w:tcW w:w="340" w:type="pct"/>
            <w:vMerge w:val="continue"/>
            <w:tcBorders>
              <w:left w:val="single" w:color="000000" w:sz="4" w:space="0"/>
              <w:right w:val="single" w:color="000000" w:sz="4" w:space="0"/>
            </w:tcBorders>
            <w:vAlign w:val="center"/>
          </w:tcPr>
          <w:p>
            <w:pPr>
              <w:pStyle w:val="20"/>
              <w:jc w:val="center"/>
              <w:rPr>
                <w:rFonts w:asciiTheme="minorEastAsia" w:hAnsiTheme="minorEastAsia" w:eastAsiaTheme="minorEastAsia"/>
                <w:sz w:val="20"/>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重大安保任务无差错率</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本年度陕州区重大安保任务无差错率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767"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购置装备验收合格率</w:t>
            </w:r>
          </w:p>
        </w:tc>
        <w:tc>
          <w:tcPr>
            <w:tcW w:w="340" w:type="pct"/>
            <w:tcBorders>
              <w:top w:val="single" w:color="000000" w:sz="4" w:space="0"/>
              <w:left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该批资金所购置的装备验收合格率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511" w:type="pct"/>
            <w:vMerge w:val="restart"/>
            <w:tcBorders>
              <w:top w:val="single" w:color="000000" w:sz="4" w:space="0"/>
              <w:left w:val="single" w:color="000000" w:sz="4" w:space="0"/>
              <w:right w:val="single" w:color="000000" w:sz="4" w:space="0"/>
            </w:tcBorders>
            <w:vAlign w:val="center"/>
          </w:tcPr>
          <w:p>
            <w:pPr>
              <w:pStyle w:val="20"/>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产出时效</w:t>
            </w:r>
          </w:p>
        </w:tc>
        <w:tc>
          <w:tcPr>
            <w:tcW w:w="340" w:type="pct"/>
            <w:vMerge w:val="restart"/>
            <w:tcBorders>
              <w:top w:val="single" w:color="000000" w:sz="4" w:space="0"/>
              <w:left w:val="single" w:color="000000" w:sz="4" w:space="0"/>
              <w:right w:val="single" w:color="000000" w:sz="4" w:space="0"/>
            </w:tcBorders>
            <w:vAlign w:val="center"/>
          </w:tcPr>
          <w:p>
            <w:pPr>
              <w:pStyle w:val="20"/>
              <w:spacing w:before="1"/>
              <w:ind w:left="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6</w:t>
            </w:r>
          </w:p>
        </w:tc>
        <w:tc>
          <w:tcPr>
            <w:tcW w:w="767"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受理案件及时性</w:t>
            </w:r>
          </w:p>
        </w:tc>
        <w:tc>
          <w:tcPr>
            <w:tcW w:w="340" w:type="pct"/>
            <w:tcBorders>
              <w:top w:val="single" w:color="000000" w:sz="4" w:space="0"/>
              <w:left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反映陕州区公安局受理案件的及时性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装备釆购完成及时性</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反映陕州区公安局装备釆购完成及时性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5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实战训练开展及时性</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反映陕州区公安局实战训练开展及时性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511" w:type="pct"/>
            <w:tcBorders>
              <w:top w:val="single" w:color="000000" w:sz="4" w:space="0"/>
              <w:left w:val="single" w:color="000000" w:sz="4" w:space="0"/>
              <w:right w:val="single" w:color="000000" w:sz="4" w:space="0"/>
            </w:tcBorders>
            <w:vAlign w:val="center"/>
          </w:tcPr>
          <w:p>
            <w:pPr>
              <w:pStyle w:val="20"/>
              <w:spacing w:before="101"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产出成本</w:t>
            </w:r>
          </w:p>
        </w:tc>
        <w:tc>
          <w:tcPr>
            <w:tcW w:w="340" w:type="pct"/>
            <w:tcBorders>
              <w:top w:val="single" w:color="000000" w:sz="4" w:space="0"/>
              <w:left w:val="single" w:color="000000" w:sz="4" w:space="0"/>
              <w:right w:val="single" w:color="000000" w:sz="4" w:space="0"/>
            </w:tcBorders>
            <w:vAlign w:val="center"/>
          </w:tcPr>
          <w:p>
            <w:pPr>
              <w:pStyle w:val="20"/>
              <w:ind w:left="17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成本控制</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left="127" w:right="118" w:firstLine="105"/>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反映项目建设及采购成本是否超预算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46" w:type="pct"/>
            <w:vMerge w:val="restart"/>
            <w:tcBorders>
              <w:left w:val="single" w:color="000000" w:sz="4" w:space="0"/>
              <w:right w:val="single" w:color="000000" w:sz="4" w:space="0"/>
            </w:tcBorders>
            <w:vAlign w:val="center"/>
          </w:tcPr>
          <w:p>
            <w:pPr>
              <w:pStyle w:val="20"/>
              <w:ind w:left="138"/>
              <w:jc w:val="center"/>
              <w:rPr>
                <w:rFonts w:asciiTheme="minorEastAsia" w:hAnsiTheme="minorEastAsia" w:eastAsiaTheme="minorEastAsia"/>
                <w:sz w:val="20"/>
                <w:lang w:eastAsia="en-US"/>
              </w:rPr>
            </w:pPr>
            <w:r>
              <w:rPr>
                <w:rFonts w:hint="eastAsia" w:asciiTheme="minorEastAsia" w:hAnsiTheme="minorEastAsia" w:eastAsiaTheme="minorEastAsia"/>
                <w:sz w:val="21"/>
                <w:lang w:eastAsia="en-US"/>
              </w:rPr>
              <w:t>效益</w:t>
            </w:r>
          </w:p>
        </w:tc>
        <w:tc>
          <w:tcPr>
            <w:tcW w:w="342" w:type="pct"/>
            <w:vMerge w:val="restart"/>
            <w:tcBorders>
              <w:left w:val="single" w:color="000000" w:sz="4" w:space="0"/>
              <w:right w:val="single" w:color="000000" w:sz="4" w:space="0"/>
            </w:tcBorders>
            <w:vAlign w:val="center"/>
          </w:tcPr>
          <w:p>
            <w:pPr>
              <w:pStyle w:val="20"/>
              <w:ind w:left="124"/>
              <w:jc w:val="center"/>
              <w:rPr>
                <w:rFonts w:asciiTheme="minorEastAsia" w:hAnsiTheme="minorEastAsia" w:eastAsiaTheme="minorEastAsia"/>
                <w:sz w:val="20"/>
                <w:lang w:eastAsia="en-US"/>
              </w:rPr>
            </w:pPr>
            <w:r>
              <w:rPr>
                <w:rFonts w:hint="eastAsia" w:asciiTheme="minorEastAsia" w:hAnsiTheme="minorEastAsia" w:eastAsiaTheme="minorEastAsia"/>
                <w:sz w:val="21"/>
                <w:lang w:eastAsia="en-US"/>
              </w:rPr>
              <w:t>25</w:t>
            </w:r>
          </w:p>
        </w:tc>
        <w:tc>
          <w:tcPr>
            <w:tcW w:w="511" w:type="pct"/>
            <w:vMerge w:val="restart"/>
            <w:tcBorders>
              <w:left w:val="single" w:color="000000" w:sz="4" w:space="0"/>
              <w:right w:val="single" w:color="000000" w:sz="4" w:space="0"/>
            </w:tcBorders>
            <w:vAlign w:val="center"/>
          </w:tcPr>
          <w:p>
            <w:pPr>
              <w:pStyle w:val="20"/>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社会效益</w:t>
            </w:r>
          </w:p>
          <w:p>
            <w:pPr>
              <w:pStyle w:val="20"/>
              <w:spacing w:before="102"/>
              <w:ind w:left="210" w:right="191"/>
              <w:jc w:val="center"/>
              <w:rPr>
                <w:rFonts w:asciiTheme="minorEastAsia" w:hAnsiTheme="minorEastAsia" w:eastAsiaTheme="minorEastAsia"/>
                <w:sz w:val="21"/>
                <w:lang w:eastAsia="en-US"/>
              </w:rPr>
            </w:pPr>
          </w:p>
        </w:tc>
        <w:tc>
          <w:tcPr>
            <w:tcW w:w="340" w:type="pct"/>
            <w:vMerge w:val="restart"/>
            <w:tcBorders>
              <w:left w:val="single" w:color="000000" w:sz="4" w:space="0"/>
              <w:right w:val="single" w:color="000000" w:sz="4" w:space="0"/>
            </w:tcBorders>
            <w:vAlign w:val="center"/>
          </w:tcPr>
          <w:p>
            <w:pPr>
              <w:pStyle w:val="20"/>
              <w:spacing w:before="1"/>
              <w:ind w:left="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17</w:t>
            </w: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刑事、治安案件发案数下降情况</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反映刑事、治安案件发案数下降情况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46" w:type="pct"/>
            <w:vMerge w:val="continue"/>
            <w:tcBorders>
              <w:left w:val="single" w:color="000000" w:sz="4" w:space="0"/>
              <w:right w:val="single" w:color="000000" w:sz="4" w:space="0"/>
            </w:tcBorders>
            <w:vAlign w:val="center"/>
          </w:tcPr>
          <w:p>
            <w:pPr>
              <w:pStyle w:val="20"/>
              <w:ind w:left="138"/>
              <w:jc w:val="center"/>
              <w:rPr>
                <w:rFonts w:asciiTheme="minorEastAsia" w:hAnsiTheme="minorEastAsia" w:eastAsiaTheme="minorEastAsia"/>
                <w:sz w:val="20"/>
                <w:lang w:eastAsia="zh-CN"/>
              </w:rPr>
            </w:pPr>
          </w:p>
        </w:tc>
        <w:tc>
          <w:tcPr>
            <w:tcW w:w="342" w:type="pct"/>
            <w:vMerge w:val="continue"/>
            <w:tcBorders>
              <w:left w:val="single" w:color="000000" w:sz="4" w:space="0"/>
              <w:right w:val="single" w:color="000000" w:sz="4" w:space="0"/>
            </w:tcBorders>
            <w:vAlign w:val="center"/>
          </w:tcPr>
          <w:p>
            <w:pPr>
              <w:pStyle w:val="20"/>
              <w:ind w:left="124"/>
              <w:jc w:val="center"/>
              <w:rPr>
                <w:rFonts w:asciiTheme="minorEastAsia" w:hAnsiTheme="minorEastAsia" w:eastAsiaTheme="minorEastAsia"/>
                <w:sz w:val="20"/>
                <w:lang w:eastAsia="zh-CN"/>
              </w:rPr>
            </w:pPr>
          </w:p>
        </w:tc>
        <w:tc>
          <w:tcPr>
            <w:tcW w:w="511" w:type="pct"/>
            <w:vMerge w:val="continue"/>
            <w:tcBorders>
              <w:left w:val="single" w:color="000000" w:sz="4" w:space="0"/>
              <w:right w:val="single" w:color="000000" w:sz="4" w:space="0"/>
            </w:tcBorders>
            <w:vAlign w:val="center"/>
          </w:tcPr>
          <w:p>
            <w:pPr>
              <w:pStyle w:val="20"/>
              <w:spacing w:before="102"/>
              <w:ind w:left="210" w:right="191"/>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pStyle w:val="20"/>
              <w:jc w:val="center"/>
              <w:rPr>
                <w:rFonts w:asciiTheme="minorEastAsia" w:hAnsiTheme="minorEastAsia" w:eastAsiaTheme="minorEastAsia"/>
                <w:sz w:val="21"/>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戒毒管控率提升情况</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反映戒毒管控率提升情况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346" w:type="pct"/>
            <w:vMerge w:val="continue"/>
            <w:tcBorders>
              <w:left w:val="single" w:color="000000" w:sz="4" w:space="0"/>
              <w:right w:val="single" w:color="000000" w:sz="4" w:space="0"/>
            </w:tcBorders>
            <w:vAlign w:val="center"/>
          </w:tcPr>
          <w:p>
            <w:pPr>
              <w:pStyle w:val="20"/>
              <w:ind w:left="138"/>
              <w:jc w:val="center"/>
              <w:rPr>
                <w:rFonts w:asciiTheme="minorEastAsia" w:hAnsiTheme="minorEastAsia" w:eastAsiaTheme="minorEastAsia"/>
                <w:sz w:val="21"/>
                <w:lang w:eastAsia="zh-CN"/>
              </w:rPr>
            </w:pPr>
          </w:p>
        </w:tc>
        <w:tc>
          <w:tcPr>
            <w:tcW w:w="342" w:type="pct"/>
            <w:vMerge w:val="continue"/>
            <w:tcBorders>
              <w:left w:val="single" w:color="000000" w:sz="4" w:space="0"/>
              <w:right w:val="single" w:color="000000" w:sz="4" w:space="0"/>
            </w:tcBorders>
            <w:vAlign w:val="center"/>
          </w:tcPr>
          <w:p>
            <w:pPr>
              <w:pStyle w:val="20"/>
              <w:ind w:left="124"/>
              <w:jc w:val="center"/>
              <w:rPr>
                <w:rFonts w:asciiTheme="minorEastAsia" w:hAnsiTheme="minorEastAsia" w:eastAsiaTheme="minorEastAsia"/>
                <w:sz w:val="21"/>
                <w:lang w:eastAsia="zh-CN"/>
              </w:rPr>
            </w:pPr>
          </w:p>
        </w:tc>
        <w:tc>
          <w:tcPr>
            <w:tcW w:w="511" w:type="pct"/>
            <w:vMerge w:val="continue"/>
            <w:tcBorders>
              <w:left w:val="single" w:color="000000" w:sz="4" w:space="0"/>
              <w:right w:val="single" w:color="000000" w:sz="4" w:space="0"/>
            </w:tcBorders>
            <w:vAlign w:val="center"/>
          </w:tcPr>
          <w:p>
            <w:pPr>
              <w:pStyle w:val="20"/>
              <w:spacing w:before="102"/>
              <w:ind w:left="210" w:right="191"/>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pStyle w:val="20"/>
              <w:jc w:val="center"/>
              <w:rPr>
                <w:rFonts w:asciiTheme="minorEastAsia" w:hAnsiTheme="minorEastAsia" w:eastAsiaTheme="minorEastAsia"/>
                <w:sz w:val="21"/>
                <w:lang w:eastAsia="zh-CN"/>
              </w:rPr>
            </w:pPr>
          </w:p>
        </w:tc>
        <w:tc>
          <w:tcPr>
            <w:tcW w:w="767"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交通事故死亡人数下降情况</w:t>
            </w:r>
          </w:p>
        </w:tc>
        <w:tc>
          <w:tcPr>
            <w:tcW w:w="340"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反映交通事故死亡人数下降情况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1" w:type="pct"/>
            <w:vMerge w:val="continue"/>
            <w:tcBorders>
              <w:left w:val="single" w:color="000000" w:sz="4" w:space="0"/>
              <w:right w:val="single" w:color="000000" w:sz="4" w:space="0"/>
            </w:tcBorders>
            <w:vAlign w:val="center"/>
          </w:tcPr>
          <w:p>
            <w:pPr>
              <w:pStyle w:val="20"/>
              <w:spacing w:before="102"/>
              <w:ind w:left="210" w:right="191"/>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pStyle w:val="20"/>
              <w:jc w:val="center"/>
              <w:rPr>
                <w:rFonts w:asciiTheme="minorEastAsia" w:hAnsiTheme="minorEastAsia" w:eastAsiaTheme="minorEastAsia"/>
                <w:sz w:val="21"/>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促进社会治安稳定情况</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反映促进社会治安稳定情况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1" w:type="pct"/>
            <w:vMerge w:val="continue"/>
            <w:tcBorders>
              <w:left w:val="single" w:color="000000" w:sz="4" w:space="0"/>
              <w:right w:val="single" w:color="000000" w:sz="4" w:space="0"/>
            </w:tcBorders>
            <w:vAlign w:val="center"/>
          </w:tcPr>
          <w:p>
            <w:pPr>
              <w:pStyle w:val="20"/>
              <w:spacing w:before="102"/>
              <w:ind w:left="210" w:right="191"/>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pStyle w:val="20"/>
              <w:spacing w:before="12"/>
              <w:jc w:val="center"/>
              <w:rPr>
                <w:rFonts w:asciiTheme="minorEastAsia" w:hAnsiTheme="minorEastAsia" w:eastAsiaTheme="minorEastAsia"/>
                <w:sz w:val="28"/>
                <w:lang w:eastAsia="zh-CN"/>
              </w:rPr>
            </w:pPr>
          </w:p>
        </w:tc>
        <w:tc>
          <w:tcPr>
            <w:tcW w:w="767"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人民群众生命财产安全保障情况</w:t>
            </w:r>
          </w:p>
        </w:tc>
        <w:tc>
          <w:tcPr>
            <w:tcW w:w="340"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right w:val="single" w:color="000000" w:sz="4" w:space="0"/>
            </w:tcBorders>
            <w:vAlign w:val="center"/>
          </w:tcPr>
          <w:p>
            <w:pPr>
              <w:pStyle w:val="20"/>
              <w:spacing w:before="101" w:line="242" w:lineRule="auto"/>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反映人民群众生命财产安全保障情况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pStyle w:val="20"/>
              <w:spacing w:before="102"/>
              <w:ind w:left="210" w:right="191"/>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pStyle w:val="20"/>
              <w:spacing w:before="12"/>
              <w:jc w:val="center"/>
              <w:rPr>
                <w:rFonts w:asciiTheme="minorEastAsia" w:hAnsiTheme="minorEastAsia" w:eastAsiaTheme="minorEastAsia"/>
                <w:sz w:val="28"/>
                <w:lang w:eastAsia="zh-CN"/>
              </w:rPr>
            </w:pPr>
          </w:p>
        </w:tc>
        <w:tc>
          <w:tcPr>
            <w:tcW w:w="767"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挽回经济损失金额</w:t>
            </w:r>
          </w:p>
        </w:tc>
        <w:tc>
          <w:tcPr>
            <w:tcW w:w="340"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right w:val="single" w:color="000000" w:sz="4" w:space="0"/>
            </w:tcBorders>
            <w:vAlign w:val="center"/>
          </w:tcPr>
          <w:p>
            <w:pPr>
              <w:pStyle w:val="20"/>
              <w:spacing w:before="101" w:line="242" w:lineRule="auto"/>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反映挽回经济损失金额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pStyle w:val="20"/>
              <w:spacing w:before="102"/>
              <w:ind w:left="210" w:right="191"/>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pStyle w:val="20"/>
              <w:spacing w:before="12"/>
              <w:jc w:val="center"/>
              <w:rPr>
                <w:rFonts w:asciiTheme="minorEastAsia" w:hAnsiTheme="minorEastAsia" w:eastAsiaTheme="minorEastAsia"/>
                <w:sz w:val="28"/>
                <w:lang w:eastAsia="zh-CN"/>
              </w:rPr>
            </w:pPr>
          </w:p>
        </w:tc>
        <w:tc>
          <w:tcPr>
            <w:tcW w:w="767"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罚没资金追缴金额</w:t>
            </w:r>
          </w:p>
        </w:tc>
        <w:tc>
          <w:tcPr>
            <w:tcW w:w="340"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2354" w:type="pct"/>
            <w:tcBorders>
              <w:top w:val="single" w:color="000000" w:sz="4" w:space="0"/>
              <w:left w:val="single" w:color="000000" w:sz="4" w:space="0"/>
              <w:right w:val="single" w:color="000000" w:sz="4" w:space="0"/>
            </w:tcBorders>
            <w:vAlign w:val="center"/>
          </w:tcPr>
          <w:p>
            <w:pPr>
              <w:pStyle w:val="20"/>
              <w:spacing w:before="101" w:line="242" w:lineRule="auto"/>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反映罚没资金追缴金额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pStyle w:val="20"/>
              <w:spacing w:before="102"/>
              <w:ind w:left="210" w:right="191"/>
              <w:jc w:val="center"/>
              <w:rPr>
                <w:rFonts w:asciiTheme="minorEastAsia" w:hAnsiTheme="minorEastAsia" w:eastAsiaTheme="minorEastAsia"/>
                <w:sz w:val="21"/>
                <w:lang w:eastAsia="zh-CN"/>
              </w:rPr>
            </w:pPr>
          </w:p>
        </w:tc>
        <w:tc>
          <w:tcPr>
            <w:tcW w:w="340" w:type="pct"/>
            <w:vMerge w:val="continue"/>
            <w:tcBorders>
              <w:left w:val="single" w:color="000000" w:sz="4" w:space="0"/>
              <w:right w:val="single" w:color="000000" w:sz="4" w:space="0"/>
            </w:tcBorders>
            <w:vAlign w:val="center"/>
          </w:tcPr>
          <w:p>
            <w:pPr>
              <w:pStyle w:val="20"/>
              <w:spacing w:before="12"/>
              <w:jc w:val="center"/>
              <w:rPr>
                <w:rFonts w:asciiTheme="minorEastAsia" w:hAnsiTheme="minorEastAsia" w:eastAsiaTheme="minorEastAsia"/>
                <w:sz w:val="28"/>
                <w:lang w:eastAsia="zh-CN"/>
              </w:rPr>
            </w:pPr>
          </w:p>
        </w:tc>
        <w:tc>
          <w:tcPr>
            <w:tcW w:w="767"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社会治安防控体系健全性</w:t>
            </w:r>
          </w:p>
        </w:tc>
        <w:tc>
          <w:tcPr>
            <w:tcW w:w="340"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2354" w:type="pct"/>
            <w:tcBorders>
              <w:top w:val="single" w:color="000000" w:sz="4" w:space="0"/>
              <w:left w:val="single" w:color="000000" w:sz="4" w:space="0"/>
              <w:right w:val="single" w:color="000000" w:sz="4" w:space="0"/>
            </w:tcBorders>
            <w:vAlign w:val="center"/>
          </w:tcPr>
          <w:p>
            <w:pPr>
              <w:pStyle w:val="20"/>
              <w:spacing w:before="101" w:line="242" w:lineRule="auto"/>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反映社会治安防控体系健全性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1" w:type="pct"/>
            <w:vMerge w:val="restart"/>
            <w:tcBorders>
              <w:top w:val="single" w:color="000000" w:sz="4" w:space="0"/>
              <w:left w:val="single" w:color="000000" w:sz="4" w:space="0"/>
              <w:right w:val="single" w:color="000000" w:sz="4" w:space="0"/>
            </w:tcBorders>
            <w:vAlign w:val="center"/>
          </w:tcPr>
          <w:p>
            <w:pPr>
              <w:pStyle w:val="20"/>
              <w:spacing w:before="102"/>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满意度</w:t>
            </w:r>
          </w:p>
        </w:tc>
        <w:tc>
          <w:tcPr>
            <w:tcW w:w="340" w:type="pct"/>
            <w:vMerge w:val="restart"/>
            <w:tcBorders>
              <w:top w:val="single" w:color="000000" w:sz="4" w:space="0"/>
              <w:left w:val="single" w:color="000000" w:sz="4" w:space="0"/>
              <w:right w:val="single" w:color="000000" w:sz="4" w:space="0"/>
            </w:tcBorders>
            <w:vAlign w:val="center"/>
          </w:tcPr>
          <w:p>
            <w:pPr>
              <w:pStyle w:val="20"/>
              <w:ind w:left="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8</w:t>
            </w: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公众安全感指数</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反映公众安全感情况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346"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342"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lang w:eastAsia="zh-CN"/>
              </w:rPr>
            </w:pPr>
          </w:p>
        </w:tc>
        <w:tc>
          <w:tcPr>
            <w:tcW w:w="511" w:type="pct"/>
            <w:vMerge w:val="continue"/>
            <w:tcBorders>
              <w:left w:val="single" w:color="000000" w:sz="4" w:space="0"/>
              <w:right w:val="single" w:color="000000" w:sz="4" w:space="0"/>
            </w:tcBorders>
            <w:vAlign w:val="center"/>
          </w:tcPr>
          <w:p>
            <w:pPr>
              <w:pStyle w:val="20"/>
              <w:spacing w:before="102"/>
              <w:ind w:left="210" w:right="191"/>
              <w:jc w:val="center"/>
              <w:rPr>
                <w:rFonts w:asciiTheme="minorEastAsia" w:hAnsiTheme="minorEastAsia" w:eastAsiaTheme="minorEastAsia"/>
                <w:sz w:val="21"/>
                <w:lang w:eastAsia="zh-CN"/>
              </w:rPr>
            </w:pPr>
          </w:p>
        </w:tc>
        <w:tc>
          <w:tcPr>
            <w:tcW w:w="340" w:type="pct"/>
            <w:vMerge w:val="continue"/>
            <w:tcBorders>
              <w:left w:val="single" w:color="000000" w:sz="4" w:space="0"/>
              <w:bottom w:val="single" w:color="000000" w:sz="4" w:space="0"/>
              <w:right w:val="single" w:color="000000" w:sz="4" w:space="0"/>
            </w:tcBorders>
            <w:vAlign w:val="center"/>
          </w:tcPr>
          <w:p>
            <w:pPr>
              <w:pStyle w:val="20"/>
              <w:ind w:left="3"/>
              <w:jc w:val="center"/>
              <w:rPr>
                <w:rFonts w:asciiTheme="minorEastAsia" w:hAnsiTheme="minorEastAsia" w:eastAsiaTheme="minorEastAsia"/>
                <w:sz w:val="21"/>
                <w:lang w:eastAsia="zh-CN"/>
              </w:rPr>
            </w:pPr>
          </w:p>
        </w:tc>
        <w:tc>
          <w:tcPr>
            <w:tcW w:w="767"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公安执法满意度</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235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反映公众对公安执法满意度</w:t>
            </w:r>
          </w:p>
        </w:tc>
      </w:tr>
    </w:tbl>
    <w:p>
      <w:pPr>
        <w:spacing w:beforeLines="50" w:afterLines="50" w:line="360" w:lineRule="auto"/>
        <w:ind w:left="105" w:leftChars="50" w:right="105" w:rightChars="50" w:firstLine="602" w:firstLineChars="200"/>
        <w:jc w:val="center"/>
        <w:rPr>
          <w:rFonts w:ascii="仿宋" w:hAnsi="仿宋" w:eastAsia="仿宋"/>
          <w:b/>
          <w:sz w:val="30"/>
          <w:szCs w:val="30"/>
        </w:rPr>
      </w:pPr>
    </w:p>
    <w:p>
      <w:pPr>
        <w:pStyle w:val="3"/>
        <w:rPr>
          <w:rFonts w:asciiTheme="minorEastAsia" w:hAnsiTheme="minorEastAsia" w:eastAsiaTheme="minorEastAsia" w:cstheme="minorBidi"/>
          <w:kern w:val="44"/>
          <w:sz w:val="30"/>
          <w:szCs w:val="30"/>
        </w:rPr>
      </w:pPr>
      <w:bookmarkStart w:id="11" w:name="_Toc93918205"/>
      <w:r>
        <w:rPr>
          <w:rFonts w:hint="eastAsia" w:asciiTheme="minorEastAsia" w:hAnsiTheme="minorEastAsia" w:eastAsiaTheme="minorEastAsia" w:cstheme="minorBidi"/>
          <w:kern w:val="44"/>
          <w:sz w:val="30"/>
          <w:szCs w:val="30"/>
        </w:rPr>
        <w:t>（六）绩效评价标准及评价等级</w:t>
      </w:r>
      <w:bookmarkEnd w:id="11"/>
    </w:p>
    <w:p>
      <w:pPr>
        <w:spacing w:beforeLines="50" w:afterLines="50" w:line="360" w:lineRule="auto"/>
        <w:ind w:left="105" w:leftChars="50" w:right="105" w:rightChars="50" w:firstLine="600" w:firstLineChars="200"/>
        <w:rPr>
          <w:sz w:val="30"/>
          <w:szCs w:val="30"/>
        </w:rPr>
      </w:pPr>
      <w:r>
        <w:rPr>
          <w:rFonts w:hint="eastAsia"/>
          <w:sz w:val="30"/>
          <w:szCs w:val="30"/>
        </w:rPr>
        <w:t>本次绩效评价结果采取评分和评级相结合的方式，评分标准以计划标准和行业标准为主，同时依据实际情况参照其他相关标准。</w:t>
      </w:r>
    </w:p>
    <w:p>
      <w:pPr>
        <w:spacing w:beforeLines="50" w:afterLines="50" w:line="360" w:lineRule="auto"/>
        <w:ind w:left="105" w:leftChars="50" w:right="105" w:rightChars="50" w:firstLine="600" w:firstLineChars="200"/>
        <w:rPr>
          <w:sz w:val="30"/>
          <w:szCs w:val="30"/>
        </w:rPr>
      </w:pPr>
      <w:r>
        <w:rPr>
          <w:rFonts w:hint="eastAsia"/>
          <w:sz w:val="30"/>
          <w:szCs w:val="30"/>
        </w:rPr>
        <w:t>绩效评价采取定量和定性相结合的比较方法，总分由各项指标的得分汇总计算形成。总分为100分。绩效评价结果分为优、良、中、差4个等级，其中90(含)-100分为“优”、80(含)-90分为“良”、60(含)-80分为“中”、60分以下为“差”。</w:t>
      </w:r>
    </w:p>
    <w:p>
      <w:pPr>
        <w:pStyle w:val="2"/>
        <w:rPr>
          <w:rFonts w:asciiTheme="minorEastAsia" w:hAnsiTheme="minorEastAsia"/>
          <w:sz w:val="32"/>
          <w:szCs w:val="32"/>
        </w:rPr>
      </w:pPr>
      <w:bookmarkStart w:id="12" w:name="_Toc93918206"/>
      <w:r>
        <w:rPr>
          <w:rFonts w:hint="eastAsia" w:asciiTheme="minorEastAsia" w:hAnsiTheme="minorEastAsia"/>
          <w:sz w:val="32"/>
          <w:szCs w:val="32"/>
        </w:rPr>
        <w:t>三、绩效评价分析</w:t>
      </w:r>
      <w:bookmarkEnd w:id="12"/>
    </w:p>
    <w:p>
      <w:pPr>
        <w:pStyle w:val="3"/>
        <w:rPr>
          <w:rFonts w:asciiTheme="minorEastAsia" w:hAnsiTheme="minorEastAsia"/>
          <w:sz w:val="30"/>
          <w:szCs w:val="30"/>
        </w:rPr>
      </w:pPr>
      <w:bookmarkStart w:id="13" w:name="_Toc93918207"/>
      <w:r>
        <w:rPr>
          <w:rFonts w:hint="eastAsia"/>
          <w:sz w:val="30"/>
          <w:szCs w:val="30"/>
        </w:rPr>
        <w:t>（一）</w:t>
      </w:r>
      <w:r>
        <w:rPr>
          <w:rFonts w:hint="eastAsia" w:asciiTheme="minorEastAsia" w:hAnsiTheme="minorEastAsia"/>
          <w:sz w:val="30"/>
          <w:szCs w:val="30"/>
        </w:rPr>
        <w:t>项目决策情况</w:t>
      </w:r>
      <w:bookmarkEnd w:id="13"/>
    </w:p>
    <w:p>
      <w:pPr>
        <w:spacing w:beforeLines="50" w:afterLines="50" w:line="360" w:lineRule="auto"/>
        <w:ind w:left="105" w:leftChars="50" w:right="105" w:rightChars="50" w:firstLine="600" w:firstLineChars="200"/>
        <w:rPr>
          <w:sz w:val="30"/>
          <w:szCs w:val="30"/>
        </w:rPr>
      </w:pPr>
      <w:r>
        <w:rPr>
          <w:rFonts w:hint="eastAsia"/>
          <w:sz w:val="30"/>
          <w:szCs w:val="30"/>
        </w:rPr>
        <w:t>本项目决策下设“项目立项”、“绩效目标”、“资金投入”三个二级指标，权重15分，综合得分</w:t>
      </w:r>
      <w:r>
        <w:rPr>
          <w:rFonts w:hint="eastAsia"/>
          <w:color w:val="000000" w:themeColor="text1"/>
          <w:sz w:val="30"/>
          <w:szCs w:val="30"/>
        </w:rPr>
        <w:t>14.1分。单项得分率为94%。</w:t>
      </w:r>
      <w:r>
        <w:rPr>
          <w:rFonts w:hint="eastAsia"/>
          <w:sz w:val="30"/>
          <w:szCs w:val="30"/>
        </w:rPr>
        <w:t>各项三级指标得分情况见下表3.1：</w:t>
      </w:r>
    </w:p>
    <w:p>
      <w:pPr>
        <w:spacing w:beforeLines="50" w:afterLines="50" w:line="360" w:lineRule="auto"/>
        <w:ind w:left="105" w:leftChars="50" w:right="105" w:rightChars="50" w:firstLine="600" w:firstLineChars="200"/>
        <w:jc w:val="center"/>
        <w:rPr>
          <w:sz w:val="30"/>
          <w:szCs w:val="30"/>
        </w:rPr>
      </w:pPr>
      <w:r>
        <w:rPr>
          <w:rFonts w:hint="eastAsia"/>
          <w:sz w:val="30"/>
          <w:szCs w:val="30"/>
        </w:rPr>
        <w:t>表3.1  转移支付资金项目</w:t>
      </w:r>
    </w:p>
    <w:p>
      <w:pPr>
        <w:spacing w:beforeLines="50" w:afterLines="50" w:line="360" w:lineRule="auto"/>
        <w:ind w:left="105" w:leftChars="50" w:right="105" w:rightChars="50" w:firstLine="600" w:firstLineChars="200"/>
        <w:jc w:val="center"/>
        <w:rPr>
          <w:sz w:val="30"/>
          <w:szCs w:val="30"/>
        </w:rPr>
      </w:pPr>
      <w:r>
        <w:rPr>
          <w:rFonts w:hint="eastAsia"/>
          <w:sz w:val="30"/>
          <w:szCs w:val="30"/>
        </w:rPr>
        <w:t>绩效评价决策指标得分表</w:t>
      </w:r>
    </w:p>
    <w:tbl>
      <w:tblPr>
        <w:tblStyle w:val="21"/>
        <w:tblW w:w="503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9"/>
        <w:gridCol w:w="424"/>
        <w:gridCol w:w="564"/>
        <w:gridCol w:w="423"/>
        <w:gridCol w:w="1143"/>
        <w:gridCol w:w="4069"/>
        <w:gridCol w:w="609"/>
        <w:gridCol w:w="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25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宋体" w:hAnsi="宋体" w:eastAsia="宋体"/>
                <w:b/>
                <w:sz w:val="21"/>
                <w:szCs w:val="21"/>
                <w:lang w:eastAsia="en-US"/>
              </w:rPr>
            </w:pPr>
            <w:r>
              <w:rPr>
                <w:rFonts w:hint="eastAsia" w:ascii="宋体" w:hAnsi="宋体" w:eastAsia="宋体"/>
                <w:b/>
                <w:sz w:val="21"/>
                <w:szCs w:val="21"/>
                <w:lang w:eastAsia="en-US"/>
              </w:rPr>
              <w:t>一级指标</w:t>
            </w:r>
          </w:p>
        </w:tc>
        <w:tc>
          <w:tcPr>
            <w:tcW w:w="253"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337"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205" w:right="195"/>
              <w:jc w:val="center"/>
              <w:rPr>
                <w:rFonts w:ascii="宋体" w:hAnsi="宋体" w:eastAsia="宋体"/>
                <w:b/>
                <w:sz w:val="21"/>
                <w:szCs w:val="21"/>
                <w:lang w:eastAsia="en-US"/>
              </w:rPr>
            </w:pPr>
            <w:r>
              <w:rPr>
                <w:rFonts w:hint="eastAsia" w:ascii="宋体" w:hAnsi="宋体" w:eastAsia="宋体"/>
                <w:b/>
                <w:sz w:val="21"/>
                <w:szCs w:val="21"/>
                <w:lang w:eastAsia="en-US"/>
              </w:rPr>
              <w:t>二级指标</w:t>
            </w:r>
          </w:p>
        </w:tc>
        <w:tc>
          <w:tcPr>
            <w:tcW w:w="253"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18" w:right="113"/>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jc w:val="center"/>
              <w:rPr>
                <w:rFonts w:ascii="宋体" w:hAnsi="宋体" w:eastAsia="宋体"/>
                <w:b/>
                <w:sz w:val="21"/>
                <w:szCs w:val="21"/>
                <w:lang w:eastAsia="en-US"/>
              </w:rPr>
            </w:pPr>
            <w:r>
              <w:rPr>
                <w:rFonts w:hint="eastAsia" w:ascii="宋体" w:hAnsi="宋体" w:eastAsia="宋体"/>
                <w:b/>
                <w:sz w:val="21"/>
                <w:szCs w:val="21"/>
                <w:lang w:eastAsia="en-US"/>
              </w:rPr>
              <w:t>三级指标</w:t>
            </w:r>
          </w:p>
        </w:tc>
        <w:tc>
          <w:tcPr>
            <w:tcW w:w="2430"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sz w:val="21"/>
                <w:szCs w:val="21"/>
                <w:lang w:eastAsia="en-US"/>
              </w:rPr>
            </w:pPr>
            <w:r>
              <w:rPr>
                <w:rFonts w:hint="eastAsia" w:ascii="宋体" w:hAnsi="宋体" w:eastAsia="宋体"/>
                <w:b/>
                <w:sz w:val="21"/>
                <w:szCs w:val="21"/>
                <w:lang w:eastAsia="en-US"/>
              </w:rPr>
              <w:t>评价标准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b/>
                <w:sz w:val="21"/>
                <w:szCs w:val="21"/>
                <w:lang w:eastAsia="en-US"/>
              </w:rPr>
            </w:pPr>
            <w:r>
              <w:rPr>
                <w:rFonts w:hint="eastAsia" w:ascii="宋体" w:hAnsi="宋体" w:eastAsia="宋体"/>
                <w:b/>
                <w:sz w:val="21"/>
                <w:szCs w:val="21"/>
                <w:lang w:eastAsia="en-US"/>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trPr>
        <w:tc>
          <w:tcPr>
            <w:tcW w:w="256" w:type="pct"/>
            <w:vMerge w:val="restart"/>
            <w:tcBorders>
              <w:top w:val="single" w:color="000000" w:sz="4" w:space="0"/>
              <w:left w:val="single" w:color="000000" w:sz="4" w:space="0"/>
              <w:right w:val="single" w:color="000000" w:sz="4" w:space="0"/>
            </w:tcBorders>
            <w:vAlign w:val="center"/>
          </w:tcPr>
          <w:p>
            <w:pPr>
              <w:pStyle w:val="20"/>
              <w:ind w:left="138"/>
              <w:jc w:val="center"/>
              <w:rPr>
                <w:rFonts w:ascii="宋体" w:hAnsi="宋体" w:eastAsia="宋体"/>
                <w:sz w:val="21"/>
                <w:szCs w:val="21"/>
                <w:lang w:eastAsia="en-US"/>
              </w:rPr>
            </w:pPr>
            <w:r>
              <w:rPr>
                <w:rFonts w:hint="eastAsia" w:ascii="宋体" w:hAnsi="宋体" w:eastAsia="宋体"/>
                <w:sz w:val="21"/>
                <w:szCs w:val="21"/>
                <w:lang w:eastAsia="en-US"/>
              </w:rPr>
              <w:t>决策</w:t>
            </w:r>
          </w:p>
        </w:tc>
        <w:tc>
          <w:tcPr>
            <w:tcW w:w="253" w:type="pct"/>
            <w:vMerge w:val="restart"/>
            <w:tcBorders>
              <w:top w:val="single" w:color="000000" w:sz="4" w:space="0"/>
              <w:left w:val="single" w:color="000000" w:sz="4" w:space="0"/>
              <w:right w:val="single" w:color="000000" w:sz="4" w:space="0"/>
            </w:tcBorders>
            <w:vAlign w:val="center"/>
          </w:tcPr>
          <w:p>
            <w:pPr>
              <w:pStyle w:val="20"/>
              <w:ind w:left="124"/>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337" w:type="pct"/>
            <w:vMerge w:val="restart"/>
            <w:tcBorders>
              <w:top w:val="single" w:color="000000" w:sz="4" w:space="0"/>
              <w:left w:val="single" w:color="000000" w:sz="4" w:space="0"/>
              <w:right w:val="single" w:color="000000" w:sz="4" w:space="0"/>
            </w:tcBorders>
            <w:vAlign w:val="center"/>
          </w:tcPr>
          <w:p>
            <w:pPr>
              <w:pStyle w:val="20"/>
              <w:spacing w:before="97"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项目立项</w:t>
            </w:r>
          </w:p>
        </w:tc>
        <w:tc>
          <w:tcPr>
            <w:tcW w:w="253" w:type="pct"/>
            <w:vMerge w:val="restart"/>
            <w:tcBorders>
              <w:top w:val="single" w:color="000000" w:sz="4" w:space="0"/>
              <w:left w:val="single" w:color="000000" w:sz="4" w:space="0"/>
              <w:right w:val="single" w:color="000000" w:sz="4" w:space="0"/>
            </w:tcBorders>
            <w:vAlign w:val="center"/>
          </w:tcPr>
          <w:p>
            <w:pPr>
              <w:pStyle w:val="20"/>
              <w:ind w:left="3"/>
              <w:jc w:val="center"/>
              <w:rPr>
                <w:rFonts w:ascii="宋体" w:hAnsi="宋体" w:eastAsia="宋体"/>
                <w:sz w:val="21"/>
                <w:szCs w:val="21"/>
                <w:lang w:eastAsia="en-US"/>
              </w:rPr>
            </w:pPr>
            <w:r>
              <w:rPr>
                <w:rFonts w:hint="eastAsia" w:ascii="宋体" w:hAnsi="宋体" w:eastAsia="宋体"/>
                <w:sz w:val="21"/>
                <w:szCs w:val="21"/>
                <w:lang w:eastAsia="en-US"/>
              </w:rPr>
              <w:t>5</w:t>
            </w: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立项依据充分性</w:t>
            </w:r>
          </w:p>
        </w:tc>
        <w:tc>
          <w:tcPr>
            <w:tcW w:w="2430" w:type="pct"/>
            <w:tcBorders>
              <w:top w:val="single" w:color="000000" w:sz="4" w:space="0"/>
              <w:left w:val="single" w:color="000000" w:sz="4" w:space="0"/>
              <w:bottom w:val="single" w:color="000000" w:sz="4" w:space="0"/>
              <w:right w:val="single" w:color="000000" w:sz="4" w:space="0"/>
            </w:tcBorders>
          </w:tcPr>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1、立项合法合规(1分)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2、项目立项与部门职责范围相</w:t>
            </w:r>
            <w:r>
              <w:rPr>
                <w:rFonts w:hint="eastAsia" w:ascii="宋体" w:hAnsi="宋体" w:eastAsia="宋体"/>
                <w:sz w:val="21"/>
                <w:szCs w:val="21"/>
                <w:lang w:eastAsia="zh-CN"/>
              </w:rPr>
              <w:t>符</w:t>
            </w:r>
            <w:r>
              <w:rPr>
                <w:rFonts w:ascii="宋体" w:hAnsi="宋体" w:eastAsia="宋体"/>
                <w:sz w:val="21"/>
                <w:szCs w:val="21"/>
                <w:lang w:eastAsia="zh-CN"/>
              </w:rPr>
              <w:t>(0.5分)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3、项目属于公共财政支持范围(0.5分)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2</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256" w:type="pct"/>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253" w:type="pct"/>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337" w:type="pct"/>
            <w:vMerge w:val="continue"/>
            <w:tcBorders>
              <w:left w:val="single" w:color="000000" w:sz="4" w:space="0"/>
              <w:bottom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253" w:type="pct"/>
            <w:vMerge w:val="continue"/>
            <w:tcBorders>
              <w:left w:val="single" w:color="000000" w:sz="4" w:space="0"/>
              <w:bottom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立项程序规范性</w:t>
            </w:r>
          </w:p>
        </w:tc>
        <w:tc>
          <w:tcPr>
            <w:tcW w:w="2430" w:type="pct"/>
            <w:tcBorders>
              <w:top w:val="single" w:color="000000" w:sz="4" w:space="0"/>
              <w:left w:val="single" w:color="000000" w:sz="4" w:space="0"/>
              <w:bottom w:val="single" w:color="000000" w:sz="4" w:space="0"/>
              <w:right w:val="single" w:color="000000" w:sz="4" w:space="0"/>
            </w:tcBorders>
          </w:tcPr>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1、项目按规定程序申请设立(1分)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2、审批文件、材料符合要求范性(1分)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3、事前经过评估、集体决策(1分)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hint="eastAsia" w:ascii="宋体" w:hAnsi="宋体" w:eastAsia="宋体"/>
                <w:sz w:val="21"/>
                <w:szCs w:val="21"/>
                <w:lang w:eastAsia="zh-CN"/>
              </w:rPr>
            </w:pPr>
            <w:r>
              <w:rPr>
                <w:rFonts w:hint="eastAsia" w:ascii="宋体" w:hAnsi="宋体" w:eastAsia="宋体"/>
                <w:sz w:val="21"/>
                <w:szCs w:val="21"/>
                <w:lang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256"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3"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7"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绩效目标</w:t>
            </w:r>
          </w:p>
        </w:tc>
        <w:tc>
          <w:tcPr>
            <w:tcW w:w="253"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3"/>
              <w:jc w:val="center"/>
              <w:rPr>
                <w:rFonts w:ascii="宋体" w:hAnsi="宋体" w:eastAsia="宋体"/>
                <w:sz w:val="21"/>
                <w:szCs w:val="21"/>
                <w:lang w:eastAsia="en-US"/>
              </w:rPr>
            </w:pPr>
            <w:r>
              <w:rPr>
                <w:rFonts w:hint="eastAsia" w:ascii="宋体" w:hAnsi="宋体" w:eastAsia="宋体"/>
                <w:sz w:val="21"/>
                <w:szCs w:val="21"/>
                <w:lang w:eastAsia="en-US"/>
              </w:rPr>
              <w:t>6</w:t>
            </w: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绩效目标合理性</w:t>
            </w:r>
          </w:p>
        </w:tc>
        <w:tc>
          <w:tcPr>
            <w:tcW w:w="2430" w:type="pct"/>
            <w:tcBorders>
              <w:top w:val="single" w:color="000000" w:sz="4" w:space="0"/>
              <w:left w:val="single" w:color="000000" w:sz="4" w:space="0"/>
              <w:bottom w:val="single" w:color="000000" w:sz="4" w:space="0"/>
              <w:right w:val="single" w:color="000000" w:sz="4" w:space="0"/>
            </w:tcBorders>
          </w:tcPr>
          <w:p>
            <w:pPr>
              <w:pStyle w:val="20"/>
              <w:spacing w:before="102" w:line="242" w:lineRule="auto"/>
              <w:ind w:left="127" w:right="118"/>
              <w:jc w:val="both"/>
              <w:rPr>
                <w:rFonts w:ascii="宋体" w:hAnsi="宋体" w:eastAsia="宋体"/>
                <w:sz w:val="21"/>
                <w:szCs w:val="21"/>
                <w:lang w:eastAsia="zh-CN"/>
              </w:rPr>
            </w:pPr>
            <w:r>
              <w:rPr>
                <w:rFonts w:ascii="宋体" w:hAnsi="宋体" w:eastAsia="宋体"/>
                <w:sz w:val="21"/>
                <w:szCs w:val="21"/>
                <w:lang w:eastAsia="zh-CN"/>
              </w:rPr>
              <w:t>1、项目有绩效目标(0.5分)</w:t>
            </w:r>
          </w:p>
          <w:p>
            <w:pPr>
              <w:pStyle w:val="20"/>
              <w:spacing w:before="102" w:line="242" w:lineRule="auto"/>
              <w:ind w:left="127" w:right="118"/>
              <w:jc w:val="both"/>
              <w:rPr>
                <w:rFonts w:ascii="宋体" w:hAnsi="宋体" w:eastAsia="宋体"/>
                <w:sz w:val="21"/>
                <w:szCs w:val="21"/>
                <w:lang w:eastAsia="zh-CN"/>
              </w:rPr>
            </w:pPr>
            <w:r>
              <w:rPr>
                <w:rFonts w:ascii="宋体" w:hAnsi="宋体" w:eastAsia="宋体"/>
                <w:sz w:val="21"/>
                <w:szCs w:val="21"/>
                <w:lang w:eastAsia="zh-CN"/>
              </w:rPr>
              <w:t>2、绩效目标与工作内容相关(0.5分)</w:t>
            </w:r>
          </w:p>
          <w:p>
            <w:pPr>
              <w:pStyle w:val="20"/>
              <w:spacing w:before="102" w:line="242" w:lineRule="auto"/>
              <w:ind w:right="118" w:firstLine="105" w:firstLineChars="50"/>
              <w:jc w:val="both"/>
              <w:rPr>
                <w:rFonts w:ascii="宋体" w:hAnsi="宋体" w:eastAsia="宋体"/>
                <w:sz w:val="21"/>
                <w:szCs w:val="21"/>
                <w:lang w:eastAsia="zh-CN"/>
              </w:rPr>
            </w:pPr>
            <w:r>
              <w:rPr>
                <w:rFonts w:ascii="宋体" w:hAnsi="宋体" w:eastAsia="宋体"/>
                <w:sz w:val="21"/>
                <w:szCs w:val="21"/>
                <w:lang w:eastAsia="zh-CN"/>
              </w:rPr>
              <w:t>3、预期产出和效果符合正常水平(2分)。若项目无绩效标，该指标不得分。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18"/>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18"/>
              <w:jc w:val="center"/>
              <w:rPr>
                <w:rFonts w:hint="eastAsia" w:ascii="宋体" w:hAnsi="宋体" w:eastAsia="宋体"/>
                <w:sz w:val="21"/>
                <w:szCs w:val="21"/>
                <w:lang w:eastAsia="zh-CN"/>
              </w:rPr>
            </w:pPr>
            <w:r>
              <w:rPr>
                <w:rFonts w:hint="eastAsia" w:ascii="宋体" w:hAnsi="宋体" w:eastAsia="宋体"/>
                <w:sz w:val="21"/>
                <w:szCs w:val="21"/>
                <w:lang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256"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3"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8" w:firstLine="105" w:firstLineChars="50"/>
              <w:jc w:val="center"/>
              <w:rPr>
                <w:rFonts w:ascii="宋体" w:hAnsi="宋体" w:eastAsia="宋体"/>
                <w:sz w:val="21"/>
                <w:szCs w:val="21"/>
                <w:lang w:eastAsia="en-US"/>
              </w:rPr>
            </w:pPr>
            <w:r>
              <w:rPr>
                <w:rFonts w:hint="eastAsia" w:ascii="宋体" w:hAnsi="宋体" w:eastAsia="宋体"/>
                <w:sz w:val="21"/>
                <w:szCs w:val="21"/>
                <w:lang w:eastAsia="en-US"/>
              </w:rPr>
              <w:t>绩效指标明确性</w:t>
            </w:r>
          </w:p>
        </w:tc>
        <w:tc>
          <w:tcPr>
            <w:tcW w:w="2430" w:type="pct"/>
            <w:tcBorders>
              <w:top w:val="single" w:color="000000" w:sz="4" w:space="0"/>
              <w:left w:val="single" w:color="000000" w:sz="4" w:space="0"/>
              <w:bottom w:val="single" w:color="000000" w:sz="4" w:space="0"/>
              <w:right w:val="single" w:color="000000" w:sz="4" w:space="0"/>
            </w:tcBorders>
          </w:tcPr>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1、绩效目标细化(1分)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2、指标值清晰可衡量(1分)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3、指标与计划数相对应(1分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hint="eastAsia" w:ascii="宋体" w:hAnsi="宋体" w:eastAsia="宋体"/>
                <w:sz w:val="21"/>
                <w:szCs w:val="21"/>
                <w:lang w:eastAsia="zh-CN"/>
              </w:rPr>
            </w:pPr>
            <w:r>
              <w:rPr>
                <w:rFonts w:hint="eastAsia" w:ascii="宋体" w:hAnsi="宋体" w:eastAsia="宋体"/>
                <w:sz w:val="21"/>
                <w:szCs w:val="21"/>
                <w:lang w:eastAsia="zh-CN"/>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trPr>
        <w:tc>
          <w:tcPr>
            <w:tcW w:w="256"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3"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7"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资金投入</w:t>
            </w:r>
          </w:p>
        </w:tc>
        <w:tc>
          <w:tcPr>
            <w:tcW w:w="253"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3"/>
              <w:jc w:val="center"/>
              <w:rPr>
                <w:rFonts w:ascii="宋体" w:hAnsi="宋体" w:eastAsia="宋体"/>
                <w:sz w:val="21"/>
                <w:szCs w:val="21"/>
                <w:lang w:eastAsia="en-US"/>
              </w:rPr>
            </w:pPr>
            <w:r>
              <w:rPr>
                <w:rFonts w:hint="eastAsia" w:ascii="宋体" w:hAnsi="宋体" w:eastAsia="宋体"/>
                <w:sz w:val="21"/>
                <w:szCs w:val="21"/>
                <w:lang w:eastAsia="en-US"/>
              </w:rPr>
              <w:t>4</w:t>
            </w: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预算编制科学性</w:t>
            </w:r>
          </w:p>
        </w:tc>
        <w:tc>
          <w:tcPr>
            <w:tcW w:w="2430" w:type="pct"/>
            <w:tcBorders>
              <w:top w:val="single" w:color="000000" w:sz="4" w:space="0"/>
              <w:left w:val="single" w:color="000000" w:sz="4" w:space="0"/>
              <w:bottom w:val="single" w:color="000000" w:sz="4" w:space="0"/>
              <w:right w:val="single" w:color="000000" w:sz="4" w:space="0"/>
            </w:tcBorders>
          </w:tcPr>
          <w:p>
            <w:pPr>
              <w:pStyle w:val="20"/>
              <w:spacing w:before="102"/>
              <w:ind w:left="127" w:right="118"/>
              <w:jc w:val="both"/>
              <w:rPr>
                <w:rFonts w:ascii="宋体" w:hAnsi="宋体" w:eastAsia="宋体"/>
                <w:sz w:val="21"/>
                <w:szCs w:val="21"/>
                <w:lang w:eastAsia="zh-CN"/>
              </w:rPr>
            </w:pPr>
            <w:r>
              <w:rPr>
                <w:rFonts w:ascii="宋体" w:hAnsi="宋体" w:eastAsia="宋体"/>
                <w:sz w:val="21"/>
                <w:szCs w:val="21"/>
                <w:lang w:eastAsia="zh-CN"/>
              </w:rPr>
              <w:t>1、预算编制是否经过科学论证;(1分)</w:t>
            </w:r>
          </w:p>
          <w:p>
            <w:pPr>
              <w:pStyle w:val="20"/>
              <w:spacing w:before="102"/>
              <w:ind w:left="127" w:right="118"/>
              <w:jc w:val="both"/>
              <w:rPr>
                <w:rFonts w:ascii="宋体" w:hAnsi="宋体" w:eastAsia="宋体"/>
                <w:sz w:val="21"/>
                <w:szCs w:val="21"/>
                <w:lang w:eastAsia="zh-CN"/>
              </w:rPr>
            </w:pPr>
            <w:r>
              <w:rPr>
                <w:rFonts w:ascii="宋体" w:hAnsi="宋体" w:eastAsia="宋体"/>
                <w:sz w:val="21"/>
                <w:szCs w:val="21"/>
                <w:lang w:eastAsia="zh-CN"/>
              </w:rPr>
              <w:t>2、预算内容与项目内容是否匹</w:t>
            </w:r>
            <w:r>
              <w:rPr>
                <w:rFonts w:hint="eastAsia" w:ascii="宋体" w:hAnsi="宋体" w:eastAsia="宋体"/>
                <w:sz w:val="21"/>
                <w:szCs w:val="21"/>
                <w:lang w:eastAsia="zh-CN"/>
              </w:rPr>
              <w:t>配</w:t>
            </w:r>
            <w:r>
              <w:rPr>
                <w:rFonts w:ascii="宋体" w:hAnsi="宋体" w:eastAsia="宋体"/>
                <w:sz w:val="21"/>
                <w:szCs w:val="21"/>
                <w:lang w:eastAsia="zh-CN"/>
              </w:rPr>
              <w:t>;(0.5分)</w:t>
            </w:r>
          </w:p>
          <w:p>
            <w:pPr>
              <w:pStyle w:val="20"/>
              <w:spacing w:before="102"/>
              <w:ind w:left="127" w:right="118"/>
              <w:jc w:val="both"/>
              <w:rPr>
                <w:rFonts w:ascii="宋体" w:hAnsi="宋体" w:eastAsia="宋体"/>
                <w:sz w:val="21"/>
                <w:szCs w:val="21"/>
                <w:lang w:eastAsia="en-US"/>
              </w:rPr>
            </w:pPr>
            <w:r>
              <w:rPr>
                <w:rFonts w:ascii="宋体" w:hAnsi="宋体" w:eastAsia="宋体"/>
                <w:sz w:val="21"/>
                <w:szCs w:val="21"/>
                <w:lang w:eastAsia="zh-CN"/>
              </w:rPr>
              <w:t>3、预算额度测算依据是否充分。</w:t>
            </w:r>
            <w:r>
              <w:rPr>
                <w:rFonts w:ascii="宋体" w:hAnsi="宋体" w:eastAsia="宋体"/>
                <w:sz w:val="21"/>
                <w:szCs w:val="21"/>
                <w:lang w:eastAsia="en-US"/>
              </w:rPr>
              <w:t>(0.5分)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102"/>
              <w:ind w:left="127" w:right="118"/>
              <w:jc w:val="center"/>
              <w:rPr>
                <w:rFonts w:ascii="宋体" w:hAnsi="宋体" w:eastAsia="宋体"/>
                <w:sz w:val="21"/>
                <w:szCs w:val="21"/>
                <w:lang w:eastAsia="zh-CN"/>
              </w:rPr>
            </w:pPr>
            <w:r>
              <w:rPr>
                <w:rFonts w:hint="eastAsia" w:ascii="宋体" w:hAnsi="宋体" w:eastAsia="宋体"/>
                <w:sz w:val="21"/>
                <w:szCs w:val="21"/>
                <w:lang w:eastAsia="zh-CN"/>
              </w:rPr>
              <w:t>2</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102"/>
              <w:ind w:left="127" w:right="118"/>
              <w:jc w:val="center"/>
              <w:rPr>
                <w:rFonts w:hint="eastAsia" w:ascii="宋体" w:hAnsi="宋体" w:eastAsia="宋体"/>
                <w:sz w:val="21"/>
                <w:szCs w:val="21"/>
                <w:lang w:eastAsia="zh-CN"/>
              </w:rPr>
            </w:pPr>
            <w:r>
              <w:rPr>
                <w:rFonts w:hint="eastAsia" w:ascii="宋体" w:hAnsi="宋体" w:eastAsia="宋体"/>
                <w:sz w:val="21"/>
                <w:szCs w:val="21"/>
                <w:lang w:eastAsia="zh-C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256"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3"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资金分配合理性</w:t>
            </w:r>
          </w:p>
        </w:tc>
        <w:tc>
          <w:tcPr>
            <w:tcW w:w="2430" w:type="pct"/>
            <w:tcBorders>
              <w:top w:val="single" w:color="000000" w:sz="4" w:space="0"/>
              <w:left w:val="single" w:color="000000" w:sz="4" w:space="0"/>
              <w:bottom w:val="single" w:color="000000" w:sz="4" w:space="0"/>
              <w:right w:val="single" w:color="000000" w:sz="4" w:space="0"/>
            </w:tcBorders>
          </w:tcPr>
          <w:p>
            <w:pPr>
              <w:pStyle w:val="20"/>
              <w:spacing w:before="101"/>
              <w:ind w:left="127" w:right="118"/>
              <w:jc w:val="both"/>
              <w:rPr>
                <w:rFonts w:ascii="宋体" w:hAnsi="宋体" w:eastAsia="宋体"/>
                <w:sz w:val="21"/>
                <w:szCs w:val="21"/>
                <w:lang w:eastAsia="zh-CN"/>
              </w:rPr>
            </w:pPr>
            <w:r>
              <w:rPr>
                <w:rFonts w:hint="eastAsia" w:ascii="宋体" w:hAnsi="宋体" w:eastAsia="宋体"/>
                <w:sz w:val="21"/>
                <w:szCs w:val="21"/>
                <w:lang w:eastAsia="zh-CN"/>
              </w:rPr>
              <w:t>1、预算资金分配依据是否充分</w:t>
            </w:r>
            <w:r>
              <w:rPr>
                <w:rFonts w:ascii="宋体" w:hAnsi="宋体" w:eastAsia="宋体"/>
                <w:sz w:val="21"/>
                <w:szCs w:val="21"/>
                <w:lang w:eastAsia="zh-CN"/>
              </w:rPr>
              <w:t>;(1分)</w:t>
            </w:r>
          </w:p>
          <w:p>
            <w:pPr>
              <w:pStyle w:val="20"/>
              <w:spacing w:before="101"/>
              <w:ind w:left="127" w:right="118"/>
              <w:jc w:val="both"/>
              <w:rPr>
                <w:rFonts w:ascii="宋体" w:hAnsi="宋体" w:eastAsia="宋体"/>
                <w:sz w:val="21"/>
                <w:szCs w:val="21"/>
                <w:lang w:eastAsia="en-US"/>
              </w:rPr>
            </w:pPr>
            <w:r>
              <w:rPr>
                <w:rFonts w:ascii="宋体" w:hAnsi="宋体" w:eastAsia="宋体"/>
                <w:sz w:val="21"/>
                <w:szCs w:val="21"/>
                <w:lang w:eastAsia="zh-CN"/>
              </w:rPr>
              <w:t>2、资金分配额度是否合理。</w:t>
            </w:r>
            <w:r>
              <w:rPr>
                <w:rFonts w:ascii="宋体" w:hAnsi="宋体" w:eastAsia="宋体"/>
                <w:sz w:val="21"/>
                <w:szCs w:val="21"/>
                <w:lang w:eastAsia="en-US"/>
              </w:rPr>
              <w:t>(1分)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2</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4213" w:type="pct"/>
            <w:gridSpan w:val="6"/>
            <w:tcBorders>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合   计</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宋体" w:hAnsi="宋体" w:eastAsia="宋体"/>
                <w:sz w:val="21"/>
                <w:szCs w:val="21"/>
                <w:lang w:eastAsia="zh-CN"/>
              </w:rPr>
            </w:pPr>
            <w:r>
              <w:rPr>
                <w:rFonts w:hint="eastAsia" w:ascii="宋体" w:hAnsi="宋体" w:eastAsia="宋体"/>
                <w:sz w:val="21"/>
                <w:szCs w:val="21"/>
                <w:lang w:eastAsia="zh-CN"/>
              </w:rPr>
              <w:t>14.1</w:t>
            </w:r>
          </w:p>
        </w:tc>
      </w:tr>
    </w:tbl>
    <w:p>
      <w:pPr>
        <w:spacing w:beforeLines="50" w:afterLines="50" w:line="360" w:lineRule="auto"/>
        <w:ind w:left="105" w:leftChars="50" w:right="105" w:rightChars="50" w:firstLine="600" w:firstLineChars="200"/>
        <w:rPr>
          <w:rFonts w:hint="eastAsia"/>
          <w:color w:val="000000" w:themeColor="text1"/>
          <w:sz w:val="30"/>
          <w:szCs w:val="30"/>
        </w:rPr>
      </w:pPr>
      <w:r>
        <w:rPr>
          <w:rFonts w:hint="eastAsia"/>
          <w:sz w:val="30"/>
          <w:szCs w:val="30"/>
        </w:rPr>
        <w:t>决策指标部分</w:t>
      </w:r>
      <w:r>
        <w:rPr>
          <w:rFonts w:hint="eastAsia"/>
          <w:b/>
          <w:sz w:val="30"/>
          <w:szCs w:val="30"/>
        </w:rPr>
        <w:t>主要得分点</w:t>
      </w:r>
      <w:r>
        <w:rPr>
          <w:rFonts w:hint="eastAsia"/>
          <w:sz w:val="30"/>
          <w:szCs w:val="30"/>
        </w:rPr>
        <w:t>：</w:t>
      </w:r>
      <w:r>
        <w:rPr>
          <w:rFonts w:hint="eastAsia"/>
          <w:color w:val="000000" w:themeColor="text1"/>
          <w:sz w:val="30"/>
          <w:szCs w:val="30"/>
        </w:rPr>
        <w:t>根据河南省财政厅《关于提前下达2021年度政法纪检监察转移支付资金预算的通知》（豫财政法【2020】81号）要求，为提高预算完整性，加快支出进度，提前下达2020年度中央和省级政法纪检监察转移支付资金，资金申报单位根据要求编制预算说明并报送，资金申报程序合规。资金使用上，支持地方公安机关开展各类业务工作，重点补助国保、维稳工作、重大案件侦破、重大活动安保、反恐怖、执法规范化建设、民警教育训练、区域警务合作等办案经费。保障重点装备建设项目和县级公安机关基本业务装备配备。支持地方公安机关有效打击各类犯罪，提高各类案件查办率，维护社会大局稳定，绩效目标合理，主次分明。</w:t>
      </w:r>
    </w:p>
    <w:p>
      <w:pPr>
        <w:spacing w:beforeLines="50" w:afterLines="50" w:line="360" w:lineRule="auto"/>
        <w:ind w:left="105" w:leftChars="50" w:right="105" w:rightChars="50" w:firstLine="600" w:firstLineChars="200"/>
        <w:rPr>
          <w:color w:val="000000" w:themeColor="text1"/>
          <w:sz w:val="30"/>
          <w:szCs w:val="30"/>
        </w:rPr>
      </w:pPr>
      <w:r>
        <w:rPr>
          <w:rFonts w:hint="eastAsia"/>
          <w:color w:val="000000" w:themeColor="text1"/>
          <w:sz w:val="30"/>
          <w:szCs w:val="30"/>
        </w:rPr>
        <w:t>决策指标部分</w:t>
      </w:r>
      <w:r>
        <w:rPr>
          <w:rFonts w:hint="eastAsia"/>
          <w:b/>
          <w:color w:val="000000" w:themeColor="text1"/>
          <w:sz w:val="30"/>
          <w:szCs w:val="30"/>
        </w:rPr>
        <w:t>主要扣分点</w:t>
      </w:r>
      <w:r>
        <w:rPr>
          <w:rFonts w:hint="eastAsia"/>
          <w:color w:val="000000" w:themeColor="text1"/>
          <w:sz w:val="30"/>
          <w:szCs w:val="30"/>
        </w:rPr>
        <w:t>：绩效目标拟定合理但不够明确，不够细化和量化。</w:t>
      </w:r>
    </w:p>
    <w:p>
      <w:pPr>
        <w:pStyle w:val="3"/>
        <w:rPr>
          <w:rFonts w:asciiTheme="minorEastAsia" w:hAnsiTheme="minorEastAsia"/>
          <w:sz w:val="30"/>
          <w:szCs w:val="30"/>
        </w:rPr>
      </w:pPr>
      <w:bookmarkStart w:id="14" w:name="_Toc93918208"/>
      <w:r>
        <w:rPr>
          <w:rFonts w:hint="eastAsia"/>
          <w:sz w:val="30"/>
          <w:szCs w:val="30"/>
        </w:rPr>
        <w:t>（二）</w:t>
      </w:r>
      <w:r>
        <w:rPr>
          <w:rFonts w:hint="eastAsia" w:asciiTheme="minorEastAsia" w:hAnsiTheme="minorEastAsia"/>
          <w:sz w:val="30"/>
          <w:szCs w:val="30"/>
        </w:rPr>
        <w:t>项目过程情况</w:t>
      </w:r>
      <w:bookmarkEnd w:id="14"/>
    </w:p>
    <w:p>
      <w:pPr>
        <w:spacing w:beforeLines="50" w:afterLines="50" w:line="360" w:lineRule="auto"/>
        <w:ind w:left="105" w:leftChars="50" w:right="105" w:rightChars="50" w:firstLine="600" w:firstLineChars="200"/>
        <w:rPr>
          <w:sz w:val="30"/>
          <w:szCs w:val="30"/>
        </w:rPr>
      </w:pPr>
      <w:r>
        <w:rPr>
          <w:rFonts w:hint="eastAsia"/>
          <w:sz w:val="30"/>
          <w:szCs w:val="30"/>
        </w:rPr>
        <w:t>本项目过程下设“资金管理”、“组织实施”两个二级指标，权重25分，综合得</w:t>
      </w:r>
      <w:r>
        <w:rPr>
          <w:rFonts w:hint="eastAsia"/>
          <w:color w:val="000000" w:themeColor="text1"/>
          <w:sz w:val="30"/>
          <w:szCs w:val="30"/>
        </w:rPr>
        <w:t>分2</w:t>
      </w:r>
      <w:r>
        <w:rPr>
          <w:rFonts w:hint="eastAsia"/>
          <w:color w:val="000000" w:themeColor="text1"/>
          <w:sz w:val="30"/>
          <w:szCs w:val="30"/>
          <w:lang w:val="en-US" w:eastAsia="zh-CN"/>
        </w:rPr>
        <w:t>3</w:t>
      </w:r>
      <w:r>
        <w:rPr>
          <w:rFonts w:hint="eastAsia"/>
          <w:color w:val="000000" w:themeColor="text1"/>
          <w:sz w:val="30"/>
          <w:szCs w:val="30"/>
        </w:rPr>
        <w:t>.</w:t>
      </w:r>
      <w:r>
        <w:rPr>
          <w:rFonts w:hint="eastAsia"/>
          <w:color w:val="000000" w:themeColor="text1"/>
          <w:sz w:val="30"/>
          <w:szCs w:val="30"/>
          <w:lang w:val="en-US" w:eastAsia="zh-CN"/>
        </w:rPr>
        <w:t>4</w:t>
      </w:r>
      <w:r>
        <w:rPr>
          <w:rFonts w:hint="eastAsia"/>
          <w:color w:val="000000" w:themeColor="text1"/>
          <w:sz w:val="30"/>
          <w:szCs w:val="30"/>
        </w:rPr>
        <w:t>分。单项得分率为9</w:t>
      </w:r>
      <w:r>
        <w:rPr>
          <w:rFonts w:hint="eastAsia"/>
          <w:color w:val="000000" w:themeColor="text1"/>
          <w:sz w:val="30"/>
          <w:szCs w:val="30"/>
          <w:lang w:val="en-US" w:eastAsia="zh-CN"/>
        </w:rPr>
        <w:t>3.6</w:t>
      </w:r>
      <w:bookmarkStart w:id="23" w:name="_GoBack"/>
      <w:bookmarkEnd w:id="23"/>
      <w:r>
        <w:rPr>
          <w:rFonts w:hint="eastAsia"/>
          <w:color w:val="000000" w:themeColor="text1"/>
          <w:sz w:val="30"/>
          <w:szCs w:val="30"/>
        </w:rPr>
        <w:t>%。</w:t>
      </w:r>
      <w:r>
        <w:rPr>
          <w:rFonts w:hint="eastAsia"/>
          <w:sz w:val="30"/>
          <w:szCs w:val="30"/>
        </w:rPr>
        <w:t>各项三级指标得分情况见下表：</w:t>
      </w:r>
    </w:p>
    <w:p>
      <w:pPr>
        <w:spacing w:beforeLines="50" w:afterLines="50" w:line="360" w:lineRule="auto"/>
        <w:ind w:left="105" w:leftChars="50" w:right="105" w:rightChars="50" w:firstLine="600" w:firstLineChars="200"/>
        <w:jc w:val="center"/>
        <w:rPr>
          <w:sz w:val="30"/>
          <w:szCs w:val="30"/>
        </w:rPr>
      </w:pPr>
      <w:r>
        <w:rPr>
          <w:rFonts w:hint="eastAsia"/>
          <w:sz w:val="30"/>
          <w:szCs w:val="30"/>
        </w:rPr>
        <w:t>表4  转移支付资金项目</w:t>
      </w:r>
    </w:p>
    <w:p>
      <w:pPr>
        <w:spacing w:beforeLines="50" w:afterLines="50" w:line="360" w:lineRule="auto"/>
        <w:ind w:left="105" w:leftChars="50" w:right="105" w:rightChars="50" w:firstLine="600" w:firstLineChars="200"/>
        <w:jc w:val="center"/>
        <w:rPr>
          <w:sz w:val="30"/>
          <w:szCs w:val="30"/>
        </w:rPr>
      </w:pPr>
      <w:r>
        <w:rPr>
          <w:rFonts w:hint="eastAsia"/>
          <w:sz w:val="30"/>
          <w:szCs w:val="30"/>
        </w:rPr>
        <w:t>绩效评价过程指标得分表</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426"/>
        <w:gridCol w:w="564"/>
        <w:gridCol w:w="422"/>
        <w:gridCol w:w="719"/>
        <w:gridCol w:w="4394"/>
        <w:gridCol w:w="567"/>
        <w:gridCol w:w="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25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宋体" w:hAnsi="宋体" w:eastAsia="宋体"/>
                <w:b/>
                <w:sz w:val="21"/>
                <w:szCs w:val="21"/>
                <w:lang w:eastAsia="en-US"/>
              </w:rPr>
            </w:pPr>
            <w:r>
              <w:rPr>
                <w:rFonts w:hint="eastAsia" w:ascii="宋体" w:hAnsi="宋体" w:eastAsia="宋体"/>
                <w:b/>
                <w:sz w:val="21"/>
                <w:szCs w:val="21"/>
                <w:lang w:eastAsia="en-US"/>
              </w:rPr>
              <w:t>一级指标</w:t>
            </w:r>
          </w:p>
        </w:tc>
        <w:tc>
          <w:tcPr>
            <w:tcW w:w="25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339"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205" w:right="195"/>
              <w:jc w:val="center"/>
              <w:rPr>
                <w:rFonts w:ascii="宋体" w:hAnsi="宋体" w:eastAsia="宋体"/>
                <w:b/>
                <w:sz w:val="21"/>
                <w:szCs w:val="21"/>
                <w:lang w:eastAsia="en-US"/>
              </w:rPr>
            </w:pPr>
            <w:r>
              <w:rPr>
                <w:rFonts w:hint="eastAsia" w:ascii="宋体" w:hAnsi="宋体" w:eastAsia="宋体"/>
                <w:b/>
                <w:sz w:val="21"/>
                <w:szCs w:val="21"/>
                <w:lang w:eastAsia="en-US"/>
              </w:rPr>
              <w:t>二级指标</w:t>
            </w:r>
          </w:p>
        </w:tc>
        <w:tc>
          <w:tcPr>
            <w:tcW w:w="254"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18" w:right="113"/>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0"/>
              <w:jc w:val="center"/>
              <w:rPr>
                <w:rFonts w:ascii="宋体" w:hAnsi="宋体" w:eastAsia="宋体"/>
                <w:b/>
                <w:sz w:val="21"/>
                <w:szCs w:val="21"/>
                <w:lang w:eastAsia="en-US"/>
              </w:rPr>
            </w:pPr>
            <w:r>
              <w:rPr>
                <w:rFonts w:hint="eastAsia" w:ascii="宋体" w:hAnsi="宋体" w:eastAsia="宋体"/>
                <w:b/>
                <w:sz w:val="21"/>
                <w:szCs w:val="21"/>
                <w:lang w:eastAsia="en-US"/>
              </w:rPr>
              <w:t>三级指标</w:t>
            </w:r>
          </w:p>
        </w:tc>
        <w:tc>
          <w:tcPr>
            <w:tcW w:w="2642"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sz w:val="21"/>
                <w:szCs w:val="21"/>
                <w:lang w:eastAsia="en-US"/>
              </w:rPr>
            </w:pPr>
            <w:r>
              <w:rPr>
                <w:rFonts w:hint="eastAsia" w:ascii="宋体" w:hAnsi="宋体" w:eastAsia="宋体"/>
                <w:b/>
                <w:sz w:val="21"/>
                <w:szCs w:val="21"/>
                <w:lang w:eastAsia="en-US"/>
              </w:rPr>
              <w:t>评价标准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b/>
                <w:sz w:val="21"/>
                <w:szCs w:val="21"/>
                <w:lang w:eastAsia="en-US"/>
              </w:rPr>
            </w:pPr>
            <w:r>
              <w:rPr>
                <w:rFonts w:hint="eastAsia" w:ascii="宋体" w:hAnsi="宋体" w:eastAsia="宋体"/>
                <w:b/>
                <w:sz w:val="21"/>
                <w:szCs w:val="21"/>
                <w:lang w:eastAsia="en-US"/>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atLeast"/>
        </w:trPr>
        <w:tc>
          <w:tcPr>
            <w:tcW w:w="256"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38"/>
              <w:jc w:val="center"/>
              <w:rPr>
                <w:rFonts w:ascii="宋体" w:hAnsi="宋体" w:eastAsia="宋体"/>
                <w:sz w:val="21"/>
                <w:szCs w:val="21"/>
                <w:lang w:eastAsia="en-US"/>
              </w:rPr>
            </w:pPr>
            <w:r>
              <w:rPr>
                <w:rFonts w:hint="eastAsia" w:ascii="宋体" w:hAnsi="宋体" w:eastAsia="宋体"/>
                <w:sz w:val="21"/>
                <w:szCs w:val="21"/>
                <w:lang w:eastAsia="en-US"/>
              </w:rPr>
              <w:t>过程</w:t>
            </w:r>
          </w:p>
        </w:tc>
        <w:tc>
          <w:tcPr>
            <w:tcW w:w="256"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24"/>
              <w:jc w:val="center"/>
              <w:rPr>
                <w:rFonts w:ascii="宋体" w:hAnsi="宋体" w:eastAsia="宋体"/>
                <w:sz w:val="21"/>
                <w:szCs w:val="21"/>
                <w:lang w:eastAsia="en-US"/>
              </w:rPr>
            </w:pPr>
            <w:r>
              <w:rPr>
                <w:rFonts w:hint="eastAsia" w:ascii="宋体" w:hAnsi="宋体" w:eastAsia="宋体"/>
                <w:sz w:val="21"/>
                <w:szCs w:val="21"/>
                <w:lang w:eastAsia="en-US"/>
              </w:rPr>
              <w:t>25</w:t>
            </w:r>
          </w:p>
        </w:tc>
        <w:tc>
          <w:tcPr>
            <w:tcW w:w="339"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资金管理</w:t>
            </w:r>
          </w:p>
        </w:tc>
        <w:tc>
          <w:tcPr>
            <w:tcW w:w="254"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18"/>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center"/>
              <w:rPr>
                <w:rFonts w:ascii="宋体" w:hAnsi="宋体" w:eastAsia="宋体"/>
                <w:sz w:val="21"/>
                <w:szCs w:val="21"/>
                <w:lang w:eastAsia="en-US"/>
              </w:rPr>
            </w:pPr>
            <w:r>
              <w:rPr>
                <w:rFonts w:hint="eastAsia" w:ascii="宋体" w:hAnsi="宋体" w:eastAsia="宋体"/>
                <w:sz w:val="21"/>
                <w:szCs w:val="21"/>
                <w:lang w:eastAsia="en-US"/>
              </w:rPr>
              <w:t>资金到位率</w:t>
            </w:r>
          </w:p>
        </w:tc>
        <w:tc>
          <w:tcPr>
            <w:tcW w:w="264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szCs w:val="21"/>
                <w:lang w:eastAsia="zh-CN"/>
              </w:rPr>
            </w:pPr>
            <w:r>
              <w:rPr>
                <w:rFonts w:hint="eastAsia" w:ascii="宋体" w:hAnsi="宋体" w:eastAsia="宋体"/>
                <w:sz w:val="21"/>
                <w:szCs w:val="21"/>
                <w:lang w:eastAsia="zh-CN"/>
              </w:rPr>
              <w:t>到位率≤</w:t>
            </w:r>
            <w:r>
              <w:rPr>
                <w:rFonts w:ascii="宋体" w:hAnsi="宋体" w:eastAsia="宋体"/>
                <w:sz w:val="21"/>
                <w:szCs w:val="21"/>
                <w:lang w:eastAsia="zh-CN"/>
              </w:rPr>
              <w:t>100％，且未对项目开展造成不良影响，得分等于本指标权重分值×到位率;到位率＜100％，且对项目开展造成不良影</w:t>
            </w:r>
            <w:r>
              <w:rPr>
                <w:rFonts w:hint="eastAsia" w:ascii="宋体" w:hAnsi="宋体" w:eastAsia="宋体"/>
                <w:sz w:val="21"/>
                <w:szCs w:val="21"/>
                <w:lang w:eastAsia="zh-CN"/>
              </w:rPr>
              <w:t>响，除按照指标分值到位率计算外，还应酌情扣分。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宋体" w:hAnsi="宋体" w:eastAsia="宋体"/>
                <w:sz w:val="21"/>
                <w:szCs w:val="21"/>
                <w:lang w:eastAsia="zh-CN"/>
              </w:rPr>
            </w:pPr>
            <w:r>
              <w:rPr>
                <w:rFonts w:hint="eastAsia" w:ascii="宋体" w:hAnsi="宋体" w:eastAsia="宋体"/>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5" w:hRule="atLeast"/>
        </w:trPr>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4"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0"/>
              <w:spacing w:before="1"/>
              <w:ind w:left="101" w:right="99"/>
              <w:jc w:val="center"/>
              <w:rPr>
                <w:rFonts w:ascii="宋体" w:hAnsi="宋体" w:eastAsia="宋体"/>
                <w:sz w:val="21"/>
                <w:szCs w:val="21"/>
                <w:lang w:eastAsia="en-US"/>
              </w:rPr>
            </w:pPr>
            <w:r>
              <w:rPr>
                <w:rFonts w:hint="eastAsia" w:ascii="宋体" w:hAnsi="宋体" w:eastAsia="宋体"/>
                <w:sz w:val="21"/>
                <w:szCs w:val="21"/>
                <w:lang w:eastAsia="en-US"/>
              </w:rPr>
              <w:t>预算执行率</w:t>
            </w:r>
          </w:p>
        </w:tc>
        <w:tc>
          <w:tcPr>
            <w:tcW w:w="264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szCs w:val="21"/>
                <w:lang w:eastAsia="zh-CN"/>
              </w:rPr>
            </w:pPr>
            <w:r>
              <w:rPr>
                <w:rFonts w:hint="eastAsia" w:ascii="宋体" w:hAnsi="宋体" w:eastAsia="宋体"/>
                <w:sz w:val="21"/>
                <w:szCs w:val="21"/>
                <w:lang w:eastAsia="zh-CN"/>
              </w:rPr>
              <w:t>执行率</w:t>
            </w:r>
            <w:r>
              <w:rPr>
                <w:rFonts w:ascii="宋体" w:hAnsi="宋体" w:eastAsia="宋体"/>
                <w:sz w:val="21"/>
                <w:szCs w:val="21"/>
                <w:lang w:eastAsia="zh-CN"/>
              </w:rPr>
              <w:t>100％，且未对项目开展造成不良影响，得分等于本指标权重分值到位率;执行率</w:t>
            </w:r>
            <w:r>
              <w:rPr>
                <w:rFonts w:hint="eastAsia" w:ascii="宋体" w:hAnsi="宋体" w:eastAsia="宋体"/>
                <w:sz w:val="21"/>
                <w:szCs w:val="21"/>
                <w:lang w:eastAsia="zh-CN"/>
              </w:rPr>
              <w:t>＜</w:t>
            </w:r>
            <w:r>
              <w:rPr>
                <w:rFonts w:ascii="宋体" w:hAnsi="宋体" w:eastAsia="宋体"/>
                <w:sz w:val="21"/>
                <w:szCs w:val="21"/>
                <w:lang w:eastAsia="zh-CN"/>
              </w:rPr>
              <w:t>100％，且对项目开展造成不良影响，除按照指标分值执行率计算外，还应酌情扣分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6</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4"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资金使用合规性</w:t>
            </w:r>
          </w:p>
        </w:tc>
        <w:tc>
          <w:tcPr>
            <w:tcW w:w="264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1、是否符合国家财经法规和财</w:t>
            </w:r>
            <w:r>
              <w:rPr>
                <w:rFonts w:hint="eastAsia" w:ascii="宋体" w:hAnsi="宋体" w:eastAsia="宋体"/>
                <w:sz w:val="21"/>
                <w:szCs w:val="21"/>
                <w:lang w:eastAsia="zh-CN"/>
              </w:rPr>
              <w:t>务管理制度以及有关专项资金管理办法的规定</w:t>
            </w:r>
            <w:r>
              <w:rPr>
                <w:rFonts w:ascii="宋体" w:hAnsi="宋体" w:eastAsia="宋体"/>
                <w:sz w:val="21"/>
                <w:szCs w:val="21"/>
                <w:lang w:eastAsia="zh-CN"/>
              </w:rPr>
              <w:t>(1分)</w:t>
            </w:r>
          </w:p>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2、资金的拨付是否有完整的审批程序和手续(1分)</w:t>
            </w:r>
          </w:p>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3、是否符合项目预算批复或合同规定的用途(2分)</w:t>
            </w:r>
          </w:p>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4、是否存在截留、挤占、挪用、虚列支出等情况(2分)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6</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宋体" w:hAnsi="宋体" w:eastAsia="宋体"/>
                <w:sz w:val="21"/>
                <w:szCs w:val="21"/>
                <w:lang w:eastAsia="zh-CN"/>
              </w:rPr>
            </w:pPr>
            <w:r>
              <w:rPr>
                <w:rFonts w:hint="eastAsia" w:ascii="宋体" w:hAnsi="宋体" w:eastAsia="宋体"/>
                <w:sz w:val="21"/>
                <w:szCs w:val="21"/>
                <w:lang w:eastAsia="zh-CN"/>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1" w:hRule="atLeast"/>
        </w:trPr>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组织实施</w:t>
            </w:r>
          </w:p>
        </w:tc>
        <w:tc>
          <w:tcPr>
            <w:tcW w:w="254"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18"/>
              <w:jc w:val="center"/>
              <w:rPr>
                <w:rFonts w:ascii="宋体" w:hAnsi="宋体" w:eastAsia="宋体"/>
                <w:sz w:val="21"/>
                <w:szCs w:val="21"/>
                <w:lang w:eastAsia="en-US"/>
              </w:rPr>
            </w:pPr>
            <w:r>
              <w:rPr>
                <w:rFonts w:hint="eastAsia" w:ascii="宋体" w:hAnsi="宋体" w:eastAsia="宋体"/>
                <w:sz w:val="21"/>
                <w:szCs w:val="21"/>
                <w:lang w:eastAsia="en-US"/>
              </w:rPr>
              <w:t>10</w:t>
            </w: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管理制度健全性</w:t>
            </w:r>
          </w:p>
        </w:tc>
        <w:tc>
          <w:tcPr>
            <w:tcW w:w="2642"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127" w:right="118"/>
              <w:jc w:val="both"/>
              <w:rPr>
                <w:rFonts w:ascii="宋体" w:hAnsi="宋体" w:eastAsia="宋体"/>
                <w:sz w:val="21"/>
                <w:szCs w:val="21"/>
                <w:lang w:eastAsia="zh-CN"/>
              </w:rPr>
            </w:pPr>
            <w:r>
              <w:rPr>
                <w:rFonts w:ascii="宋体" w:hAnsi="宋体" w:eastAsia="宋体"/>
                <w:sz w:val="21"/>
                <w:szCs w:val="21"/>
                <w:lang w:eastAsia="zh-CN"/>
              </w:rPr>
              <w:t>1、是否已制定或具有相应的财务和业务管理制度(2分)</w:t>
            </w:r>
          </w:p>
          <w:p>
            <w:pPr>
              <w:pStyle w:val="20"/>
              <w:spacing w:before="97" w:line="242" w:lineRule="auto"/>
              <w:ind w:left="127" w:right="118"/>
              <w:jc w:val="both"/>
              <w:rPr>
                <w:rFonts w:ascii="宋体" w:hAnsi="宋体" w:eastAsia="宋体"/>
                <w:sz w:val="21"/>
                <w:szCs w:val="21"/>
                <w:lang w:eastAsia="zh-CN"/>
              </w:rPr>
            </w:pPr>
            <w:r>
              <w:rPr>
                <w:rFonts w:ascii="宋体" w:hAnsi="宋体" w:eastAsia="宋体"/>
                <w:sz w:val="21"/>
                <w:szCs w:val="21"/>
                <w:lang w:eastAsia="zh-CN"/>
              </w:rPr>
              <w:t>2、财务和业务管理制度是否合法、合规、完整(3分)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127" w:right="118"/>
              <w:jc w:val="center"/>
              <w:rPr>
                <w:rFonts w:ascii="宋体" w:hAnsi="宋体" w:eastAsia="宋体"/>
                <w:sz w:val="21"/>
                <w:szCs w:val="21"/>
                <w:lang w:eastAsia="en-US"/>
              </w:rPr>
            </w:pPr>
            <w:r>
              <w:rPr>
                <w:rFonts w:hint="eastAsia" w:ascii="宋体" w:hAnsi="宋体" w:eastAsia="宋体"/>
                <w:sz w:val="21"/>
                <w:szCs w:val="21"/>
                <w:lang w:eastAsia="en-US"/>
              </w:rPr>
              <w:t>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127" w:right="118"/>
              <w:jc w:val="center"/>
              <w:rPr>
                <w:rFonts w:hint="eastAsia" w:ascii="宋体" w:hAnsi="宋体" w:eastAsia="宋体"/>
                <w:sz w:val="21"/>
                <w:szCs w:val="21"/>
                <w:lang w:eastAsia="zh-CN"/>
              </w:rPr>
            </w:pPr>
            <w:r>
              <w:rPr>
                <w:rFonts w:hint="eastAsia" w:ascii="宋体" w:hAnsi="宋体" w:eastAsia="宋体"/>
                <w:sz w:val="21"/>
                <w:szCs w:val="21"/>
                <w:lang w:eastAsia="zh-CN"/>
              </w:rPr>
              <w:t>4.</w:t>
            </w:r>
            <w:r>
              <w:rPr>
                <w:rFonts w:hint="eastAsia" w:ascii="宋体" w:hAnsi="宋体" w:eastAsia="宋体"/>
                <w:sz w:val="21"/>
                <w:szCs w:val="21"/>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9" w:hRule="atLeast"/>
        </w:trPr>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4"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制度执行有效性</w:t>
            </w:r>
          </w:p>
        </w:tc>
        <w:tc>
          <w:tcPr>
            <w:tcW w:w="264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1、是否遵守相关法律法规和相关管理规定(1分)</w:t>
            </w:r>
          </w:p>
          <w:p>
            <w:pPr>
              <w:pStyle w:val="20"/>
              <w:spacing w:before="97" w:line="242" w:lineRule="auto"/>
              <w:ind w:left="127" w:right="118"/>
              <w:jc w:val="both"/>
              <w:rPr>
                <w:rFonts w:ascii="宋体" w:hAnsi="宋体" w:eastAsia="宋体"/>
                <w:sz w:val="21"/>
                <w:szCs w:val="21"/>
                <w:lang w:eastAsia="zh-CN"/>
              </w:rPr>
            </w:pPr>
            <w:r>
              <w:rPr>
                <w:rFonts w:ascii="宋体" w:hAnsi="宋体" w:eastAsia="宋体"/>
                <w:sz w:val="21"/>
                <w:szCs w:val="21"/>
                <w:lang w:eastAsia="zh-CN"/>
              </w:rPr>
              <w:t>2、项目调整及支出调整手续是否完备(2分)</w:t>
            </w:r>
          </w:p>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3、项目合同书、检查记录等资料</w:t>
            </w:r>
            <w:r>
              <w:rPr>
                <w:rFonts w:hint="eastAsia" w:ascii="宋体" w:hAnsi="宋体" w:eastAsia="宋体"/>
                <w:sz w:val="21"/>
                <w:szCs w:val="21"/>
                <w:lang w:eastAsia="zh-CN"/>
              </w:rPr>
              <w:t>是否齐全并及时归档（2分）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宋体" w:hAnsi="宋体" w:eastAsia="宋体"/>
                <w:sz w:val="21"/>
                <w:szCs w:val="21"/>
                <w:lang w:eastAsia="zh-CN"/>
              </w:rPr>
            </w:pPr>
            <w:r>
              <w:rPr>
                <w:rFonts w:hint="eastAsia" w:ascii="宋体" w:hAnsi="宋体" w:eastAsia="宋体"/>
                <w:sz w:val="21"/>
                <w:szCs w:val="21"/>
                <w:lang w:eastAsia="zh-CN"/>
              </w:rPr>
              <w:t>3.</w:t>
            </w:r>
            <w:r>
              <w:rPr>
                <w:rFonts w:hint="eastAsia" w:ascii="宋体" w:hAnsi="宋体" w:eastAsia="宋体"/>
                <w:sz w:val="21"/>
                <w:szCs w:val="21"/>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4179" w:type="pct"/>
            <w:gridSpan w:val="6"/>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合   计</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25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default" w:ascii="宋体" w:hAnsi="宋体" w:eastAsia="宋体"/>
                <w:sz w:val="21"/>
                <w:szCs w:val="21"/>
                <w:lang w:val="en-US" w:eastAsia="zh-CN"/>
              </w:rPr>
            </w:pPr>
            <w:r>
              <w:rPr>
                <w:rFonts w:hint="eastAsia" w:ascii="宋体" w:hAnsi="宋体" w:eastAsia="宋体"/>
                <w:sz w:val="21"/>
                <w:szCs w:val="21"/>
                <w:lang w:eastAsia="zh-CN"/>
              </w:rPr>
              <w:t>2</w:t>
            </w:r>
            <w:r>
              <w:rPr>
                <w:rFonts w:hint="eastAsia" w:ascii="宋体" w:hAnsi="宋体" w:eastAsia="宋体"/>
                <w:sz w:val="21"/>
                <w:szCs w:val="21"/>
                <w:lang w:val="en-US" w:eastAsia="zh-CN"/>
              </w:rPr>
              <w:t>3.4</w:t>
            </w:r>
          </w:p>
        </w:tc>
      </w:tr>
    </w:tbl>
    <w:p>
      <w:pPr>
        <w:autoSpaceDE w:val="0"/>
        <w:autoSpaceDN w:val="0"/>
        <w:adjustRightInd w:val="0"/>
        <w:spacing w:line="360" w:lineRule="auto"/>
        <w:ind w:firstLine="600" w:firstLineChars="200"/>
        <w:rPr>
          <w:rFonts w:hint="eastAsia"/>
          <w:sz w:val="30"/>
          <w:szCs w:val="30"/>
        </w:rPr>
      </w:pPr>
    </w:p>
    <w:p>
      <w:pPr>
        <w:autoSpaceDE w:val="0"/>
        <w:autoSpaceDN w:val="0"/>
        <w:adjustRightInd w:val="0"/>
        <w:spacing w:line="360" w:lineRule="auto"/>
        <w:ind w:firstLine="600" w:firstLineChars="200"/>
        <w:rPr>
          <w:rFonts w:hint="eastAsia"/>
          <w:sz w:val="30"/>
          <w:szCs w:val="30"/>
        </w:rPr>
      </w:pPr>
      <w:r>
        <w:rPr>
          <w:rFonts w:hint="eastAsia"/>
          <w:sz w:val="30"/>
          <w:szCs w:val="30"/>
        </w:rPr>
        <w:t>过程指标部分</w:t>
      </w:r>
      <w:r>
        <w:rPr>
          <w:rFonts w:hint="eastAsia"/>
          <w:b/>
          <w:sz w:val="30"/>
          <w:szCs w:val="30"/>
        </w:rPr>
        <w:t>主要得分点</w:t>
      </w:r>
      <w:r>
        <w:rPr>
          <w:rFonts w:hint="eastAsia"/>
          <w:sz w:val="30"/>
          <w:szCs w:val="30"/>
        </w:rPr>
        <w:t>：</w:t>
      </w:r>
      <w:r>
        <w:rPr>
          <w:sz w:val="30"/>
          <w:szCs w:val="30"/>
        </w:rPr>
        <w:t xml:space="preserve"> </w:t>
      </w:r>
      <w:r>
        <w:rPr>
          <w:rFonts w:hint="eastAsia"/>
          <w:sz w:val="30"/>
          <w:szCs w:val="30"/>
        </w:rPr>
        <w:t>根据三财预（2020）968号文件，下达2021年中央及省政法转移支付资金758万元；其中：中央资金480万元，省级资金278万元。根据三财预（2021）567号文件，下达2021年中央及省政法转移支付资金113.78万元；其中：中央资金77.78万元，省级资金36万元。2021年根据三财预（2021）1015号文件，下达2021年中央及省政法转移支付资金41万元，全部是中央资金。2021年下达共计912.78万元，其中：中央资金598.78万元，省级资金314万元；根据三财预【2020】968号文件要求，转移支付资金全部用于开展业务工作所必需的基本手段和条件的装备及办案（业务）需要，在使用中央和省级政法转移支付资金时，应优先考虑基层实战单位的实际需要，确保中央和省补助经费向基层一线倾斜，补助市本级公安机关政法转移支付资金，含所属财务上划的区公安分局（所、队）等基层单位。本年度办案业务经费694.78万元，业务装备经费218万元（分配比例25%）。其中：</w:t>
      </w:r>
    </w:p>
    <w:p>
      <w:pPr>
        <w:autoSpaceDE w:val="0"/>
        <w:autoSpaceDN w:val="0"/>
        <w:adjustRightInd w:val="0"/>
        <w:spacing w:line="360" w:lineRule="auto"/>
        <w:ind w:firstLine="645"/>
        <w:rPr>
          <w:rFonts w:hint="eastAsia"/>
          <w:sz w:val="30"/>
          <w:szCs w:val="30"/>
        </w:rPr>
      </w:pPr>
      <w:r>
        <w:rPr>
          <w:rFonts w:hint="eastAsia"/>
          <w:sz w:val="30"/>
          <w:szCs w:val="30"/>
        </w:rPr>
        <w:t>1、办案业务经费支出694.78万元，办案业务费694.78万元，完成率达到100%。用于保障全局执法办案业务费用支出，开展执法办案业务支出所需的警用执法车辆运行费、差旅费、宣传版面的印刷费、专线租赁费等。</w:t>
      </w:r>
    </w:p>
    <w:p>
      <w:pPr>
        <w:autoSpaceDE w:val="0"/>
        <w:autoSpaceDN w:val="0"/>
        <w:adjustRightInd w:val="0"/>
        <w:spacing w:line="360" w:lineRule="auto"/>
        <w:ind w:firstLine="645"/>
        <w:rPr>
          <w:rFonts w:hint="eastAsia"/>
          <w:sz w:val="30"/>
          <w:szCs w:val="30"/>
        </w:rPr>
      </w:pPr>
      <w:r>
        <w:rPr>
          <w:rFonts w:hint="eastAsia"/>
          <w:sz w:val="30"/>
          <w:szCs w:val="30"/>
        </w:rPr>
        <w:t>2、业务装备费218万元，完成率达到100%。用于3个项目支出：（1）智慧安防小区建设项20.3万元；（2）执法勤务装备执法记录仪26.07万元；（3）个人防护装备及单警装备2.18万元；（4）城市视频监控项目总预算为600万元，2021年使用转移支付资金后台建设169.45万元。</w:t>
      </w:r>
    </w:p>
    <w:p>
      <w:pPr>
        <w:autoSpaceDE w:val="0"/>
        <w:autoSpaceDN w:val="0"/>
        <w:adjustRightInd w:val="0"/>
        <w:spacing w:line="360" w:lineRule="auto"/>
        <w:ind w:firstLine="645"/>
        <w:rPr>
          <w:rFonts w:hint="eastAsia"/>
          <w:sz w:val="30"/>
          <w:szCs w:val="30"/>
        </w:rPr>
      </w:pPr>
      <w:r>
        <w:rPr>
          <w:rFonts w:hint="eastAsia"/>
          <w:sz w:val="30"/>
          <w:szCs w:val="30"/>
        </w:rPr>
        <w:t>综上述情况，资金到位率及资金执行率均为100%，资金管理和使用严格按照陕州区财政局财务管理制度和《陕州区公安局转移支付资金使用管理规定》执行，管理制度健全。</w:t>
      </w:r>
    </w:p>
    <w:p>
      <w:pPr>
        <w:pStyle w:val="3"/>
        <w:rPr>
          <w:rFonts w:asciiTheme="minorEastAsia" w:hAnsiTheme="minorEastAsia"/>
          <w:sz w:val="30"/>
          <w:szCs w:val="30"/>
        </w:rPr>
      </w:pPr>
      <w:bookmarkStart w:id="15" w:name="_Toc93918209"/>
      <w:r>
        <w:rPr>
          <w:rFonts w:hint="eastAsia"/>
          <w:sz w:val="30"/>
          <w:szCs w:val="30"/>
        </w:rPr>
        <w:t>（三）</w:t>
      </w:r>
      <w:r>
        <w:rPr>
          <w:rFonts w:hint="eastAsia" w:asciiTheme="minorEastAsia" w:hAnsiTheme="minorEastAsia"/>
          <w:sz w:val="30"/>
          <w:szCs w:val="30"/>
        </w:rPr>
        <w:t>项目产出情况</w:t>
      </w:r>
      <w:bookmarkEnd w:id="15"/>
    </w:p>
    <w:p>
      <w:pPr>
        <w:spacing w:beforeLines="50" w:afterLines="50" w:line="360" w:lineRule="auto"/>
        <w:ind w:left="105" w:leftChars="50" w:right="105" w:rightChars="50" w:firstLine="600" w:firstLineChars="200"/>
        <w:rPr>
          <w:sz w:val="30"/>
          <w:szCs w:val="30"/>
        </w:rPr>
      </w:pPr>
      <w:r>
        <w:rPr>
          <w:rFonts w:hint="eastAsia"/>
          <w:sz w:val="30"/>
          <w:szCs w:val="30"/>
        </w:rPr>
        <w:t>本项目产出下设“产出数量”、“产出质量”、“产出时效”、“产出成本”四个二级指标，权重35分，综合</w:t>
      </w:r>
      <w:r>
        <w:rPr>
          <w:rFonts w:hint="eastAsia"/>
          <w:color w:val="000000" w:themeColor="text1"/>
          <w:sz w:val="30"/>
          <w:szCs w:val="30"/>
        </w:rPr>
        <w:t>得分34.2分。单项得分率为97.7%。各项三级指标得分情况见下表</w:t>
      </w:r>
      <w:r>
        <w:rPr>
          <w:rFonts w:hint="eastAsia"/>
          <w:sz w:val="30"/>
          <w:szCs w:val="30"/>
        </w:rPr>
        <w:t>：</w:t>
      </w:r>
    </w:p>
    <w:p>
      <w:pPr>
        <w:spacing w:beforeLines="50" w:afterLines="50" w:line="360" w:lineRule="auto"/>
        <w:ind w:left="105" w:leftChars="50" w:right="105" w:rightChars="50" w:firstLine="600" w:firstLineChars="200"/>
        <w:jc w:val="center"/>
        <w:rPr>
          <w:sz w:val="30"/>
          <w:szCs w:val="30"/>
        </w:rPr>
      </w:pPr>
      <w:r>
        <w:rPr>
          <w:rFonts w:hint="eastAsia"/>
          <w:sz w:val="30"/>
          <w:szCs w:val="30"/>
        </w:rPr>
        <w:t>表5  转移支付资金项目</w:t>
      </w:r>
    </w:p>
    <w:p>
      <w:pPr>
        <w:spacing w:beforeLines="50" w:afterLines="50" w:line="360" w:lineRule="auto"/>
        <w:ind w:left="105" w:leftChars="50" w:right="105" w:rightChars="50" w:firstLine="600" w:firstLineChars="200"/>
        <w:jc w:val="center"/>
        <w:rPr>
          <w:sz w:val="30"/>
          <w:szCs w:val="30"/>
        </w:rPr>
      </w:pPr>
      <w:r>
        <w:rPr>
          <w:rFonts w:hint="eastAsia"/>
          <w:sz w:val="30"/>
          <w:szCs w:val="30"/>
        </w:rPr>
        <w:t>绩效评价产出指标得分表</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8"/>
        <w:gridCol w:w="438"/>
        <w:gridCol w:w="577"/>
        <w:gridCol w:w="554"/>
        <w:gridCol w:w="1322"/>
        <w:gridCol w:w="3544"/>
        <w:gridCol w:w="565"/>
        <w:gridCol w:w="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311"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一级指标</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347"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二级指标</w:t>
            </w:r>
          </w:p>
        </w:tc>
        <w:tc>
          <w:tcPr>
            <w:tcW w:w="333"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ind w:left="258"/>
              <w:jc w:val="both"/>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三级指标</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Theme="minorEastAsia" w:hAnsiTheme="minorEastAsia" w:eastAsiaTheme="minorEastAsia"/>
                <w:sz w:val="18"/>
                <w:lang w:eastAsia="en-US"/>
              </w:rPr>
            </w:pPr>
            <w:r>
              <w:rPr>
                <w:rFonts w:hint="eastAsia" w:asciiTheme="minorEastAsia" w:hAnsiTheme="minorEastAsia" w:eastAsiaTheme="minorEastAsia"/>
                <w:b/>
                <w:sz w:val="21"/>
                <w:lang w:eastAsia="en-US"/>
              </w:rPr>
              <w:t>评价标准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2" w:hRule="atLeast"/>
        </w:trPr>
        <w:tc>
          <w:tcPr>
            <w:tcW w:w="311" w:type="pct"/>
            <w:vMerge w:val="restart"/>
            <w:tcBorders>
              <w:top w:val="single" w:color="000000" w:sz="4" w:space="0"/>
              <w:left w:val="single" w:color="000000" w:sz="4" w:space="0"/>
              <w:right w:val="single" w:color="000000" w:sz="4" w:space="0"/>
            </w:tcBorders>
            <w:vAlign w:val="center"/>
          </w:tcPr>
          <w:p>
            <w:pPr>
              <w:pStyle w:val="20"/>
              <w:ind w:left="13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w:t>
            </w:r>
          </w:p>
        </w:tc>
        <w:tc>
          <w:tcPr>
            <w:tcW w:w="263" w:type="pct"/>
            <w:vMerge w:val="restart"/>
            <w:tcBorders>
              <w:top w:val="single" w:color="000000" w:sz="4" w:space="0"/>
              <w:left w:val="single" w:color="000000" w:sz="4" w:space="0"/>
              <w:right w:val="single" w:color="000000" w:sz="4" w:space="0"/>
            </w:tcBorders>
            <w:vAlign w:val="center"/>
          </w:tcPr>
          <w:p>
            <w:pPr>
              <w:pStyle w:val="20"/>
              <w:ind w:left="124"/>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35</w:t>
            </w:r>
          </w:p>
        </w:tc>
        <w:tc>
          <w:tcPr>
            <w:tcW w:w="347" w:type="pct"/>
            <w:vMerge w:val="restart"/>
            <w:tcBorders>
              <w:top w:val="single" w:color="000000" w:sz="4" w:space="0"/>
              <w:left w:val="single" w:color="000000" w:sz="4" w:space="0"/>
              <w:right w:val="single" w:color="000000" w:sz="4" w:space="0"/>
            </w:tcBorders>
            <w:vAlign w:val="center"/>
          </w:tcPr>
          <w:p>
            <w:pPr>
              <w:pStyle w:val="20"/>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产出数量</w:t>
            </w:r>
          </w:p>
        </w:tc>
        <w:tc>
          <w:tcPr>
            <w:tcW w:w="333" w:type="pct"/>
            <w:vMerge w:val="restart"/>
            <w:tcBorders>
              <w:top w:val="single" w:color="000000" w:sz="4" w:space="0"/>
              <w:left w:val="single" w:color="000000" w:sz="4" w:space="0"/>
              <w:right w:val="single" w:color="000000" w:sz="4" w:space="0"/>
            </w:tcBorders>
            <w:vAlign w:val="center"/>
          </w:tcPr>
          <w:p>
            <w:pPr>
              <w:pStyle w:val="20"/>
              <w:ind w:left="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19</w:t>
            </w: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支持市县公安机关数量（个）</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项目实施所支持的本市县公安机关数量1个，达到该数量本项得满分，未达到酌情减分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治安拘留人次</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项目支持单位本年度治安拘留人次≥127人次本项得满分，反之酌情减分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刑事拘留人次</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项目支持单位本年度刑事拘留人次≥260人次本项得满分，反之酌情减分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eastAsia="Times New Roman" w:asciiTheme="minorEastAsia" w:hAnsiTheme="minorEastAsia"/>
                <w:lang w:eastAsia="en-US"/>
              </w:rPr>
            </w:pPr>
          </w:p>
        </w:tc>
        <w:tc>
          <w:tcPr>
            <w:tcW w:w="263" w:type="pct"/>
            <w:vMerge w:val="continue"/>
            <w:tcBorders>
              <w:left w:val="single" w:color="000000" w:sz="4" w:space="0"/>
              <w:right w:val="single" w:color="000000" w:sz="4" w:space="0"/>
            </w:tcBorders>
            <w:vAlign w:val="center"/>
          </w:tcPr>
          <w:p>
            <w:pPr>
              <w:autoSpaceDE w:val="0"/>
              <w:autoSpaceDN w:val="0"/>
              <w:jc w:val="center"/>
              <w:rPr>
                <w:rFonts w:eastAsia="Times New Roman" w:asciiTheme="minorEastAsia" w:hAnsiTheme="minorEastAsia"/>
                <w:lang w:eastAsia="en-US"/>
              </w:rPr>
            </w:pPr>
          </w:p>
        </w:tc>
        <w:tc>
          <w:tcPr>
            <w:tcW w:w="347" w:type="pct"/>
            <w:vMerge w:val="continue"/>
            <w:tcBorders>
              <w:left w:val="single" w:color="000000" w:sz="4" w:space="0"/>
              <w:right w:val="single" w:color="000000" w:sz="4" w:space="0"/>
            </w:tcBorders>
            <w:vAlign w:val="center"/>
          </w:tcPr>
          <w:p>
            <w:pPr>
              <w:autoSpaceDE w:val="0"/>
              <w:autoSpaceDN w:val="0"/>
              <w:jc w:val="center"/>
              <w:rPr>
                <w:rFonts w:eastAsia="Times New Roman" w:asciiTheme="minorEastAsia" w:hAnsiTheme="minorEastAsia"/>
                <w:lang w:eastAsia="en-US"/>
              </w:rPr>
            </w:pPr>
          </w:p>
        </w:tc>
        <w:tc>
          <w:tcPr>
            <w:tcW w:w="333" w:type="pct"/>
            <w:vMerge w:val="continue"/>
            <w:tcBorders>
              <w:left w:val="single" w:color="000000" w:sz="4" w:space="0"/>
              <w:right w:val="single" w:color="000000" w:sz="4" w:space="0"/>
            </w:tcBorders>
            <w:vAlign w:val="center"/>
          </w:tcPr>
          <w:p>
            <w:pPr>
              <w:autoSpaceDE w:val="0"/>
              <w:autoSpaceDN w:val="0"/>
              <w:jc w:val="center"/>
              <w:rPr>
                <w:rFonts w:eastAsia="Times New Roman" w:asciiTheme="minorEastAsia" w:hAnsiTheme="minorEastAsia"/>
                <w:lang w:eastAsia="en-US"/>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逮捕犯罪嫌疑人人次</w:t>
            </w:r>
          </w:p>
        </w:tc>
        <w:tc>
          <w:tcPr>
            <w:tcW w:w="2131" w:type="pct"/>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hint="eastAsia" w:ascii="仿宋" w:hAnsi="仿宋" w:eastAsia="仿宋" w:cs="宋体"/>
                <w:sz w:val="20"/>
                <w:szCs w:val="20"/>
                <w:lang w:eastAsia="zh-CN"/>
              </w:rPr>
            </w:pPr>
            <w:r>
              <w:rPr>
                <w:rFonts w:hint="eastAsia" w:asciiTheme="minorEastAsia" w:hAnsiTheme="minorEastAsia" w:eastAsiaTheme="minorEastAsia"/>
                <w:sz w:val="21"/>
                <w:lang w:eastAsia="zh-CN"/>
              </w:rPr>
              <w:t>项目支持单位本年度逮捕犯罪嫌疑人人次≥290人次本项得满分，反之酌情减分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eastAsia="Times New Roman" w:asciiTheme="minorEastAsia" w:hAnsiTheme="minorEastAsia"/>
                <w:lang w:eastAsia="en-US"/>
              </w:rPr>
            </w:pPr>
          </w:p>
        </w:tc>
        <w:tc>
          <w:tcPr>
            <w:tcW w:w="263" w:type="pct"/>
            <w:vMerge w:val="continue"/>
            <w:tcBorders>
              <w:left w:val="single" w:color="000000" w:sz="4" w:space="0"/>
              <w:right w:val="single" w:color="000000" w:sz="4" w:space="0"/>
            </w:tcBorders>
            <w:vAlign w:val="center"/>
          </w:tcPr>
          <w:p>
            <w:pPr>
              <w:autoSpaceDE w:val="0"/>
              <w:autoSpaceDN w:val="0"/>
              <w:jc w:val="center"/>
              <w:rPr>
                <w:rFonts w:eastAsia="Times New Roman" w:asciiTheme="minorEastAsia" w:hAnsiTheme="minorEastAsia"/>
                <w:lang w:eastAsia="en-US"/>
              </w:rPr>
            </w:pPr>
          </w:p>
        </w:tc>
        <w:tc>
          <w:tcPr>
            <w:tcW w:w="347" w:type="pct"/>
            <w:vMerge w:val="continue"/>
            <w:tcBorders>
              <w:left w:val="single" w:color="000000" w:sz="4" w:space="0"/>
              <w:right w:val="single" w:color="000000" w:sz="4" w:space="0"/>
            </w:tcBorders>
            <w:vAlign w:val="center"/>
          </w:tcPr>
          <w:p>
            <w:pPr>
              <w:autoSpaceDE w:val="0"/>
              <w:autoSpaceDN w:val="0"/>
              <w:jc w:val="center"/>
              <w:rPr>
                <w:rFonts w:eastAsia="Times New Roman" w:asciiTheme="minorEastAsia" w:hAnsiTheme="minorEastAsia"/>
                <w:lang w:eastAsia="en-US"/>
              </w:rPr>
            </w:pPr>
          </w:p>
        </w:tc>
        <w:tc>
          <w:tcPr>
            <w:tcW w:w="333" w:type="pct"/>
            <w:vMerge w:val="continue"/>
            <w:tcBorders>
              <w:left w:val="single" w:color="000000" w:sz="4" w:space="0"/>
              <w:right w:val="single" w:color="000000" w:sz="4" w:space="0"/>
            </w:tcBorders>
            <w:vAlign w:val="center"/>
          </w:tcPr>
          <w:p>
            <w:pPr>
              <w:autoSpaceDE w:val="0"/>
              <w:autoSpaceDN w:val="0"/>
              <w:jc w:val="center"/>
              <w:rPr>
                <w:rFonts w:eastAsia="Times New Roman" w:asciiTheme="minorEastAsia" w:hAnsiTheme="minorEastAsia"/>
                <w:lang w:eastAsia="en-US"/>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en-US"/>
              </w:rPr>
            </w:pPr>
            <w:r>
              <w:rPr>
                <w:rFonts w:hint="eastAsia" w:asciiTheme="minorEastAsia" w:hAnsiTheme="minorEastAsia" w:eastAsiaTheme="minorEastAsia"/>
                <w:sz w:val="21"/>
                <w:lang w:eastAsia="zh-CN"/>
              </w:rPr>
              <w:t>刑事案件立案数量</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hint="eastAsia" w:asciiTheme="minorEastAsia" w:hAnsiTheme="minorEastAsia" w:eastAsiaTheme="minorEastAsia"/>
                <w:sz w:val="21"/>
                <w:lang w:eastAsia="en-US"/>
              </w:rPr>
            </w:pPr>
            <w:r>
              <w:rPr>
                <w:rFonts w:hint="eastAsia" w:asciiTheme="minorEastAsia" w:hAnsiTheme="minorEastAsia" w:eastAsiaTheme="minorEastAsia"/>
                <w:sz w:val="21"/>
                <w:lang w:eastAsia="zh-CN"/>
              </w:rPr>
              <w:t>项目支持单位本年度刑事案件立案数量≥600件本项得满分，反之酌情减分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有效管控涉稳人员数</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项目支持单位本年度有效管控涉稳人员数≥10人次本项得满分，反之酌情减分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侦查终结刑事案件数量</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项目支持单位本年度刑事案件立案数量≥600件本项得满分，反之酌情减分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结案行政案件数量</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项目支持单位本年度结案行政案件≥500件本项得满分，反之酌情减分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强制隔离戒毒人数</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项目支持单位本年度强制隔离戒毒人次≥19人次本项得满分，反之酌情减分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缴获毒品数量</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项目支持单位本年度缴获毒品数量≥0.274kg本项得满分，反之酌情减分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公安机关业务装备购置数量</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项目支持单位本年度装备购置数量≥80件本项得满分，反之酌情减分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实战训练次数</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项目支持单位本年度实战训练次数≥6次本项得满分，反之酌情减分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实战训练参训人次</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项目支持单位本年度实战训练参训人次≥400人次本项得满分，反之酌情减分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restart"/>
            <w:tcBorders>
              <w:top w:val="single" w:color="000000" w:sz="4" w:space="0"/>
              <w:left w:val="single" w:color="000000" w:sz="4" w:space="0"/>
              <w:right w:val="single" w:color="000000" w:sz="4" w:space="0"/>
            </w:tcBorders>
            <w:vAlign w:val="center"/>
          </w:tcPr>
          <w:p>
            <w:pPr>
              <w:pStyle w:val="20"/>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产出质量</w:t>
            </w:r>
          </w:p>
        </w:tc>
        <w:tc>
          <w:tcPr>
            <w:tcW w:w="333" w:type="pct"/>
            <w:vMerge w:val="restart"/>
            <w:tcBorders>
              <w:top w:val="single" w:color="000000" w:sz="4" w:space="0"/>
              <w:left w:val="single" w:color="000000" w:sz="4" w:space="0"/>
              <w:right w:val="single" w:color="000000" w:sz="4" w:space="0"/>
            </w:tcBorders>
            <w:vAlign w:val="center"/>
          </w:tcPr>
          <w:p>
            <w:pPr>
              <w:pStyle w:val="20"/>
              <w:ind w:lef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8</w:t>
            </w: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命案侦破率</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项目支持单位本年度命案侦破率达100%本项得满分，反之酌情减分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continue"/>
            <w:tcBorders>
              <w:left w:val="single" w:color="000000" w:sz="4" w:space="0"/>
              <w:right w:val="single" w:color="000000" w:sz="4" w:space="0"/>
            </w:tcBorders>
            <w:vAlign w:val="center"/>
          </w:tcPr>
          <w:p>
            <w:pPr>
              <w:pStyle w:val="20"/>
              <w:spacing w:line="242" w:lineRule="auto"/>
              <w:ind w:left="210" w:right="191"/>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pStyle w:val="20"/>
              <w:ind w:left="118"/>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公安民警培训合格率</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项目支持单位本年度公安民警培训合格率达100%本项得满分，反之酌情减分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continue"/>
            <w:tcBorders>
              <w:left w:val="single" w:color="000000" w:sz="4" w:space="0"/>
              <w:right w:val="single" w:color="000000" w:sz="4" w:space="0"/>
            </w:tcBorders>
            <w:vAlign w:val="center"/>
          </w:tcPr>
          <w:p>
            <w:pPr>
              <w:pStyle w:val="20"/>
              <w:spacing w:line="242" w:lineRule="auto"/>
              <w:ind w:left="210" w:right="191"/>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pStyle w:val="20"/>
              <w:ind w:left="118"/>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重大安保任务无差错率</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项目支持单位本年度重大安保任务无差错率达100%本项得满分，反之酌情减分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47" w:type="pct"/>
            <w:vMerge w:val="continue"/>
            <w:tcBorders>
              <w:left w:val="single" w:color="000000" w:sz="4" w:space="0"/>
              <w:right w:val="single" w:color="000000" w:sz="4" w:space="0"/>
            </w:tcBorders>
            <w:vAlign w:val="center"/>
          </w:tcPr>
          <w:p>
            <w:pPr>
              <w:pStyle w:val="20"/>
              <w:spacing w:line="242" w:lineRule="auto"/>
              <w:ind w:left="210" w:right="191"/>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pStyle w:val="20"/>
              <w:ind w:left="118"/>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购置装备验收合格率</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项目支持单位本年度购置装备验收合格率达100%本项得满分，反之酌情减分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7" w:type="pct"/>
            <w:vMerge w:val="restart"/>
            <w:tcBorders>
              <w:top w:val="single" w:color="000000" w:sz="4" w:space="0"/>
              <w:left w:val="single" w:color="000000" w:sz="4" w:space="0"/>
              <w:right w:val="single" w:color="000000" w:sz="4" w:space="0"/>
            </w:tcBorders>
            <w:vAlign w:val="center"/>
          </w:tcPr>
          <w:p>
            <w:pPr>
              <w:pStyle w:val="20"/>
              <w:spacing w:line="242" w:lineRule="auto"/>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产出时效</w:t>
            </w:r>
          </w:p>
        </w:tc>
        <w:tc>
          <w:tcPr>
            <w:tcW w:w="333" w:type="pct"/>
            <w:vMerge w:val="restart"/>
            <w:tcBorders>
              <w:top w:val="single" w:color="000000" w:sz="4" w:space="0"/>
              <w:left w:val="single" w:color="000000" w:sz="4" w:space="0"/>
              <w:right w:val="single" w:color="000000" w:sz="4" w:space="0"/>
            </w:tcBorders>
            <w:vAlign w:val="center"/>
          </w:tcPr>
          <w:p>
            <w:pPr>
              <w:pStyle w:val="20"/>
              <w:spacing w:before="1"/>
              <w:ind w:left="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6</w:t>
            </w: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受理案件及时性</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受理案件及时本项得满分，反之不得分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7"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装备釆购完成及时性</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装备采购按计划完成本项得满分，比计划采购完成时间推迟一个月扣一分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7"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33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实战训练开展及时性</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陕州区本年度实战训练开展按计划时间完成本项得满分，反之本项不得分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8" w:hRule="atLeast"/>
        </w:trPr>
        <w:tc>
          <w:tcPr>
            <w:tcW w:w="311"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263" w:type="pct"/>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0"/>
                <w:lang w:eastAsia="zh-CN"/>
              </w:rPr>
            </w:pPr>
          </w:p>
        </w:tc>
        <w:tc>
          <w:tcPr>
            <w:tcW w:w="347" w:type="pct"/>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 出 成 本</w:t>
            </w:r>
          </w:p>
        </w:tc>
        <w:tc>
          <w:tcPr>
            <w:tcW w:w="333" w:type="pct"/>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795"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成本控制</w:t>
            </w:r>
          </w:p>
        </w:tc>
        <w:tc>
          <w:tcPr>
            <w:tcW w:w="213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项目建设及采购成本≤申报数据该项得满分，反之该项不得分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4180" w:type="pct"/>
            <w:gridSpan w:val="6"/>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合   计</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34.2</w:t>
            </w:r>
          </w:p>
        </w:tc>
      </w:tr>
    </w:tbl>
    <w:p>
      <w:pPr>
        <w:spacing w:beforeLines="50" w:afterLines="50" w:line="360" w:lineRule="auto"/>
        <w:ind w:left="105" w:leftChars="50" w:right="105" w:rightChars="50" w:firstLine="600" w:firstLineChars="200"/>
        <w:jc w:val="center"/>
        <w:rPr>
          <w:sz w:val="30"/>
          <w:szCs w:val="30"/>
        </w:rPr>
      </w:pPr>
    </w:p>
    <w:p>
      <w:pPr>
        <w:spacing w:beforeLines="50" w:afterLines="50" w:line="360" w:lineRule="auto"/>
        <w:ind w:left="105" w:leftChars="50" w:right="105" w:rightChars="50" w:firstLine="600" w:firstLineChars="200"/>
        <w:rPr>
          <w:rFonts w:hint="eastAsia"/>
          <w:color w:val="000000" w:themeColor="text1"/>
          <w:sz w:val="30"/>
          <w:szCs w:val="30"/>
        </w:rPr>
      </w:pPr>
      <w:r>
        <w:rPr>
          <w:rFonts w:hint="eastAsia"/>
          <w:sz w:val="30"/>
          <w:szCs w:val="30"/>
        </w:rPr>
        <w:t>产出指标部分</w:t>
      </w:r>
      <w:r>
        <w:rPr>
          <w:rFonts w:hint="eastAsia"/>
          <w:b/>
          <w:sz w:val="30"/>
          <w:szCs w:val="30"/>
        </w:rPr>
        <w:t>主要得分点</w:t>
      </w:r>
      <w:r>
        <w:rPr>
          <w:rFonts w:hint="eastAsia"/>
          <w:sz w:val="30"/>
          <w:szCs w:val="30"/>
        </w:rPr>
        <w:t>：本次评价资金用于支持陕州区公安局，支持单位数量1个，符合申报数据，</w:t>
      </w:r>
      <w:r>
        <w:rPr>
          <w:rFonts w:hint="eastAsia"/>
          <w:color w:val="000000" w:themeColor="text1"/>
          <w:sz w:val="30"/>
          <w:szCs w:val="30"/>
        </w:rPr>
        <w:t>根据陕州区公安局执法办案系统警务平台数据显示，本年度陕州区公安局治安拘留人次195人，刑事拘留人次377人次，逮捕犯罪嫌疑人人次290人次，刑事案件立案数量1125件，有效管控涉稳人员数10人，侦查终结刑事案件数量306件，结案行政案件数量646件，强制隔离戒毒人数25人，缴获毒品数量0.27491kg，公安机关业务装备购置数量871件，实战训练次数11次，实战训练参训人次490人次，各项数量指标均超额完成，且命案侦破率100%，公安民警培训合格率100%，重大安保任务无差错率100%，根据，采购物资的购置装备验收合格率100%。且设备采购均已按照计划时间完成采购任务，各项支出成本未超出预算范围，产出情况良好。</w:t>
      </w:r>
    </w:p>
    <w:p>
      <w:pPr>
        <w:pStyle w:val="3"/>
        <w:rPr>
          <w:rFonts w:asciiTheme="minorEastAsia" w:hAnsiTheme="minorEastAsia"/>
          <w:sz w:val="30"/>
          <w:szCs w:val="30"/>
        </w:rPr>
      </w:pPr>
      <w:bookmarkStart w:id="16" w:name="_Toc93918210"/>
      <w:r>
        <w:rPr>
          <w:rFonts w:hint="eastAsia"/>
          <w:sz w:val="30"/>
          <w:szCs w:val="30"/>
        </w:rPr>
        <w:t>（四）</w:t>
      </w:r>
      <w:r>
        <w:rPr>
          <w:rFonts w:hint="eastAsia" w:asciiTheme="minorEastAsia" w:hAnsiTheme="minorEastAsia"/>
          <w:sz w:val="30"/>
          <w:szCs w:val="30"/>
        </w:rPr>
        <w:t>项目效益情况</w:t>
      </w:r>
      <w:bookmarkEnd w:id="16"/>
    </w:p>
    <w:p>
      <w:pPr>
        <w:spacing w:beforeLines="50" w:afterLines="50" w:line="360" w:lineRule="auto"/>
        <w:ind w:left="105" w:leftChars="50" w:right="105" w:rightChars="50" w:firstLine="600" w:firstLineChars="200"/>
        <w:rPr>
          <w:sz w:val="30"/>
          <w:szCs w:val="30"/>
        </w:rPr>
      </w:pPr>
      <w:r>
        <w:rPr>
          <w:rFonts w:hint="eastAsia"/>
          <w:sz w:val="30"/>
          <w:szCs w:val="30"/>
        </w:rPr>
        <w:t>本项目效益下设“社会效益”、“满意度”两个二级指标，权重25分，综合得</w:t>
      </w:r>
      <w:r>
        <w:rPr>
          <w:rFonts w:hint="eastAsia"/>
          <w:color w:val="000000" w:themeColor="text1"/>
          <w:sz w:val="30"/>
          <w:szCs w:val="30"/>
        </w:rPr>
        <w:t>分21.1分。单项得分率为84.4%</w:t>
      </w:r>
      <w:r>
        <w:rPr>
          <w:rFonts w:hint="eastAsia"/>
          <w:sz w:val="30"/>
          <w:szCs w:val="30"/>
        </w:rPr>
        <w:t>。各项三级指标得分情况见下表：</w:t>
      </w:r>
    </w:p>
    <w:p>
      <w:pPr>
        <w:spacing w:beforeLines="50" w:afterLines="50" w:line="360" w:lineRule="auto"/>
        <w:ind w:left="105" w:leftChars="50" w:right="105" w:rightChars="50" w:firstLine="600" w:firstLineChars="200"/>
        <w:jc w:val="center"/>
        <w:rPr>
          <w:sz w:val="30"/>
          <w:szCs w:val="30"/>
        </w:rPr>
      </w:pPr>
      <w:r>
        <w:rPr>
          <w:rFonts w:hint="eastAsia"/>
          <w:sz w:val="30"/>
          <w:szCs w:val="30"/>
        </w:rPr>
        <w:t>表6  转移支付资金项目</w:t>
      </w:r>
    </w:p>
    <w:p>
      <w:pPr>
        <w:spacing w:beforeLines="50" w:afterLines="50" w:line="360" w:lineRule="auto"/>
        <w:ind w:left="105" w:leftChars="50" w:right="105" w:rightChars="50" w:firstLine="600" w:firstLineChars="200"/>
        <w:jc w:val="center"/>
        <w:rPr>
          <w:sz w:val="30"/>
          <w:szCs w:val="30"/>
        </w:rPr>
      </w:pPr>
      <w:r>
        <w:rPr>
          <w:rFonts w:hint="eastAsia"/>
          <w:sz w:val="30"/>
          <w:szCs w:val="30"/>
        </w:rPr>
        <w:t>绩效评价效益指标得分表</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82"/>
        <w:gridCol w:w="515"/>
        <w:gridCol w:w="621"/>
        <w:gridCol w:w="512"/>
        <w:gridCol w:w="1125"/>
        <w:gridCol w:w="482"/>
        <w:gridCol w:w="3209"/>
        <w:gridCol w:w="567"/>
        <w:gridCol w:w="228"/>
        <w:gridCol w:w="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482"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一级指标</w:t>
            </w:r>
          </w:p>
        </w:tc>
        <w:tc>
          <w:tcPr>
            <w:tcW w:w="515"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621"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二级指标</w:t>
            </w:r>
          </w:p>
        </w:tc>
        <w:tc>
          <w:tcPr>
            <w:tcW w:w="512"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1126" w:type="dxa"/>
            <w:tcBorders>
              <w:top w:val="single" w:color="000000" w:sz="4" w:space="0"/>
              <w:left w:val="single" w:color="000000" w:sz="4" w:space="0"/>
              <w:bottom w:val="single" w:color="000000" w:sz="4" w:space="0"/>
              <w:right w:val="single" w:color="000000" w:sz="4" w:space="0"/>
            </w:tcBorders>
            <w:vAlign w:val="center"/>
          </w:tcPr>
          <w:p>
            <w:pPr>
              <w:pStyle w:val="20"/>
              <w:ind w:left="138" w:right="12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三级指标</w:t>
            </w:r>
          </w:p>
        </w:tc>
        <w:tc>
          <w:tcPr>
            <w:tcW w:w="482"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3213" w:type="dxa"/>
            <w:tcBorders>
              <w:top w:val="single" w:color="000000" w:sz="4" w:space="0"/>
              <w:left w:val="single" w:color="000000" w:sz="4" w:space="0"/>
              <w:bottom w:val="single" w:color="000000" w:sz="4" w:space="0"/>
              <w:right w:val="single" w:color="000000" w:sz="4" w:space="0"/>
            </w:tcBorders>
            <w:vAlign w:val="center"/>
          </w:tcPr>
          <w:p>
            <w:pPr>
              <w:pStyle w:val="20"/>
              <w:ind w:left="138" w:right="12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评价标准</w:t>
            </w:r>
          </w:p>
        </w:tc>
        <w:tc>
          <w:tcPr>
            <w:tcW w:w="795" w:type="dxa"/>
            <w:gridSpan w:val="2"/>
            <w:tcBorders>
              <w:top w:val="single" w:color="000000" w:sz="4" w:space="0"/>
              <w:left w:val="single" w:color="000000" w:sz="4" w:space="0"/>
              <w:bottom w:val="single" w:color="000000" w:sz="4" w:space="0"/>
              <w:right w:val="single" w:color="000000" w:sz="4" w:space="0"/>
            </w:tcBorders>
            <w:vAlign w:val="center"/>
          </w:tcPr>
          <w:p>
            <w:pPr>
              <w:pStyle w:val="20"/>
              <w:ind w:left="138" w:right="12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570" w:type="dxa"/>
            <w:tcBorders>
              <w:top w:val="single" w:color="000000" w:sz="4" w:space="0"/>
              <w:left w:val="single" w:color="000000" w:sz="4" w:space="0"/>
              <w:bottom w:val="single" w:color="000000" w:sz="4" w:space="0"/>
              <w:right w:val="single" w:color="000000" w:sz="4" w:space="0"/>
            </w:tcBorders>
            <w:vAlign w:val="center"/>
          </w:tcPr>
          <w:p>
            <w:pPr>
              <w:pStyle w:val="20"/>
              <w:ind w:left="138" w:right="123"/>
              <w:jc w:val="center"/>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4" w:hRule="atLeast"/>
        </w:trPr>
        <w:tc>
          <w:tcPr>
            <w:tcW w:w="482" w:type="dxa"/>
            <w:vMerge w:val="restart"/>
            <w:tcBorders>
              <w:left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效益</w:t>
            </w:r>
          </w:p>
        </w:tc>
        <w:tc>
          <w:tcPr>
            <w:tcW w:w="515" w:type="dxa"/>
            <w:vMerge w:val="restart"/>
            <w:tcBorders>
              <w:left w:val="single" w:color="000000" w:sz="4" w:space="0"/>
              <w:right w:val="single" w:color="000000" w:sz="4" w:space="0"/>
            </w:tcBorders>
            <w:vAlign w:val="center"/>
          </w:tcPr>
          <w:p>
            <w:pPr>
              <w:pStyle w:val="20"/>
              <w:spacing w:before="102" w:line="242" w:lineRule="auto"/>
              <w:ind w:left="124" w:right="12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25</w:t>
            </w:r>
          </w:p>
        </w:tc>
        <w:tc>
          <w:tcPr>
            <w:tcW w:w="621" w:type="dxa"/>
            <w:vMerge w:val="restart"/>
            <w:tcBorders>
              <w:left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社会效益</w:t>
            </w:r>
          </w:p>
        </w:tc>
        <w:tc>
          <w:tcPr>
            <w:tcW w:w="512" w:type="dxa"/>
            <w:vMerge w:val="restart"/>
            <w:tcBorders>
              <w:left w:val="single" w:color="000000" w:sz="4" w:space="0"/>
              <w:right w:val="single" w:color="000000" w:sz="4" w:space="0"/>
            </w:tcBorders>
            <w:vAlign w:val="center"/>
          </w:tcPr>
          <w:p>
            <w:pPr>
              <w:pStyle w:val="20"/>
              <w:spacing w:before="102" w:line="242" w:lineRule="auto"/>
              <w:ind w:left="3" w:right="12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en-US"/>
              </w:rPr>
              <w:t>1</w:t>
            </w:r>
            <w:r>
              <w:rPr>
                <w:rFonts w:hint="eastAsia" w:asciiTheme="minorEastAsia" w:hAnsiTheme="minorEastAsia" w:eastAsiaTheme="minorEastAsia"/>
                <w:sz w:val="21"/>
                <w:lang w:eastAsia="zh-CN"/>
              </w:rPr>
              <w:t>7</w:t>
            </w:r>
          </w:p>
        </w:tc>
        <w:tc>
          <w:tcPr>
            <w:tcW w:w="1126"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2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刑事、治安案件发案数下降情况</w:t>
            </w:r>
          </w:p>
        </w:tc>
        <w:tc>
          <w:tcPr>
            <w:tcW w:w="482"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2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w:t>
            </w:r>
          </w:p>
        </w:tc>
        <w:tc>
          <w:tcPr>
            <w:tcW w:w="3213"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23" w:firstLine="105"/>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陕州区公安局本年度刑事、治安案件发案数明显下降该项得满分，反之酌情减分</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23"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482" w:type="dxa"/>
            <w:vMerge w:val="continue"/>
            <w:tcBorders>
              <w:left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zh-CN"/>
              </w:rPr>
            </w:pPr>
          </w:p>
        </w:tc>
        <w:tc>
          <w:tcPr>
            <w:tcW w:w="515" w:type="dxa"/>
            <w:vMerge w:val="continue"/>
            <w:tcBorders>
              <w:left w:val="single" w:color="000000" w:sz="4" w:space="0"/>
              <w:right w:val="single" w:color="000000" w:sz="4" w:space="0"/>
            </w:tcBorders>
            <w:vAlign w:val="center"/>
          </w:tcPr>
          <w:p>
            <w:pPr>
              <w:pStyle w:val="20"/>
              <w:spacing w:before="102" w:line="242" w:lineRule="auto"/>
              <w:ind w:left="124" w:right="123"/>
              <w:jc w:val="center"/>
              <w:rPr>
                <w:rFonts w:asciiTheme="minorEastAsia" w:hAnsiTheme="minorEastAsia" w:eastAsiaTheme="minorEastAsia"/>
                <w:sz w:val="21"/>
                <w:lang w:eastAsia="zh-CN"/>
              </w:rPr>
            </w:pPr>
          </w:p>
        </w:tc>
        <w:tc>
          <w:tcPr>
            <w:tcW w:w="621" w:type="dxa"/>
            <w:vMerge w:val="continue"/>
            <w:tcBorders>
              <w:left w:val="single" w:color="000000" w:sz="4" w:space="0"/>
              <w:right w:val="single" w:color="000000" w:sz="4" w:space="0"/>
            </w:tcBorders>
            <w:vAlign w:val="center"/>
          </w:tcPr>
          <w:p>
            <w:pPr>
              <w:pStyle w:val="20"/>
              <w:spacing w:before="102" w:line="242" w:lineRule="auto"/>
              <w:ind w:left="210" w:right="123"/>
              <w:jc w:val="center"/>
              <w:rPr>
                <w:rFonts w:asciiTheme="minorEastAsia" w:hAnsiTheme="minorEastAsia" w:eastAsiaTheme="minorEastAsia"/>
                <w:sz w:val="21"/>
                <w:lang w:eastAsia="zh-CN"/>
              </w:rPr>
            </w:pPr>
          </w:p>
        </w:tc>
        <w:tc>
          <w:tcPr>
            <w:tcW w:w="512" w:type="dxa"/>
            <w:vMerge w:val="continue"/>
            <w:tcBorders>
              <w:left w:val="single" w:color="000000" w:sz="4" w:space="0"/>
              <w:right w:val="single" w:color="000000" w:sz="4" w:space="0"/>
            </w:tcBorders>
            <w:vAlign w:val="center"/>
          </w:tcPr>
          <w:p>
            <w:pPr>
              <w:pStyle w:val="20"/>
              <w:spacing w:before="102" w:line="242" w:lineRule="auto"/>
              <w:ind w:left="3" w:right="123"/>
              <w:jc w:val="center"/>
              <w:rPr>
                <w:rFonts w:asciiTheme="minorEastAsia" w:hAnsiTheme="minorEastAsia" w:eastAsiaTheme="minorEastAsia"/>
                <w:sz w:val="21"/>
                <w:lang w:eastAsia="zh-CN"/>
              </w:rPr>
            </w:pPr>
          </w:p>
        </w:tc>
        <w:tc>
          <w:tcPr>
            <w:tcW w:w="1126"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2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戒毒管控率提升情况</w:t>
            </w:r>
          </w:p>
        </w:tc>
        <w:tc>
          <w:tcPr>
            <w:tcW w:w="482"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23"/>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3213"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23" w:firstLine="105"/>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陕州区公安局本年度戒毒管控率明显提升该项得满分，反之酌情减分</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23"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482" w:type="dxa"/>
            <w:vMerge w:val="continue"/>
            <w:tcBorders>
              <w:left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zh-CN"/>
              </w:rPr>
            </w:pPr>
          </w:p>
        </w:tc>
        <w:tc>
          <w:tcPr>
            <w:tcW w:w="515" w:type="dxa"/>
            <w:vMerge w:val="continue"/>
            <w:tcBorders>
              <w:left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zh-CN"/>
              </w:rPr>
            </w:pPr>
          </w:p>
        </w:tc>
        <w:tc>
          <w:tcPr>
            <w:tcW w:w="621" w:type="dxa"/>
            <w:vMerge w:val="continue"/>
            <w:tcBorders>
              <w:left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zh-CN"/>
              </w:rPr>
            </w:pPr>
          </w:p>
        </w:tc>
        <w:tc>
          <w:tcPr>
            <w:tcW w:w="512" w:type="dxa"/>
            <w:vMerge w:val="continue"/>
            <w:tcBorders>
              <w:left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zh-CN"/>
              </w:rPr>
            </w:pPr>
          </w:p>
        </w:tc>
        <w:tc>
          <w:tcPr>
            <w:tcW w:w="1126"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交通事故死亡人数下降情况</w:t>
            </w:r>
          </w:p>
        </w:tc>
        <w:tc>
          <w:tcPr>
            <w:tcW w:w="482"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3213"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陕州区公安局本年度交通事故死亡人数明显下降该项得满分，反之酌情减分</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482" w:type="dxa"/>
            <w:vMerge w:val="continue"/>
            <w:tcBorders>
              <w:left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zh-CN"/>
              </w:rPr>
            </w:pPr>
          </w:p>
        </w:tc>
        <w:tc>
          <w:tcPr>
            <w:tcW w:w="515" w:type="dxa"/>
            <w:vMerge w:val="continue"/>
            <w:tcBorders>
              <w:left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zh-CN"/>
              </w:rPr>
            </w:pPr>
          </w:p>
        </w:tc>
        <w:tc>
          <w:tcPr>
            <w:tcW w:w="621" w:type="dxa"/>
            <w:vMerge w:val="continue"/>
            <w:tcBorders>
              <w:left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zh-CN"/>
              </w:rPr>
            </w:pPr>
          </w:p>
        </w:tc>
        <w:tc>
          <w:tcPr>
            <w:tcW w:w="512" w:type="dxa"/>
            <w:vMerge w:val="continue"/>
            <w:tcBorders>
              <w:left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zh-CN"/>
              </w:rPr>
            </w:pPr>
          </w:p>
        </w:tc>
        <w:tc>
          <w:tcPr>
            <w:tcW w:w="1126"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促进社会治安稳定情况</w:t>
            </w:r>
          </w:p>
        </w:tc>
        <w:tc>
          <w:tcPr>
            <w:tcW w:w="482"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w:t>
            </w:r>
          </w:p>
        </w:tc>
        <w:tc>
          <w:tcPr>
            <w:tcW w:w="3213"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陕州区公安局本年度社会治安稳定情况明显提升该项得满分，反之酌情减分</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7" w:hRule="atLeast"/>
        </w:trPr>
        <w:tc>
          <w:tcPr>
            <w:tcW w:w="482"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5"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2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2"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1126"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人民群众生命财产安全保障</w:t>
            </w:r>
          </w:p>
        </w:tc>
        <w:tc>
          <w:tcPr>
            <w:tcW w:w="48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3213"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陕州区公安局本年度人民群众生命财产得到保障该项得满分，反之不得分</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482"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5"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2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2"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1126"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挽回经济损失金额</w:t>
            </w:r>
          </w:p>
        </w:tc>
        <w:tc>
          <w:tcPr>
            <w:tcW w:w="48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3213"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挽回经济损失金额≥</w:t>
            </w:r>
            <w:r>
              <w:rPr>
                <w:rFonts w:asciiTheme="minorEastAsia" w:hAnsiTheme="minorEastAsia" w:eastAsiaTheme="minorEastAsia"/>
                <w:sz w:val="21"/>
                <w:lang w:eastAsia="zh-CN"/>
              </w:rPr>
              <w:t>150万元</w:t>
            </w:r>
            <w:r>
              <w:rPr>
                <w:rFonts w:hint="eastAsia" w:asciiTheme="minorEastAsia" w:hAnsiTheme="minorEastAsia" w:eastAsiaTheme="minorEastAsia"/>
                <w:sz w:val="21"/>
                <w:lang w:eastAsia="zh-CN"/>
              </w:rPr>
              <w:t>该项得满分，反之该项不得分</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2" w:hRule="atLeast"/>
        </w:trPr>
        <w:tc>
          <w:tcPr>
            <w:tcW w:w="482"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5"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2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2"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1126"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罚没资金追缴金额</w:t>
            </w:r>
          </w:p>
        </w:tc>
        <w:tc>
          <w:tcPr>
            <w:tcW w:w="48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3213"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罚没资金追缴金额≥</w:t>
            </w:r>
            <w:r>
              <w:rPr>
                <w:rFonts w:asciiTheme="minorEastAsia" w:hAnsiTheme="minorEastAsia" w:eastAsiaTheme="minorEastAsia"/>
                <w:sz w:val="21"/>
                <w:lang w:eastAsia="zh-CN"/>
              </w:rPr>
              <w:t>50万元</w:t>
            </w:r>
            <w:r>
              <w:rPr>
                <w:rFonts w:hint="eastAsia" w:asciiTheme="minorEastAsia" w:hAnsiTheme="minorEastAsia" w:eastAsiaTheme="minorEastAsia"/>
                <w:sz w:val="21"/>
                <w:lang w:eastAsia="zh-CN"/>
              </w:rPr>
              <w:t>该项得满分，反之该项不得分</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center"/>
              <w:rPr>
                <w:rFonts w:asciiTheme="minorEastAsia" w:hAnsiTheme="minorEastAsia" w:eastAsiaTheme="minorEastAsia"/>
                <w:sz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482"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5"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21"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2"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1126"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社会治安防控体系健全性</w:t>
            </w:r>
          </w:p>
        </w:tc>
        <w:tc>
          <w:tcPr>
            <w:tcW w:w="48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1</w:t>
            </w:r>
          </w:p>
        </w:tc>
        <w:tc>
          <w:tcPr>
            <w:tcW w:w="3213"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社会治安防控体系健全性完好该项得满分，反之该项不得分</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firstLine="105"/>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482"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5"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21" w:type="dxa"/>
            <w:vMerge w:val="restart"/>
            <w:tcBorders>
              <w:top w:val="single" w:color="000000" w:sz="4" w:space="0"/>
              <w:left w:val="single" w:color="000000" w:sz="4" w:space="0"/>
              <w:right w:val="single" w:color="000000" w:sz="4" w:space="0"/>
            </w:tcBorders>
            <w:vAlign w:val="center"/>
          </w:tcPr>
          <w:p>
            <w:pPr>
              <w:pStyle w:val="20"/>
              <w:spacing w:before="102"/>
              <w:ind w:left="210" w:right="191"/>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满意度</w:t>
            </w:r>
          </w:p>
        </w:tc>
        <w:tc>
          <w:tcPr>
            <w:tcW w:w="512" w:type="dxa"/>
            <w:vMerge w:val="restart"/>
            <w:tcBorders>
              <w:top w:val="single" w:color="000000" w:sz="4" w:space="0"/>
              <w:left w:val="single" w:color="000000" w:sz="4" w:space="0"/>
              <w:right w:val="single" w:color="000000" w:sz="4" w:space="0"/>
            </w:tcBorders>
            <w:vAlign w:val="center"/>
          </w:tcPr>
          <w:p>
            <w:pPr>
              <w:pStyle w:val="20"/>
              <w:ind w:left="3"/>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8</w:t>
            </w:r>
          </w:p>
        </w:tc>
        <w:tc>
          <w:tcPr>
            <w:tcW w:w="1126"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公众安全感指数</w:t>
            </w:r>
          </w:p>
        </w:tc>
        <w:tc>
          <w:tcPr>
            <w:tcW w:w="48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3213"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公众安全感指数≥</w:t>
            </w:r>
            <w:r>
              <w:rPr>
                <w:rFonts w:asciiTheme="minorEastAsia" w:hAnsiTheme="minorEastAsia" w:eastAsiaTheme="minorEastAsia"/>
                <w:sz w:val="21"/>
                <w:lang w:eastAsia="zh-CN"/>
              </w:rPr>
              <w:t>90%</w:t>
            </w:r>
            <w:r>
              <w:rPr>
                <w:rFonts w:hint="eastAsia" w:asciiTheme="minorEastAsia" w:hAnsiTheme="minorEastAsia" w:eastAsiaTheme="minorEastAsia"/>
                <w:sz w:val="21"/>
                <w:lang w:eastAsia="zh-CN"/>
              </w:rPr>
              <w:t>该项得满分，反之酌情减分</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482"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515"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 w:val="21"/>
                <w:lang w:eastAsia="zh-CN"/>
              </w:rPr>
            </w:pPr>
          </w:p>
        </w:tc>
        <w:tc>
          <w:tcPr>
            <w:tcW w:w="621" w:type="dxa"/>
            <w:vMerge w:val="continue"/>
            <w:tcBorders>
              <w:left w:val="single" w:color="000000" w:sz="4" w:space="0"/>
              <w:right w:val="single" w:color="000000" w:sz="4" w:space="0"/>
            </w:tcBorders>
            <w:vAlign w:val="center"/>
          </w:tcPr>
          <w:p>
            <w:pPr>
              <w:pStyle w:val="20"/>
              <w:spacing w:before="102"/>
              <w:ind w:left="210" w:right="191"/>
              <w:jc w:val="center"/>
              <w:rPr>
                <w:rFonts w:asciiTheme="minorEastAsia" w:hAnsiTheme="minorEastAsia" w:eastAsiaTheme="minorEastAsia"/>
                <w:sz w:val="21"/>
                <w:lang w:eastAsia="zh-CN"/>
              </w:rPr>
            </w:pPr>
          </w:p>
        </w:tc>
        <w:tc>
          <w:tcPr>
            <w:tcW w:w="512" w:type="dxa"/>
            <w:vMerge w:val="continue"/>
            <w:tcBorders>
              <w:left w:val="single" w:color="000000" w:sz="4" w:space="0"/>
              <w:right w:val="single" w:color="000000" w:sz="4" w:space="0"/>
            </w:tcBorders>
            <w:vAlign w:val="center"/>
          </w:tcPr>
          <w:p>
            <w:pPr>
              <w:pStyle w:val="20"/>
              <w:ind w:left="3"/>
              <w:jc w:val="center"/>
              <w:rPr>
                <w:rFonts w:asciiTheme="minorEastAsia" w:hAnsiTheme="minorEastAsia" w:eastAsiaTheme="minorEastAsia"/>
                <w:sz w:val="21"/>
                <w:lang w:eastAsia="zh-CN"/>
              </w:rPr>
            </w:pPr>
          </w:p>
        </w:tc>
        <w:tc>
          <w:tcPr>
            <w:tcW w:w="1126"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公安执法满意度</w:t>
            </w:r>
          </w:p>
        </w:tc>
        <w:tc>
          <w:tcPr>
            <w:tcW w:w="48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3213"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满意度</w:t>
            </w:r>
            <w:r>
              <w:rPr>
                <w:rFonts w:asciiTheme="minorEastAsia" w:hAnsiTheme="minorEastAsia" w:eastAsiaTheme="minorEastAsia"/>
                <w:sz w:val="21"/>
                <w:lang w:eastAsia="zh-CN"/>
              </w:rPr>
              <w:t>=(满意*100％ +一般*60％+不满意*20％)满意度≥90％得满分，90％＞满意度≥60％按满意度*本项标准分值计算，满意度60％以下不得分</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6951" w:type="dxa"/>
            <w:gridSpan w:val="7"/>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合   计</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25</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21.1</w:t>
            </w:r>
          </w:p>
        </w:tc>
      </w:tr>
    </w:tbl>
    <w:p>
      <w:pPr>
        <w:spacing w:beforeLines="50" w:afterLines="50" w:line="360" w:lineRule="auto"/>
        <w:ind w:left="105" w:leftChars="50" w:right="105" w:rightChars="50" w:firstLine="600" w:firstLineChars="200"/>
        <w:jc w:val="center"/>
        <w:rPr>
          <w:sz w:val="30"/>
          <w:szCs w:val="30"/>
        </w:rPr>
      </w:pPr>
    </w:p>
    <w:p>
      <w:pPr>
        <w:spacing w:beforeLines="50" w:afterLines="50" w:line="360" w:lineRule="auto"/>
        <w:ind w:left="105" w:leftChars="50" w:right="105" w:rightChars="50" w:firstLine="600" w:firstLineChars="200"/>
        <w:rPr>
          <w:rFonts w:hint="eastAsia"/>
          <w:color w:val="000000" w:themeColor="text1"/>
          <w:sz w:val="30"/>
          <w:szCs w:val="30"/>
        </w:rPr>
      </w:pPr>
      <w:r>
        <w:rPr>
          <w:rFonts w:hint="eastAsia"/>
          <w:sz w:val="30"/>
          <w:szCs w:val="30"/>
        </w:rPr>
        <w:t>效益指标部分</w:t>
      </w:r>
      <w:r>
        <w:rPr>
          <w:rFonts w:hint="eastAsia"/>
          <w:b/>
          <w:sz w:val="30"/>
          <w:szCs w:val="30"/>
        </w:rPr>
        <w:t>主要得分点</w:t>
      </w:r>
      <w:r>
        <w:rPr>
          <w:rFonts w:hint="eastAsia"/>
          <w:sz w:val="30"/>
          <w:szCs w:val="30"/>
        </w:rPr>
        <w:t>：</w:t>
      </w:r>
      <w:r>
        <w:rPr>
          <w:rFonts w:hint="eastAsia"/>
          <w:color w:val="000000" w:themeColor="text1"/>
          <w:sz w:val="30"/>
          <w:szCs w:val="30"/>
        </w:rPr>
        <w:t xml:space="preserve">公安工作涉及社会生产、人民生活的方方面面，与各个领域、各个阶层、各个群体的利益密切相关，无论是社会治安管理、打击违法犯罪，还是维护国家、安全、归根到底都是要保障和促进社会的和谐稳定。公安机关的总体工作目标是“保增长、保民生、保稳定、促和谐”，陕州区公安局在本年度工作中挽回经济损失金额180万元，罚没资金追缴金额500万元，在维护社会稳定，保障人民群众安居乐业上起到了关键性作用。 </w:t>
      </w:r>
    </w:p>
    <w:p>
      <w:pPr>
        <w:spacing w:beforeLines="50" w:afterLines="50" w:line="360" w:lineRule="auto"/>
        <w:ind w:left="105" w:leftChars="50" w:right="105" w:rightChars="50" w:firstLine="600" w:firstLineChars="200"/>
        <w:rPr>
          <w:color w:val="000000" w:themeColor="text1"/>
          <w:sz w:val="30"/>
          <w:szCs w:val="30"/>
        </w:rPr>
      </w:pPr>
      <w:r>
        <w:rPr>
          <w:rFonts w:hint="eastAsia"/>
          <w:color w:val="000000" w:themeColor="text1"/>
          <w:sz w:val="30"/>
          <w:szCs w:val="30"/>
        </w:rPr>
        <w:t>效益指标部分</w:t>
      </w:r>
      <w:r>
        <w:rPr>
          <w:rFonts w:hint="eastAsia"/>
          <w:b/>
          <w:color w:val="000000" w:themeColor="text1"/>
          <w:sz w:val="30"/>
          <w:szCs w:val="30"/>
        </w:rPr>
        <w:t>主要扣分点</w:t>
      </w:r>
      <w:r>
        <w:rPr>
          <w:rFonts w:hint="eastAsia"/>
          <w:color w:val="000000" w:themeColor="text1"/>
          <w:sz w:val="30"/>
          <w:szCs w:val="30"/>
        </w:rPr>
        <w:t>：对于本年度刑事、治安案件发案数下降情况、戒毒管控率提升情况、交通事故死亡人数下降情况未提供量化数据，扣除相应分数，根据问卷调查数据，20%调查数据显示办案及时行不足。</w:t>
      </w:r>
    </w:p>
    <w:p>
      <w:pPr>
        <w:pStyle w:val="2"/>
        <w:rPr>
          <w:rFonts w:asciiTheme="minorEastAsia" w:hAnsiTheme="minorEastAsia"/>
          <w:sz w:val="32"/>
          <w:szCs w:val="32"/>
        </w:rPr>
      </w:pPr>
      <w:bookmarkStart w:id="17" w:name="_Toc93918211"/>
      <w:r>
        <w:rPr>
          <w:rFonts w:hint="eastAsia" w:asciiTheme="minorEastAsia" w:hAnsiTheme="minorEastAsia"/>
          <w:sz w:val="32"/>
          <w:szCs w:val="32"/>
        </w:rPr>
        <w:t>四、综合绩效评价情况及评价结论</w:t>
      </w:r>
      <w:bookmarkEnd w:id="17"/>
    </w:p>
    <w:p>
      <w:pPr>
        <w:pStyle w:val="2"/>
        <w:rPr>
          <w:rFonts w:asciiTheme="minorEastAsia" w:hAnsiTheme="minorEastAsia"/>
          <w:sz w:val="30"/>
          <w:szCs w:val="30"/>
        </w:rPr>
      </w:pPr>
      <w:bookmarkStart w:id="18" w:name="_Toc93918212"/>
      <w:r>
        <w:rPr>
          <w:rFonts w:hint="eastAsia" w:asciiTheme="minorEastAsia" w:hAnsiTheme="minorEastAsia"/>
          <w:sz w:val="30"/>
          <w:szCs w:val="30"/>
        </w:rPr>
        <w:t>（一）综合绩效评价情况</w:t>
      </w:r>
      <w:bookmarkEnd w:id="18"/>
    </w:p>
    <w:p>
      <w:pPr>
        <w:spacing w:beforeLines="50" w:afterLines="50" w:line="360" w:lineRule="auto"/>
        <w:ind w:left="105" w:leftChars="50" w:right="105" w:rightChars="50" w:firstLine="600" w:firstLineChars="200"/>
        <w:rPr>
          <w:rFonts w:asciiTheme="minorEastAsia" w:hAnsiTheme="minorEastAsia"/>
          <w:color w:val="000000" w:themeColor="text1"/>
          <w:sz w:val="30"/>
          <w:szCs w:val="30"/>
        </w:rPr>
      </w:pPr>
      <w:r>
        <w:rPr>
          <w:rFonts w:hint="eastAsia" w:asciiTheme="minorEastAsia" w:hAnsiTheme="minorEastAsia"/>
          <w:sz w:val="30"/>
          <w:szCs w:val="30"/>
        </w:rPr>
        <w:t>总体看，转移支付资金项目</w:t>
      </w:r>
      <w:r>
        <w:rPr>
          <w:rFonts w:hint="eastAsia" w:asciiTheme="minorEastAsia" w:hAnsiTheme="minorEastAsia"/>
          <w:color w:val="000000" w:themeColor="text1"/>
          <w:sz w:val="30"/>
          <w:szCs w:val="30"/>
        </w:rPr>
        <w:t>完成绩效目标情况良好，资金到位率及资金执行率均为100%，资金管理和使用制度健全，且资金的使用严格按照制度要求，产出效果良好，具体存在绩效目标设置不够细化的问题，根据问卷数据，部分群众对办案及时性及满意度未达到100%。</w:t>
      </w:r>
    </w:p>
    <w:p>
      <w:pPr>
        <w:pStyle w:val="3"/>
        <w:rPr>
          <w:rFonts w:asciiTheme="minorEastAsia" w:hAnsiTheme="minorEastAsia"/>
          <w:sz w:val="30"/>
          <w:szCs w:val="30"/>
        </w:rPr>
      </w:pPr>
      <w:bookmarkStart w:id="19" w:name="_Toc93918213"/>
      <w:r>
        <w:rPr>
          <w:rFonts w:hint="eastAsia" w:asciiTheme="minorEastAsia" w:hAnsiTheme="minorEastAsia"/>
          <w:sz w:val="30"/>
          <w:szCs w:val="30"/>
        </w:rPr>
        <w:t>（二）总体评价结论</w:t>
      </w:r>
      <w:bookmarkEnd w:id="19"/>
    </w:p>
    <w:p>
      <w:pPr>
        <w:spacing w:beforeLines="50" w:afterLines="50" w:line="360" w:lineRule="auto"/>
        <w:ind w:left="105" w:leftChars="50" w:right="105" w:rightChars="50" w:firstLine="600" w:firstLineChars="200"/>
        <w:rPr>
          <w:rFonts w:hint="eastAsia" w:asciiTheme="minorEastAsia" w:hAnsiTheme="minorEastAsia"/>
          <w:sz w:val="30"/>
          <w:szCs w:val="30"/>
        </w:rPr>
      </w:pPr>
      <w:r>
        <w:rPr>
          <w:rFonts w:hint="eastAsia" w:asciiTheme="minorEastAsia" w:hAnsiTheme="minorEastAsia"/>
          <w:sz w:val="30"/>
          <w:szCs w:val="30"/>
        </w:rPr>
        <w:t>依据绩效评价指标体系，经基础数据采集、分析、访谈等过程，评价组对转移支付资金项目进行客观评价。项目总体得分为</w:t>
      </w:r>
      <w:r>
        <w:rPr>
          <w:rFonts w:hint="eastAsia" w:asciiTheme="minorEastAsia" w:hAnsiTheme="minorEastAsia"/>
          <w:color w:val="000000" w:themeColor="text1"/>
          <w:sz w:val="30"/>
          <w:szCs w:val="30"/>
        </w:rPr>
        <w:t>92.</w:t>
      </w:r>
      <w:r>
        <w:rPr>
          <w:rFonts w:hint="eastAsia" w:asciiTheme="minorEastAsia" w:hAnsiTheme="minorEastAsia"/>
          <w:color w:val="000000" w:themeColor="text1"/>
          <w:sz w:val="30"/>
          <w:szCs w:val="30"/>
          <w:lang w:val="en-US" w:eastAsia="zh-CN"/>
        </w:rPr>
        <w:t>8</w:t>
      </w:r>
      <w:r>
        <w:rPr>
          <w:rFonts w:hint="eastAsia" w:asciiTheme="minorEastAsia" w:hAnsiTheme="minorEastAsia"/>
          <w:sz w:val="30"/>
          <w:szCs w:val="30"/>
        </w:rPr>
        <w:t>分，按照财政部《项目支出绩效评价管理办法》(财预202010号)明确的评价等级设置，该项目评价等级为“优”。具体得分情况见下表：</w:t>
      </w:r>
    </w:p>
    <w:p>
      <w:pPr>
        <w:spacing w:beforeLines="50" w:afterLines="50" w:line="360" w:lineRule="auto"/>
        <w:ind w:left="105" w:leftChars="50" w:right="105" w:rightChars="50"/>
        <w:jc w:val="center"/>
        <w:rPr>
          <w:rFonts w:asciiTheme="minorEastAsia" w:hAnsiTheme="minorEastAsia"/>
          <w:sz w:val="30"/>
          <w:szCs w:val="30"/>
        </w:rPr>
      </w:pPr>
      <w:r>
        <w:rPr>
          <w:rFonts w:hint="eastAsia" w:asciiTheme="minorEastAsia" w:hAnsiTheme="minorEastAsia"/>
          <w:b/>
          <w:sz w:val="30"/>
          <w:szCs w:val="30"/>
        </w:rPr>
        <w:t>表2   转移支付资金项目</w:t>
      </w:r>
    </w:p>
    <w:p>
      <w:pPr>
        <w:spacing w:beforeLines="50" w:afterLines="50" w:line="360" w:lineRule="auto"/>
        <w:ind w:right="105" w:rightChars="50"/>
        <w:jc w:val="center"/>
        <w:rPr>
          <w:rFonts w:asciiTheme="minorEastAsia" w:hAnsiTheme="minorEastAsia"/>
          <w:b/>
          <w:sz w:val="30"/>
          <w:szCs w:val="30"/>
        </w:rPr>
      </w:pPr>
      <w:r>
        <w:rPr>
          <w:rFonts w:hint="eastAsia" w:asciiTheme="minorEastAsia" w:hAnsiTheme="minorEastAsia"/>
          <w:b/>
          <w:sz w:val="30"/>
          <w:szCs w:val="30"/>
        </w:rPr>
        <w:t xml:space="preserve">      绩效评价得分表</w:t>
      </w:r>
    </w:p>
    <w:tbl>
      <w:tblPr>
        <w:tblStyle w:val="21"/>
        <w:tblW w:w="83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9"/>
        <w:gridCol w:w="851"/>
        <w:gridCol w:w="1559"/>
        <w:gridCol w:w="2552"/>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23"/>
              <w:jc w:val="center"/>
              <w:rPr>
                <w:rFonts w:ascii="宋体" w:hAnsi="宋体" w:eastAsia="宋体"/>
                <w:b/>
                <w:sz w:val="21"/>
                <w:szCs w:val="21"/>
                <w:lang w:eastAsia="en-US"/>
              </w:rPr>
            </w:pPr>
            <w:r>
              <w:rPr>
                <w:rFonts w:hint="eastAsia" w:ascii="宋体" w:hAnsi="宋体" w:eastAsia="宋体"/>
                <w:b/>
                <w:sz w:val="21"/>
                <w:szCs w:val="21"/>
                <w:lang w:eastAsia="en-US"/>
              </w:rPr>
              <w:t>一级指标</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0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95"/>
              <w:jc w:val="center"/>
              <w:rPr>
                <w:rFonts w:ascii="宋体" w:hAnsi="宋体" w:eastAsia="宋体"/>
                <w:b/>
                <w:sz w:val="21"/>
                <w:szCs w:val="21"/>
                <w:lang w:eastAsia="en-US"/>
              </w:rPr>
            </w:pPr>
            <w:r>
              <w:rPr>
                <w:rFonts w:hint="eastAsia" w:ascii="宋体" w:hAnsi="宋体" w:eastAsia="宋体"/>
                <w:b/>
                <w:sz w:val="21"/>
                <w:szCs w:val="21"/>
                <w:lang w:eastAsia="en-US"/>
              </w:rPr>
              <w:t>二级指标</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jc w:val="center"/>
              <w:rPr>
                <w:rFonts w:ascii="宋体" w:hAnsi="宋体" w:eastAsia="宋体"/>
                <w:b/>
                <w:sz w:val="21"/>
                <w:szCs w:val="21"/>
                <w:lang w:eastAsia="en-US"/>
              </w:rPr>
            </w:pPr>
            <w:r>
              <w:rPr>
                <w:rFonts w:hint="eastAsia" w:ascii="宋体" w:hAnsi="宋体" w:eastAsia="宋体"/>
                <w:b/>
                <w:sz w:val="21"/>
                <w:szCs w:val="21"/>
                <w:lang w:eastAsia="en-US"/>
              </w:rPr>
              <w:t>三级指标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0"/>
              <w:jc w:val="center"/>
              <w:rPr>
                <w:rFonts w:ascii="宋体" w:hAnsi="宋体" w:eastAsia="宋体"/>
                <w:b/>
                <w:sz w:val="21"/>
                <w:szCs w:val="21"/>
                <w:lang w:eastAsia="en-US"/>
              </w:rPr>
            </w:pPr>
            <w:r>
              <w:rPr>
                <w:rFonts w:hint="eastAsia" w:ascii="宋体" w:hAnsi="宋体" w:eastAsia="宋体"/>
                <w:b/>
                <w:sz w:val="21"/>
                <w:szCs w:val="21"/>
                <w:lang w:eastAsia="en-US"/>
              </w:rPr>
              <w:t>标准分值</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0"/>
              <w:jc w:val="center"/>
              <w:rPr>
                <w:rFonts w:ascii="宋体" w:hAnsi="宋体" w:eastAsia="宋体"/>
                <w:b/>
                <w:sz w:val="21"/>
                <w:szCs w:val="21"/>
                <w:lang w:eastAsia="en-US"/>
              </w:rPr>
            </w:pPr>
            <w:r>
              <w:rPr>
                <w:rFonts w:hint="eastAsia" w:ascii="宋体" w:hAnsi="宋体" w:eastAsia="宋体"/>
                <w:b/>
                <w:sz w:val="21"/>
                <w:szCs w:val="21"/>
                <w:lang w:eastAsia="en-US"/>
              </w:rPr>
              <w:t>实际得分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top w:val="single" w:color="000000" w:sz="4" w:space="0"/>
              <w:left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决策</w:t>
            </w:r>
          </w:p>
        </w:tc>
        <w:tc>
          <w:tcPr>
            <w:tcW w:w="851" w:type="dxa"/>
            <w:vMerge w:val="restart"/>
            <w:tcBorders>
              <w:top w:val="single" w:color="000000" w:sz="4" w:space="0"/>
              <w:left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1559" w:type="dxa"/>
            <w:vMerge w:val="restart"/>
            <w:tcBorders>
              <w:top w:val="single" w:color="000000" w:sz="4" w:space="0"/>
              <w:left w:val="single" w:color="000000" w:sz="4" w:space="0"/>
              <w:right w:val="single" w:color="000000" w:sz="4" w:space="0"/>
            </w:tcBorders>
            <w:vAlign w:val="center"/>
          </w:tcPr>
          <w:p>
            <w:pPr>
              <w:pStyle w:val="20"/>
              <w:spacing w:before="97"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项目立项</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18"/>
              <w:jc w:val="center"/>
              <w:rPr>
                <w:rFonts w:ascii="宋体" w:hAnsi="宋体" w:eastAsia="宋体"/>
                <w:sz w:val="21"/>
                <w:szCs w:val="21"/>
                <w:lang w:eastAsia="en-US"/>
              </w:rPr>
            </w:pPr>
            <w:r>
              <w:rPr>
                <w:rFonts w:hint="eastAsia" w:ascii="宋体" w:hAnsi="宋体" w:eastAsia="宋体"/>
                <w:sz w:val="21"/>
                <w:szCs w:val="21"/>
                <w:lang w:eastAsia="en-US"/>
              </w:rPr>
              <w:t>立项依据充分性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851" w:type="dxa"/>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1559" w:type="dxa"/>
            <w:vMerge w:val="continue"/>
            <w:tcBorders>
              <w:left w:val="single" w:color="000000" w:sz="4" w:space="0"/>
              <w:bottom w:val="single" w:color="000000" w:sz="4" w:space="0"/>
              <w:right w:val="single" w:color="000000" w:sz="4" w:space="0"/>
            </w:tcBorders>
            <w:vAlign w:val="center"/>
          </w:tcPr>
          <w:p>
            <w:pPr>
              <w:pStyle w:val="20"/>
              <w:jc w:val="both"/>
              <w:rPr>
                <w:rFonts w:ascii="宋体" w:hAnsi="宋体" w:eastAsia="宋体"/>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18"/>
              <w:jc w:val="center"/>
              <w:rPr>
                <w:rFonts w:ascii="宋体" w:hAnsi="宋体" w:eastAsia="宋体"/>
                <w:sz w:val="21"/>
                <w:szCs w:val="21"/>
                <w:lang w:eastAsia="en-US"/>
              </w:rPr>
            </w:pPr>
            <w:r>
              <w:rPr>
                <w:rFonts w:hint="eastAsia" w:ascii="宋体" w:hAnsi="宋体" w:eastAsia="宋体"/>
                <w:sz w:val="21"/>
                <w:szCs w:val="21"/>
                <w:lang w:eastAsia="en-US"/>
              </w:rPr>
              <w:t>立项程序规范性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绩效目标</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18"/>
              <w:jc w:val="center"/>
              <w:rPr>
                <w:rFonts w:ascii="宋体" w:hAnsi="宋体" w:eastAsia="宋体"/>
                <w:sz w:val="21"/>
                <w:szCs w:val="21"/>
                <w:lang w:eastAsia="en-US"/>
              </w:rPr>
            </w:pPr>
            <w:r>
              <w:rPr>
                <w:rFonts w:hint="eastAsia" w:ascii="宋体" w:hAnsi="宋体" w:eastAsia="宋体"/>
                <w:sz w:val="21"/>
                <w:szCs w:val="21"/>
                <w:lang w:eastAsia="en-US"/>
              </w:rPr>
              <w:t>绩效目标合理性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8"/>
              <w:jc w:val="center"/>
              <w:rPr>
                <w:rFonts w:ascii="宋体" w:hAnsi="宋体" w:eastAsia="宋体"/>
                <w:sz w:val="21"/>
                <w:szCs w:val="21"/>
                <w:lang w:eastAsia="en-US"/>
              </w:rPr>
            </w:pPr>
            <w:r>
              <w:rPr>
                <w:rFonts w:hint="eastAsia" w:ascii="宋体" w:hAnsi="宋体" w:eastAsia="宋体"/>
                <w:sz w:val="21"/>
                <w:szCs w:val="21"/>
                <w:lang w:eastAsia="en-US"/>
              </w:rPr>
              <w:t>绩效指标明确性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资金投入</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18"/>
              <w:jc w:val="center"/>
              <w:rPr>
                <w:rFonts w:ascii="宋体" w:hAnsi="宋体" w:eastAsia="宋体"/>
                <w:sz w:val="21"/>
                <w:szCs w:val="21"/>
                <w:lang w:eastAsia="en-US"/>
              </w:rPr>
            </w:pPr>
            <w:r>
              <w:rPr>
                <w:rFonts w:hint="eastAsia" w:ascii="宋体" w:hAnsi="宋体" w:eastAsia="宋体"/>
                <w:sz w:val="21"/>
                <w:szCs w:val="21"/>
                <w:lang w:eastAsia="en-US"/>
              </w:rPr>
              <w:t>预算编制科学性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jc w:val="both"/>
              <w:rPr>
                <w:rFonts w:ascii="宋体" w:hAnsi="宋体" w:eastAsia="宋体"/>
                <w:sz w:val="21"/>
                <w:szCs w:val="21"/>
                <w:lang w:eastAsia="en-US"/>
              </w:rPr>
            </w:pPr>
            <w:r>
              <w:rPr>
                <w:rFonts w:hint="eastAsia" w:ascii="宋体" w:hAnsi="宋体" w:eastAsia="宋体"/>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rPr>
                <w:rFonts w:hint="eastAsia" w:ascii="宋体" w:hAnsi="宋体" w:eastAsia="宋体"/>
                <w:sz w:val="21"/>
                <w:szCs w:val="21"/>
                <w:lang w:eastAsia="zh-CN"/>
              </w:rPr>
            </w:pPr>
            <w:r>
              <w:rPr>
                <w:rFonts w:hint="eastAsia" w:ascii="宋体" w:hAnsi="宋体" w:eastAsia="宋体"/>
                <w:sz w:val="21"/>
                <w:szCs w:val="21"/>
                <w:lang w:eastAsia="zh-C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资金分配合理性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top w:val="single" w:color="000000" w:sz="4" w:space="0"/>
              <w:left w:val="single" w:color="000000" w:sz="4" w:space="0"/>
              <w:bottom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过程</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25</w:t>
            </w: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资金管理</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ind w:right="99"/>
              <w:jc w:val="center"/>
              <w:rPr>
                <w:rFonts w:ascii="宋体" w:hAnsi="宋体" w:eastAsia="宋体"/>
                <w:sz w:val="21"/>
                <w:szCs w:val="21"/>
                <w:lang w:eastAsia="en-US"/>
              </w:rPr>
            </w:pPr>
            <w:r>
              <w:rPr>
                <w:rFonts w:hint="eastAsia" w:ascii="宋体" w:hAnsi="宋体" w:eastAsia="宋体"/>
                <w:sz w:val="21"/>
                <w:szCs w:val="21"/>
                <w:lang w:eastAsia="en-US"/>
              </w:rPr>
              <w:t>资金到位率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5"/>
              <w:jc w:val="center"/>
              <w:rPr>
                <w:rFonts w:ascii="宋体" w:hAnsi="宋体" w:eastAsia="宋体"/>
                <w:sz w:val="21"/>
                <w:szCs w:val="21"/>
                <w:lang w:eastAsia="en-US"/>
              </w:rPr>
            </w:pPr>
          </w:p>
          <w:p>
            <w:pPr>
              <w:pStyle w:val="20"/>
              <w:spacing w:before="1"/>
              <w:ind w:right="99"/>
              <w:jc w:val="center"/>
              <w:rPr>
                <w:rFonts w:ascii="宋体" w:hAnsi="宋体" w:eastAsia="宋体"/>
                <w:sz w:val="21"/>
                <w:szCs w:val="21"/>
                <w:lang w:eastAsia="en-US"/>
              </w:rPr>
            </w:pPr>
            <w:r>
              <w:rPr>
                <w:rFonts w:hint="eastAsia" w:ascii="宋体" w:hAnsi="宋体" w:eastAsia="宋体"/>
                <w:sz w:val="21"/>
                <w:szCs w:val="21"/>
                <w:lang w:eastAsia="en-US"/>
              </w:rPr>
              <w:t>预算执行率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jc w:val="both"/>
              <w:rPr>
                <w:rFonts w:ascii="宋体" w:hAnsi="宋体" w:eastAsia="宋体"/>
                <w:sz w:val="21"/>
                <w:szCs w:val="21"/>
                <w:lang w:eastAsia="en-US"/>
              </w:rPr>
            </w:pPr>
            <w:r>
              <w:rPr>
                <w:rFonts w:hint="eastAsia" w:ascii="宋体" w:hAnsi="宋体" w:eastAsia="宋体"/>
                <w:sz w:val="21"/>
                <w:szCs w:val="21"/>
                <w:lang w:eastAsia="en-US"/>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rPr>
                <w:rFonts w:hint="eastAsia" w:ascii="宋体" w:hAnsi="宋体" w:eastAsia="宋体"/>
                <w:sz w:val="21"/>
                <w:szCs w:val="21"/>
                <w:lang w:eastAsia="zh-CN"/>
              </w:rPr>
            </w:pPr>
            <w:r>
              <w:rPr>
                <w:rFonts w:hint="eastAsia" w:ascii="宋体" w:hAnsi="宋体" w:eastAsia="宋体"/>
                <w:sz w:val="21"/>
                <w:szCs w:val="21"/>
                <w:lang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资金使用合规性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组织实施</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管理制度健全性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5</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4.</w:t>
            </w:r>
            <w:r>
              <w:rPr>
                <w:rFonts w:hint="eastAsia" w:ascii="宋体" w:hAnsi="宋体" w:eastAsia="宋体"/>
                <w:sz w:val="21"/>
                <w:szCs w:val="21"/>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制度执行有效性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5</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3.</w:t>
            </w:r>
            <w:r>
              <w:rPr>
                <w:rFonts w:hint="eastAsia" w:ascii="宋体" w:hAnsi="宋体" w:eastAsia="宋体"/>
                <w:sz w:val="21"/>
                <w:szCs w:val="21"/>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top w:val="single" w:color="000000" w:sz="4" w:space="0"/>
              <w:left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产出</w:t>
            </w:r>
          </w:p>
        </w:tc>
        <w:tc>
          <w:tcPr>
            <w:tcW w:w="851" w:type="dxa"/>
            <w:vMerge w:val="restart"/>
            <w:tcBorders>
              <w:top w:val="single" w:color="000000" w:sz="4" w:space="0"/>
              <w:left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35</w:t>
            </w:r>
          </w:p>
        </w:tc>
        <w:tc>
          <w:tcPr>
            <w:tcW w:w="1559" w:type="dxa"/>
            <w:vMerge w:val="restart"/>
            <w:tcBorders>
              <w:top w:val="single" w:color="000000" w:sz="4" w:space="0"/>
              <w:left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产出数量</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支持市县公安机关数量（个）</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宋体" w:hAnsi="宋体" w:eastAsia="宋体"/>
                <w:sz w:val="21"/>
                <w:szCs w:val="21"/>
                <w:lang w:eastAsia="en-US"/>
              </w:rPr>
            </w:pPr>
            <w:r>
              <w:rPr>
                <w:rFonts w:hint="eastAsia" w:ascii="宋体" w:hAnsi="宋体" w:eastAsia="宋体"/>
                <w:sz w:val="21"/>
                <w:szCs w:val="21"/>
                <w:lang w:eastAsia="en-US"/>
              </w:rPr>
              <w:t>治安拘留人次</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刑事拘留人次</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en-US"/>
              </w:rPr>
            </w:pPr>
            <w:r>
              <w:rPr>
                <w:rFonts w:hint="eastAsia" w:ascii="宋体" w:hAnsi="宋体" w:eastAsia="宋体"/>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zh-CN"/>
              </w:rPr>
            </w:pPr>
            <w:r>
              <w:rPr>
                <w:rFonts w:hint="eastAsia" w:asciiTheme="minorEastAsia" w:hAnsiTheme="minorEastAsia" w:eastAsiaTheme="minorEastAsia"/>
                <w:sz w:val="21"/>
                <w:lang w:eastAsia="zh-CN"/>
              </w:rPr>
              <w:t>逮捕犯罪嫌疑人人次</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hint="eastAsia"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eastAsia" w:asciiTheme="minorEastAsia" w:hAnsiTheme="minorEastAsia" w:eastAsiaTheme="minorEastAsia"/>
                <w:sz w:val="21"/>
                <w:lang w:eastAsia="en-US"/>
              </w:rPr>
            </w:pPr>
            <w:r>
              <w:rPr>
                <w:rFonts w:hint="eastAsia" w:asciiTheme="minorEastAsia" w:hAnsiTheme="minorEastAsia" w:eastAsiaTheme="minorEastAsia"/>
                <w:sz w:val="21"/>
                <w:lang w:eastAsia="zh-CN"/>
              </w:rPr>
              <w:t>刑事案件立案数量</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hint="eastAsia"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有效管控涉稳人员数</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侦查终结刑事案件数量</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宋体" w:hAnsi="宋体" w:eastAsia="宋体"/>
                <w:sz w:val="21"/>
                <w:szCs w:val="21"/>
                <w:lang w:eastAsia="zh-CN"/>
              </w:rPr>
            </w:pPr>
            <w:r>
              <w:rPr>
                <w:rFonts w:hint="eastAsia" w:ascii="宋体" w:hAnsi="宋体" w:eastAsia="宋体"/>
                <w:sz w:val="21"/>
                <w:szCs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zh-CN"/>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zh-CN"/>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结案行政案件数量</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宋体" w:hAnsi="宋体" w:eastAsia="宋体"/>
                <w:sz w:val="21"/>
                <w:szCs w:val="21"/>
                <w:lang w:eastAsia="zh-CN"/>
              </w:rPr>
            </w:pPr>
            <w:r>
              <w:rPr>
                <w:rFonts w:hint="eastAsia" w:ascii="宋体" w:hAnsi="宋体" w:eastAsia="宋体"/>
                <w:sz w:val="21"/>
                <w:szCs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zh-CN"/>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zh-CN"/>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强制隔离戒毒人数</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宋体" w:hAnsi="宋体" w:eastAsia="宋体"/>
                <w:sz w:val="21"/>
                <w:szCs w:val="21"/>
                <w:lang w:eastAsia="zh-CN"/>
              </w:rPr>
            </w:pPr>
            <w:r>
              <w:rPr>
                <w:rFonts w:hint="eastAsia" w:ascii="宋体" w:hAnsi="宋体" w:eastAsia="宋体"/>
                <w:sz w:val="21"/>
                <w:szCs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缴获毒品数量</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公安机关业务装备购置数量</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zh-CN"/>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zh-CN"/>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实战训练次数</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zh-CN"/>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zh-CN"/>
              </w:rPr>
            </w:pPr>
          </w:p>
        </w:tc>
        <w:tc>
          <w:tcPr>
            <w:tcW w:w="1559" w:type="dxa"/>
            <w:vMerge w:val="continue"/>
            <w:tcBorders>
              <w:left w:val="single" w:color="000000" w:sz="4" w:space="0"/>
              <w:bottom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实战训练参训人次</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宋体" w:hAnsi="宋体" w:eastAsia="宋体"/>
                <w:sz w:val="21"/>
                <w:szCs w:val="21"/>
                <w:lang w:eastAsia="zh-CN"/>
              </w:rPr>
            </w:pPr>
            <w:r>
              <w:rPr>
                <w:rFonts w:hint="eastAsia" w:ascii="宋体" w:hAnsi="宋体" w:eastAsia="宋体"/>
                <w:sz w:val="21"/>
                <w:szCs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zh-CN"/>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zh-CN"/>
              </w:rPr>
            </w:pPr>
          </w:p>
        </w:tc>
        <w:tc>
          <w:tcPr>
            <w:tcW w:w="1559" w:type="dxa"/>
            <w:vMerge w:val="restart"/>
            <w:tcBorders>
              <w:top w:val="single" w:color="000000" w:sz="4" w:space="0"/>
              <w:left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产出质量</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命案侦破率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top w:val="single" w:color="000000" w:sz="4" w:space="0"/>
              <w:left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公安民警培训合格率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重大安保任务无差错率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购置装备验收合格率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restart"/>
            <w:tcBorders>
              <w:top w:val="single" w:color="000000" w:sz="4" w:space="0"/>
              <w:left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产出时效</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受理案件及时性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jc w:val="both"/>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rPr>
                <w:rFonts w:hint="eastAsia" w:ascii="宋体" w:hAnsi="宋体" w:eastAsia="宋体"/>
                <w:sz w:val="21"/>
                <w:szCs w:val="21"/>
                <w:lang w:eastAsia="zh-CN"/>
              </w:rPr>
            </w:pPr>
            <w:r>
              <w:rPr>
                <w:rFonts w:hint="eastAsia" w:ascii="宋体" w:hAnsi="宋体" w:eastAsia="宋体"/>
                <w:sz w:val="21"/>
                <w:szCs w:val="21"/>
                <w:lang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装备釆购完成及时性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jc w:val="center"/>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jc w:val="center"/>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实战训练开展及时性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jc w:val="center"/>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jc w:val="center"/>
              <w:rPr>
                <w:rFonts w:hint="eastAsia" w:ascii="宋体" w:hAnsi="宋体" w:eastAsia="宋体"/>
                <w:sz w:val="21"/>
                <w:szCs w:val="21"/>
                <w:lang w:eastAsia="zh-CN"/>
              </w:rPr>
            </w:pPr>
            <w:r>
              <w:rPr>
                <w:rFonts w:hint="eastAsia" w:ascii="宋体" w:hAnsi="宋体" w:eastAsia="宋体"/>
                <w:sz w:val="21"/>
                <w:szCs w:val="21"/>
                <w:lang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851"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Cs w:val="21"/>
                <w:lang w:eastAsia="en-US"/>
              </w:rPr>
            </w:pPr>
          </w:p>
        </w:tc>
        <w:tc>
          <w:tcPr>
            <w:tcW w:w="1559" w:type="dxa"/>
            <w:tcBorders>
              <w:top w:val="single" w:color="000000" w:sz="4" w:space="0"/>
              <w:left w:val="single" w:color="000000" w:sz="4" w:space="0"/>
              <w:right w:val="single" w:color="000000" w:sz="4" w:space="0"/>
            </w:tcBorders>
            <w:vAlign w:val="center"/>
          </w:tcPr>
          <w:p>
            <w:pPr>
              <w:pStyle w:val="20"/>
              <w:spacing w:before="101"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产出成本</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成本控制</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宋体" w:hAnsi="宋体" w:eastAsia="宋体"/>
                <w:sz w:val="21"/>
                <w:szCs w:val="21"/>
                <w:lang w:eastAsia="en-US"/>
              </w:rPr>
            </w:pPr>
            <w:r>
              <w:rPr>
                <w:rFonts w:hint="eastAsia" w:ascii="宋体" w:hAnsi="宋体" w:eastAsia="宋体"/>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效益</w:t>
            </w:r>
          </w:p>
        </w:tc>
        <w:tc>
          <w:tcPr>
            <w:tcW w:w="851" w:type="dxa"/>
            <w:vMerge w:val="restart"/>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r>
              <w:rPr>
                <w:rFonts w:hint="eastAsia" w:ascii="宋体" w:hAnsi="宋体" w:eastAsia="宋体"/>
                <w:sz w:val="21"/>
                <w:szCs w:val="21"/>
                <w:lang w:eastAsia="en-US"/>
              </w:rPr>
              <w:t>25</w:t>
            </w:r>
          </w:p>
        </w:tc>
        <w:tc>
          <w:tcPr>
            <w:tcW w:w="1559" w:type="dxa"/>
            <w:vMerge w:val="restart"/>
            <w:tcBorders>
              <w:left w:val="single" w:color="000000" w:sz="4" w:space="0"/>
              <w:right w:val="single" w:color="000000" w:sz="4" w:space="0"/>
            </w:tcBorders>
            <w:vAlign w:val="center"/>
          </w:tcPr>
          <w:p>
            <w:pPr>
              <w:pStyle w:val="20"/>
              <w:spacing w:line="242" w:lineRule="auto"/>
              <w:ind w:left="420" w:right="191"/>
              <w:jc w:val="both"/>
              <w:rPr>
                <w:rFonts w:ascii="宋体" w:hAnsi="宋体" w:eastAsia="宋体"/>
                <w:sz w:val="21"/>
                <w:szCs w:val="21"/>
                <w:lang w:eastAsia="en-US"/>
              </w:rPr>
            </w:pPr>
            <w:r>
              <w:rPr>
                <w:rFonts w:hint="eastAsia" w:ascii="宋体" w:hAnsi="宋体" w:eastAsia="宋体"/>
                <w:sz w:val="21"/>
                <w:szCs w:val="21"/>
                <w:lang w:eastAsia="en-US"/>
              </w:rPr>
              <w:t>社会效益</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刑事、治安案件发案数下降情况</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5"/>
              <w:jc w:val="center"/>
              <w:rPr>
                <w:rFonts w:ascii="宋体" w:hAnsi="宋体" w:eastAsia="宋体"/>
                <w:sz w:val="21"/>
                <w:szCs w:val="21"/>
                <w:lang w:eastAsia="en-US"/>
              </w:rPr>
            </w:pPr>
            <w:r>
              <w:rPr>
                <w:rFonts w:hint="eastAsia" w:ascii="宋体" w:hAnsi="宋体" w:eastAsia="宋体"/>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5"/>
              <w:jc w:val="center"/>
              <w:rPr>
                <w:rFonts w:hint="eastAsia" w:ascii="宋体" w:hAnsi="宋体" w:eastAsia="宋体"/>
                <w:sz w:val="21"/>
                <w:szCs w:val="21"/>
                <w:lang w:eastAsia="zh-CN"/>
              </w:rPr>
            </w:pPr>
            <w:r>
              <w:rPr>
                <w:rFonts w:hint="eastAsia" w:ascii="宋体" w:hAnsi="宋体" w:eastAsia="宋体"/>
                <w:sz w:val="21"/>
                <w:szCs w:val="21"/>
                <w:lang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pStyle w:val="20"/>
              <w:spacing w:before="102"/>
              <w:ind w:left="420" w:right="191"/>
              <w:jc w:val="both"/>
              <w:rPr>
                <w:rFonts w:ascii="宋体" w:hAnsi="宋体" w:eastAsia="宋体"/>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戒毒管控率提升情况</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pStyle w:val="20"/>
              <w:spacing w:before="102"/>
              <w:ind w:left="420" w:right="191"/>
              <w:jc w:val="both"/>
              <w:rPr>
                <w:rFonts w:ascii="宋体" w:hAnsi="宋体" w:eastAsia="宋体"/>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交通事故死亡人数下降情况</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宋体" w:hAnsi="宋体" w:eastAsia="宋体"/>
                <w:sz w:val="21"/>
                <w:szCs w:val="21"/>
                <w:lang w:eastAsia="zh-CN"/>
              </w:rPr>
            </w:pPr>
            <w:r>
              <w:rPr>
                <w:rFonts w:hint="eastAsia" w:ascii="宋体" w:hAnsi="宋体" w:eastAsia="宋体"/>
                <w:sz w:val="21"/>
                <w:szCs w:val="21"/>
                <w:lang w:eastAsia="zh-C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851"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1559" w:type="dxa"/>
            <w:vMerge w:val="continue"/>
            <w:tcBorders>
              <w:left w:val="single" w:color="000000" w:sz="4" w:space="0"/>
              <w:right w:val="single" w:color="000000" w:sz="4" w:space="0"/>
            </w:tcBorders>
            <w:vAlign w:val="center"/>
          </w:tcPr>
          <w:p>
            <w:pPr>
              <w:pStyle w:val="20"/>
              <w:spacing w:before="102"/>
              <w:ind w:left="420" w:right="191"/>
              <w:jc w:val="both"/>
              <w:rPr>
                <w:rFonts w:ascii="宋体" w:hAnsi="宋体" w:eastAsia="宋体"/>
                <w:sz w:val="21"/>
                <w:szCs w:val="21"/>
                <w:lang w:eastAsia="zh-CN"/>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促进社会治安稳定情况</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宋体" w:hAnsi="宋体" w:eastAsia="宋体"/>
                <w:sz w:val="21"/>
                <w:szCs w:val="21"/>
                <w:lang w:eastAsia="zh-CN"/>
              </w:rPr>
            </w:pPr>
            <w:r>
              <w:rPr>
                <w:rFonts w:hint="eastAsia" w:ascii="宋体" w:hAnsi="宋体" w:eastAsia="宋体"/>
                <w:sz w:val="21"/>
                <w:szCs w:val="21"/>
                <w:lang w:eastAsia="zh-CN"/>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宋体" w:hAnsi="宋体" w:eastAsia="宋体"/>
                <w:sz w:val="21"/>
                <w:szCs w:val="21"/>
                <w:lang w:eastAsia="zh-CN"/>
              </w:rPr>
            </w:pPr>
            <w:r>
              <w:rPr>
                <w:rFonts w:hint="eastAsia" w:ascii="宋体" w:hAnsi="宋体" w:eastAsia="宋体"/>
                <w:sz w:val="21"/>
                <w:szCs w:val="21"/>
                <w:lang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851"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1559" w:type="dxa"/>
            <w:vMerge w:val="continue"/>
            <w:tcBorders>
              <w:left w:val="single" w:color="000000" w:sz="4" w:space="0"/>
              <w:right w:val="single" w:color="000000" w:sz="4" w:space="0"/>
            </w:tcBorders>
            <w:vAlign w:val="center"/>
          </w:tcPr>
          <w:p>
            <w:pPr>
              <w:pStyle w:val="20"/>
              <w:spacing w:before="102"/>
              <w:ind w:left="420" w:right="191"/>
              <w:jc w:val="both"/>
              <w:rPr>
                <w:rFonts w:ascii="宋体" w:hAnsi="宋体" w:eastAsia="宋体"/>
                <w:sz w:val="21"/>
                <w:szCs w:val="21"/>
                <w:lang w:eastAsia="zh-CN"/>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人民群众生命财产安全保障</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宋体" w:hAnsi="宋体" w:eastAsia="宋体"/>
                <w:sz w:val="21"/>
                <w:szCs w:val="21"/>
                <w:lang w:eastAsia="zh-CN"/>
              </w:rPr>
            </w:pPr>
            <w:r>
              <w:rPr>
                <w:rFonts w:hint="eastAsia" w:ascii="宋体" w:hAnsi="宋体" w:eastAsia="宋体"/>
                <w:sz w:val="21"/>
                <w:szCs w:val="21"/>
                <w:lang w:eastAsia="zh-C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851"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1559" w:type="dxa"/>
            <w:vMerge w:val="continue"/>
            <w:tcBorders>
              <w:left w:val="single" w:color="000000" w:sz="4" w:space="0"/>
              <w:right w:val="single" w:color="000000" w:sz="4" w:space="0"/>
            </w:tcBorders>
            <w:vAlign w:val="center"/>
          </w:tcPr>
          <w:p>
            <w:pPr>
              <w:pStyle w:val="20"/>
              <w:spacing w:before="102"/>
              <w:ind w:left="420" w:right="191"/>
              <w:jc w:val="both"/>
              <w:rPr>
                <w:rFonts w:ascii="宋体" w:hAnsi="宋体" w:eastAsia="宋体"/>
                <w:sz w:val="21"/>
                <w:szCs w:val="21"/>
                <w:lang w:eastAsia="zh-CN"/>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挽回经济损失金额</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851"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1559" w:type="dxa"/>
            <w:vMerge w:val="continue"/>
            <w:tcBorders>
              <w:left w:val="single" w:color="000000" w:sz="4" w:space="0"/>
              <w:right w:val="single" w:color="000000" w:sz="4" w:space="0"/>
            </w:tcBorders>
            <w:vAlign w:val="center"/>
          </w:tcPr>
          <w:p>
            <w:pPr>
              <w:pStyle w:val="20"/>
              <w:spacing w:before="102"/>
              <w:ind w:left="420" w:right="191"/>
              <w:jc w:val="both"/>
              <w:rPr>
                <w:rFonts w:ascii="宋体" w:hAnsi="宋体" w:eastAsia="宋体"/>
                <w:sz w:val="21"/>
                <w:szCs w:val="21"/>
                <w:lang w:eastAsia="zh-CN"/>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罚没资金追缴金额</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宋体" w:hAnsi="宋体" w:eastAsia="宋体"/>
                <w:sz w:val="21"/>
                <w:szCs w:val="21"/>
                <w:lang w:eastAsia="zh-CN"/>
              </w:rPr>
            </w:pPr>
            <w:r>
              <w:rPr>
                <w:rFonts w:hint="eastAsia" w:ascii="宋体" w:hAnsi="宋体" w:eastAsia="宋体"/>
                <w:sz w:val="21"/>
                <w:szCs w:val="21"/>
                <w:lang w:eastAsia="zh-CN"/>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851"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1559" w:type="dxa"/>
            <w:vMerge w:val="continue"/>
            <w:tcBorders>
              <w:left w:val="single" w:color="000000" w:sz="4" w:space="0"/>
              <w:right w:val="single" w:color="000000" w:sz="4" w:space="0"/>
            </w:tcBorders>
            <w:vAlign w:val="center"/>
          </w:tcPr>
          <w:p>
            <w:pPr>
              <w:pStyle w:val="20"/>
              <w:spacing w:before="102"/>
              <w:ind w:left="420" w:right="191"/>
              <w:jc w:val="both"/>
              <w:rPr>
                <w:rFonts w:ascii="宋体" w:hAnsi="宋体" w:eastAsia="宋体"/>
                <w:sz w:val="21"/>
                <w:szCs w:val="21"/>
                <w:lang w:eastAsia="zh-CN"/>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社会治安防控体系健全性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宋体" w:hAnsi="宋体" w:eastAsia="宋体"/>
                <w:sz w:val="21"/>
                <w:szCs w:val="21"/>
                <w:lang w:eastAsia="zh-CN"/>
              </w:rPr>
            </w:pPr>
            <w:r>
              <w:rPr>
                <w:rFonts w:hint="eastAsia" w:ascii="宋体" w:hAnsi="宋体" w:eastAsia="宋体"/>
                <w:sz w:val="21"/>
                <w:szCs w:val="21"/>
                <w:lang w:eastAsia="zh-CN"/>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宋体" w:hAnsi="宋体" w:eastAsia="宋体"/>
                <w:sz w:val="21"/>
                <w:szCs w:val="21"/>
                <w:lang w:eastAsia="zh-CN"/>
              </w:rPr>
            </w:pPr>
            <w:r>
              <w:rPr>
                <w:rFonts w:hint="eastAsia" w:ascii="宋体" w:hAnsi="宋体" w:eastAsia="宋体"/>
                <w:sz w:val="21"/>
                <w:szCs w:val="21"/>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851"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zh-CN"/>
              </w:rPr>
            </w:pPr>
          </w:p>
        </w:tc>
        <w:tc>
          <w:tcPr>
            <w:tcW w:w="1559" w:type="dxa"/>
            <w:vMerge w:val="restart"/>
            <w:tcBorders>
              <w:top w:val="single" w:color="000000" w:sz="4" w:space="0"/>
              <w:left w:val="single" w:color="000000" w:sz="4" w:space="0"/>
              <w:right w:val="single" w:color="000000" w:sz="4" w:space="0"/>
            </w:tcBorders>
            <w:vAlign w:val="center"/>
          </w:tcPr>
          <w:p>
            <w:pPr>
              <w:pStyle w:val="20"/>
              <w:spacing w:before="102"/>
              <w:ind w:left="420" w:right="191"/>
              <w:jc w:val="both"/>
              <w:rPr>
                <w:rFonts w:ascii="宋体" w:hAnsi="宋体" w:eastAsia="宋体"/>
                <w:sz w:val="21"/>
                <w:szCs w:val="21"/>
                <w:lang w:eastAsia="en-US"/>
              </w:rPr>
            </w:pPr>
            <w:r>
              <w:rPr>
                <w:rFonts w:hint="eastAsia" w:ascii="宋体" w:hAnsi="宋体" w:eastAsia="宋体"/>
                <w:sz w:val="21"/>
                <w:szCs w:val="21"/>
                <w:lang w:eastAsia="en-US"/>
              </w:rPr>
              <w:t>满意度</w:t>
            </w:r>
          </w:p>
        </w:tc>
        <w:tc>
          <w:tcPr>
            <w:tcW w:w="2552" w:type="dxa"/>
            <w:tcBorders>
              <w:top w:val="single" w:color="000000" w:sz="4" w:space="0"/>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公众安全感指数</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宋体" w:hAnsi="宋体" w:eastAsia="宋体"/>
                <w:sz w:val="21"/>
                <w:szCs w:val="21"/>
                <w:lang w:eastAsia="zh-CN"/>
              </w:rPr>
            </w:pPr>
            <w:r>
              <w:rPr>
                <w:rFonts w:hint="eastAsia" w:ascii="宋体" w:hAnsi="宋体" w:eastAsia="宋体"/>
                <w:sz w:val="21"/>
                <w:szCs w:val="21"/>
                <w:lang w:eastAsia="zh-CN"/>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rPr>
                <w:rFonts w:ascii="宋体" w:hAnsi="宋体" w:eastAsia="宋体"/>
                <w:szCs w:val="21"/>
                <w:lang w:eastAsia="en-US"/>
              </w:rPr>
            </w:pPr>
          </w:p>
        </w:tc>
        <w:tc>
          <w:tcPr>
            <w:tcW w:w="1559" w:type="dxa"/>
            <w:vMerge w:val="continue"/>
            <w:tcBorders>
              <w:left w:val="single" w:color="000000" w:sz="4" w:space="0"/>
              <w:right w:val="single" w:color="000000" w:sz="4" w:space="0"/>
            </w:tcBorders>
            <w:vAlign w:val="center"/>
          </w:tcPr>
          <w:p>
            <w:pPr>
              <w:pStyle w:val="20"/>
              <w:spacing w:before="102"/>
              <w:ind w:left="420" w:right="191"/>
              <w:jc w:val="both"/>
              <w:rPr>
                <w:rFonts w:ascii="宋体" w:hAnsi="宋体" w:eastAsia="宋体"/>
                <w:sz w:val="21"/>
                <w:szCs w:val="21"/>
                <w:lang w:eastAsia="en-US"/>
              </w:rPr>
            </w:pPr>
          </w:p>
        </w:tc>
        <w:tc>
          <w:tcPr>
            <w:tcW w:w="2552" w:type="dxa"/>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公安执法满意度</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宋体" w:hAnsi="宋体" w:eastAsia="宋体"/>
                <w:sz w:val="21"/>
                <w:szCs w:val="21"/>
                <w:lang w:eastAsia="zh-CN"/>
              </w:rPr>
            </w:pPr>
            <w:r>
              <w:rPr>
                <w:rFonts w:hint="eastAsia" w:ascii="宋体" w:hAnsi="宋体" w:eastAsia="宋体"/>
                <w:sz w:val="21"/>
                <w:szCs w:val="21"/>
                <w:lang w:eastAsia="zh-CN"/>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exact"/>
        </w:trPr>
        <w:tc>
          <w:tcPr>
            <w:tcW w:w="6101" w:type="dxa"/>
            <w:gridSpan w:val="4"/>
            <w:tcBorders>
              <w:left w:val="single" w:color="000000" w:sz="4" w:space="0"/>
              <w:right w:val="single" w:color="000000" w:sz="4" w:space="0"/>
            </w:tcBorders>
            <w:vAlign w:val="center"/>
          </w:tcPr>
          <w:p>
            <w:pPr>
              <w:pStyle w:val="20"/>
              <w:spacing w:before="5"/>
              <w:jc w:val="center"/>
              <w:rPr>
                <w:rFonts w:ascii="宋体" w:hAnsi="宋体" w:eastAsia="宋体"/>
                <w:szCs w:val="24"/>
                <w:lang w:eastAsia="en-US"/>
              </w:rPr>
            </w:pPr>
            <w:r>
              <w:rPr>
                <w:rFonts w:hint="eastAsia" w:ascii="宋体" w:hAnsi="宋体" w:eastAsia="宋体"/>
                <w:szCs w:val="24"/>
                <w:lang w:eastAsia="en-US"/>
              </w:rPr>
              <w:t>合计</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宋体" w:hAnsi="宋体" w:eastAsia="宋体"/>
                <w:sz w:val="21"/>
                <w:szCs w:val="21"/>
                <w:lang w:eastAsia="en-US"/>
              </w:rPr>
            </w:pPr>
            <w:r>
              <w:rPr>
                <w:rFonts w:hint="eastAsia" w:ascii="宋体" w:hAnsi="宋体" w:eastAsia="宋体"/>
                <w:sz w:val="21"/>
                <w:szCs w:val="21"/>
                <w:lang w:eastAsia="en-US"/>
              </w:rPr>
              <w:t>100</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hint="eastAsia" w:ascii="宋体" w:hAnsi="宋体" w:eastAsia="宋体"/>
                <w:sz w:val="21"/>
                <w:szCs w:val="21"/>
                <w:lang w:eastAsia="zh-CN"/>
              </w:rPr>
            </w:pPr>
            <w:r>
              <w:rPr>
                <w:rFonts w:hint="eastAsia" w:ascii="宋体" w:hAnsi="宋体" w:eastAsia="宋体"/>
                <w:sz w:val="21"/>
                <w:szCs w:val="21"/>
                <w:lang w:eastAsia="zh-CN"/>
              </w:rPr>
              <w:t>92.</w:t>
            </w:r>
            <w:r>
              <w:rPr>
                <w:rFonts w:hint="eastAsia" w:ascii="宋体" w:hAnsi="宋体" w:eastAsia="宋体"/>
                <w:sz w:val="21"/>
                <w:szCs w:val="21"/>
                <w:lang w:val="en-US" w:eastAsia="zh-CN"/>
              </w:rPr>
              <w:t>8</w:t>
            </w:r>
          </w:p>
        </w:tc>
      </w:tr>
    </w:tbl>
    <w:p>
      <w:pPr>
        <w:pStyle w:val="2"/>
        <w:rPr>
          <w:rFonts w:asciiTheme="minorEastAsia" w:hAnsiTheme="minorEastAsia"/>
          <w:sz w:val="32"/>
          <w:szCs w:val="32"/>
        </w:rPr>
      </w:pPr>
      <w:bookmarkStart w:id="20" w:name="_Toc93918214"/>
      <w:r>
        <w:rPr>
          <w:rFonts w:hint="eastAsia" w:asciiTheme="minorEastAsia" w:hAnsiTheme="minorEastAsia"/>
          <w:sz w:val="32"/>
          <w:szCs w:val="32"/>
        </w:rPr>
        <w:t>五</w:t>
      </w:r>
      <w:r>
        <w:rPr>
          <w:rFonts w:hint="eastAsia"/>
          <w:sz w:val="32"/>
          <w:szCs w:val="32"/>
        </w:rPr>
        <w:t>、</w:t>
      </w:r>
      <w:r>
        <w:rPr>
          <w:rFonts w:hint="eastAsia" w:asciiTheme="minorEastAsia" w:hAnsiTheme="minorEastAsia"/>
          <w:sz w:val="32"/>
          <w:szCs w:val="32"/>
        </w:rPr>
        <w:t>主要经验及做法</w:t>
      </w:r>
      <w:bookmarkEnd w:id="20"/>
    </w:p>
    <w:p>
      <w:pPr>
        <w:pStyle w:val="3"/>
        <w:rPr>
          <w:rFonts w:asciiTheme="minorEastAsia" w:hAnsiTheme="minorEastAsia"/>
          <w:sz w:val="30"/>
          <w:szCs w:val="30"/>
        </w:rPr>
      </w:pPr>
      <w:bookmarkStart w:id="21" w:name="_Toc93918215"/>
      <w:r>
        <w:rPr>
          <w:rFonts w:hint="eastAsia"/>
          <w:sz w:val="30"/>
          <w:szCs w:val="30"/>
        </w:rPr>
        <w:t>（一）</w:t>
      </w:r>
      <w:r>
        <w:rPr>
          <w:rFonts w:hint="eastAsia" w:asciiTheme="minorEastAsia" w:hAnsiTheme="minorEastAsia"/>
          <w:sz w:val="30"/>
          <w:szCs w:val="30"/>
        </w:rPr>
        <w:t>主要经验做法</w:t>
      </w:r>
      <w:bookmarkEnd w:id="21"/>
    </w:p>
    <w:p>
      <w:pPr>
        <w:spacing w:beforeLines="50" w:afterLines="50" w:line="360" w:lineRule="auto"/>
        <w:ind w:left="105" w:leftChars="50" w:right="105" w:rightChars="50" w:firstLine="600" w:firstLineChars="200"/>
        <w:rPr>
          <w:rFonts w:hint="eastAsia"/>
          <w:sz w:val="30"/>
          <w:szCs w:val="30"/>
        </w:rPr>
      </w:pPr>
      <w:r>
        <w:rPr>
          <w:rFonts w:hint="eastAsia"/>
          <w:sz w:val="30"/>
          <w:szCs w:val="30"/>
        </w:rPr>
        <w:t>转移支付资金项目旨在提高了部门工作效能，维护社会稳定和谐，提高居民幸福指数，主要经验及做法如下：</w:t>
      </w:r>
    </w:p>
    <w:p>
      <w:pPr>
        <w:spacing w:beforeLines="50" w:afterLines="50" w:line="360" w:lineRule="auto"/>
        <w:ind w:left="105" w:leftChars="50" w:right="105" w:rightChars="50" w:firstLine="600" w:firstLineChars="200"/>
        <w:rPr>
          <w:rFonts w:hint="eastAsia"/>
          <w:sz w:val="30"/>
          <w:szCs w:val="30"/>
        </w:rPr>
      </w:pPr>
      <w:r>
        <w:rPr>
          <w:rFonts w:hint="eastAsia"/>
          <w:sz w:val="30"/>
          <w:szCs w:val="30"/>
        </w:rPr>
        <w:t>1.</w:t>
      </w:r>
      <w:r>
        <w:rPr>
          <w:rFonts w:hint="eastAsia"/>
          <w:b/>
          <w:sz w:val="30"/>
          <w:szCs w:val="30"/>
        </w:rPr>
        <w:t>资金拨付和执行率较高</w:t>
      </w:r>
      <w:r>
        <w:rPr>
          <w:rFonts w:hint="eastAsia"/>
          <w:sz w:val="30"/>
          <w:szCs w:val="30"/>
        </w:rPr>
        <w:t>。项目资金拨付及使用程序规范合理，资金拨付率和执行率均达到100%，该项目资金主要用于</w:t>
      </w:r>
      <w:r>
        <w:rPr>
          <w:rFonts w:hint="eastAsia" w:ascii="仿宋_GB2312" w:hAnsi="仿宋_GB2312" w:eastAsia="宋体" w:cs="仿宋_GB2312"/>
          <w:bCs/>
          <w:sz w:val="32"/>
          <w:szCs w:val="32"/>
        </w:rPr>
        <w:t>保障</w:t>
      </w:r>
      <w:r>
        <w:rPr>
          <w:rFonts w:hint="eastAsia"/>
          <w:sz w:val="30"/>
          <w:szCs w:val="30"/>
        </w:rPr>
        <w:t>陕州区公安局</w:t>
      </w:r>
      <w:r>
        <w:rPr>
          <w:rFonts w:hint="eastAsia" w:ascii="仿宋_GB2312" w:hAnsi="仿宋_GB2312" w:eastAsia="宋体" w:cs="仿宋_GB2312"/>
          <w:bCs/>
          <w:sz w:val="32"/>
          <w:szCs w:val="32"/>
        </w:rPr>
        <w:t>全局执法办案业务费用支出，开展业务所需的警用执法车辆运行费、差旅费、宣传版面的印刷费、专线租赁费</w:t>
      </w:r>
      <w:r>
        <w:rPr>
          <w:rFonts w:hint="eastAsia" w:ascii="仿宋_GB2312" w:hAnsi="仿宋_GB2312" w:cs="仿宋_GB2312"/>
          <w:bCs/>
          <w:sz w:val="32"/>
          <w:szCs w:val="32"/>
        </w:rPr>
        <w:t>、业务装备费</w:t>
      </w:r>
      <w:r>
        <w:rPr>
          <w:rFonts w:hint="eastAsia" w:ascii="仿宋_GB2312" w:hAnsi="仿宋_GB2312" w:eastAsia="宋体" w:cs="仿宋_GB2312"/>
          <w:bCs/>
          <w:sz w:val="32"/>
          <w:szCs w:val="32"/>
        </w:rPr>
        <w:t>等。不仅</w:t>
      </w:r>
      <w:r>
        <w:rPr>
          <w:rFonts w:hint="eastAsia"/>
          <w:sz w:val="30"/>
          <w:szCs w:val="30"/>
        </w:rPr>
        <w:t>提高了工作效能，保障陕州区公安局正常工作运行及支出。</w:t>
      </w:r>
    </w:p>
    <w:p>
      <w:pPr>
        <w:spacing w:beforeLines="50" w:afterLines="50" w:line="360" w:lineRule="auto"/>
        <w:ind w:left="105" w:leftChars="50" w:right="105" w:rightChars="50" w:firstLine="600" w:firstLineChars="200"/>
        <w:rPr>
          <w:sz w:val="30"/>
          <w:szCs w:val="30"/>
        </w:rPr>
      </w:pPr>
      <w:r>
        <w:rPr>
          <w:rFonts w:hint="eastAsia"/>
          <w:sz w:val="30"/>
          <w:szCs w:val="30"/>
        </w:rPr>
        <w:t>2.</w:t>
      </w:r>
      <w:r>
        <w:rPr>
          <w:rFonts w:hint="eastAsia"/>
          <w:b/>
          <w:sz w:val="30"/>
          <w:szCs w:val="30"/>
        </w:rPr>
        <w:t>年度预期目标完成情况良好，社会效益显著</w:t>
      </w:r>
      <w:r>
        <w:rPr>
          <w:rFonts w:hint="eastAsia"/>
          <w:sz w:val="30"/>
          <w:szCs w:val="30"/>
        </w:rPr>
        <w:t>。根据执法办案系统警务平台数据，各项年度指标均超额完成，</w:t>
      </w:r>
      <w:r>
        <w:rPr>
          <w:rFonts w:hint="eastAsia"/>
          <w:sz w:val="28"/>
          <w:szCs w:val="28"/>
        </w:rPr>
        <w:t>严格</w:t>
      </w:r>
      <w:r>
        <w:rPr>
          <w:sz w:val="28"/>
          <w:szCs w:val="28"/>
        </w:rPr>
        <w:t>履行</w:t>
      </w:r>
      <w:r>
        <w:rPr>
          <w:rFonts w:hint="eastAsia"/>
          <w:sz w:val="28"/>
          <w:szCs w:val="28"/>
        </w:rPr>
        <w:t>各项</w:t>
      </w:r>
      <w:r>
        <w:rPr>
          <w:sz w:val="28"/>
          <w:szCs w:val="28"/>
        </w:rPr>
        <w:t>职责，依法惩处破坏</w:t>
      </w:r>
      <w:r>
        <w:rPr>
          <w:rFonts w:hint="eastAsia"/>
          <w:sz w:val="28"/>
          <w:szCs w:val="28"/>
        </w:rPr>
        <w:t>社会和谐发展</w:t>
      </w:r>
      <w:r>
        <w:rPr>
          <w:sz w:val="28"/>
          <w:szCs w:val="28"/>
        </w:rPr>
        <w:t>的各类犯罪，依法打击各类刑事犯罪，充分发挥应有的各项职能，维护司法公平正义，维护社会和谐稳定，为经济发展、百姓生活营造公平、和谐的良好社会环境。</w:t>
      </w:r>
    </w:p>
    <w:p>
      <w:pPr>
        <w:pStyle w:val="2"/>
        <w:rPr>
          <w:rFonts w:hint="eastAsia" w:asciiTheme="minorEastAsia" w:hAnsiTheme="minorEastAsia"/>
          <w:sz w:val="32"/>
          <w:szCs w:val="32"/>
        </w:rPr>
      </w:pPr>
      <w:bookmarkStart w:id="22" w:name="_Toc93918217"/>
      <w:r>
        <w:rPr>
          <w:rFonts w:hint="eastAsia" w:asciiTheme="minorEastAsia" w:hAnsiTheme="minorEastAsia"/>
          <w:sz w:val="32"/>
          <w:szCs w:val="32"/>
        </w:rPr>
        <w:t>六、</w:t>
      </w:r>
      <w:bookmarkEnd w:id="22"/>
      <w:r>
        <w:rPr>
          <w:rFonts w:hint="eastAsia" w:asciiTheme="minorEastAsia" w:hAnsiTheme="minorEastAsia"/>
          <w:sz w:val="32"/>
          <w:szCs w:val="32"/>
        </w:rPr>
        <w:t>存在的问题及相关建议</w:t>
      </w:r>
    </w:p>
    <w:p>
      <w:pPr>
        <w:spacing w:beforeLines="50" w:afterLines="50" w:line="360" w:lineRule="auto"/>
        <w:ind w:left="105" w:leftChars="50" w:right="105" w:rightChars="50" w:firstLine="602" w:firstLineChars="200"/>
        <w:rPr>
          <w:rFonts w:hint="eastAsia" w:asciiTheme="minorEastAsia" w:hAnsiTheme="minorEastAsia"/>
          <w:b/>
          <w:sz w:val="30"/>
          <w:szCs w:val="30"/>
        </w:rPr>
      </w:pPr>
      <w:r>
        <w:rPr>
          <w:rFonts w:hint="eastAsia" w:asciiTheme="minorEastAsia" w:hAnsiTheme="minorEastAsia"/>
          <w:b/>
          <w:sz w:val="30"/>
          <w:szCs w:val="30"/>
        </w:rPr>
        <w:t>1.绩效目标不够细化和量化。</w:t>
      </w:r>
    </w:p>
    <w:p>
      <w:pPr>
        <w:autoSpaceDE w:val="0"/>
        <w:autoSpaceDN w:val="0"/>
        <w:adjustRightInd w:val="0"/>
        <w:spacing w:before="50" w:after="50" w:line="360" w:lineRule="auto"/>
        <w:ind w:left="50" w:right="50" w:firstLine="200"/>
        <w:jc w:val="left"/>
        <w:rPr>
          <w:rFonts w:asciiTheme="minorEastAsia" w:hAnsiTheme="minorEastAsia"/>
          <w:sz w:val="30"/>
          <w:szCs w:val="30"/>
        </w:rPr>
      </w:pPr>
      <w:r>
        <w:rPr>
          <w:rFonts w:hint="eastAsia" w:asciiTheme="minorEastAsia" w:hAnsiTheme="minorEastAsia"/>
          <w:b/>
          <w:sz w:val="30"/>
          <w:szCs w:val="30"/>
        </w:rPr>
        <w:t xml:space="preserve">   相关建议：加强预算绩效管理工作。</w:t>
      </w:r>
      <w:r>
        <w:rPr>
          <w:rFonts w:hint="eastAsia" w:asciiTheme="minorEastAsia" w:hAnsiTheme="minorEastAsia"/>
          <w:sz w:val="30"/>
          <w:szCs w:val="30"/>
        </w:rPr>
        <w:t>强化绩效目标的设定，依据《财政支出绩效评价管理暂行办法》文件要求，绩效目标应当从数量、质量、成本和时效等方面进行细化，尽量进行定量表述，不能以量化形式表述的，可以采用定性的分级分档形式表述。目标未细化分解为具体的绩效指标，且不能通过清晰、可衡量的指标值予以体现，绩效目标申报工作有待加强。</w:t>
      </w:r>
    </w:p>
    <w:p>
      <w:pPr>
        <w:autoSpaceDE w:val="0"/>
        <w:autoSpaceDN w:val="0"/>
        <w:adjustRightInd w:val="0"/>
        <w:spacing w:before="50" w:after="50" w:line="360" w:lineRule="auto"/>
        <w:ind w:left="50" w:right="50" w:firstLine="200"/>
        <w:jc w:val="left"/>
        <w:rPr>
          <w:rFonts w:hint="eastAsia" w:asciiTheme="minorEastAsia" w:hAnsiTheme="minorEastAsia"/>
          <w:sz w:val="30"/>
          <w:szCs w:val="30"/>
        </w:rPr>
      </w:pPr>
      <w:r>
        <w:rPr>
          <w:rFonts w:hint="eastAsia" w:asciiTheme="minorEastAsia" w:hAnsiTheme="minorEastAsia"/>
          <w:b/>
          <w:sz w:val="30"/>
          <w:szCs w:val="30"/>
        </w:rPr>
        <w:t xml:space="preserve">    2.</w:t>
      </w:r>
      <w:r>
        <w:rPr>
          <w:rFonts w:hint="eastAsia" w:asciiTheme="minorEastAsia" w:hAnsiTheme="minorEastAsia"/>
          <w:b/>
          <w:color w:val="000000" w:themeColor="text1"/>
          <w:sz w:val="30"/>
          <w:szCs w:val="30"/>
        </w:rPr>
        <w:t>满意度还有待提高。</w:t>
      </w:r>
      <w:r>
        <w:rPr>
          <w:rFonts w:hint="eastAsia" w:asciiTheme="minorEastAsia" w:hAnsiTheme="minorEastAsia"/>
          <w:sz w:val="30"/>
          <w:szCs w:val="30"/>
        </w:rPr>
        <w:t>现场评价过程中，评价人员通过发放问卷调查满意度，调查发现，群众对办案及时性问题满意度</w:t>
      </w:r>
      <w:r>
        <w:rPr>
          <w:rFonts w:asciiTheme="minorEastAsia" w:hAnsiTheme="minorEastAsia"/>
          <w:sz w:val="30"/>
          <w:szCs w:val="30"/>
        </w:rPr>
        <w:t>8</w:t>
      </w:r>
      <w:r>
        <w:rPr>
          <w:rFonts w:hint="eastAsia" w:asciiTheme="minorEastAsia" w:hAnsiTheme="minorEastAsia"/>
          <w:sz w:val="30"/>
          <w:szCs w:val="30"/>
        </w:rPr>
        <w:t>0</w:t>
      </w:r>
      <w:r>
        <w:rPr>
          <w:rFonts w:asciiTheme="minorEastAsia" w:hAnsiTheme="minorEastAsia"/>
          <w:sz w:val="30"/>
          <w:szCs w:val="30"/>
        </w:rPr>
        <w:t>%</w:t>
      </w:r>
      <w:r>
        <w:rPr>
          <w:rFonts w:hint="eastAsia" w:asciiTheme="minorEastAsia" w:hAnsiTheme="minorEastAsia"/>
          <w:sz w:val="30"/>
          <w:szCs w:val="30"/>
        </w:rPr>
        <w:t>。</w:t>
      </w:r>
    </w:p>
    <w:p>
      <w:pPr>
        <w:autoSpaceDE w:val="0"/>
        <w:autoSpaceDN w:val="0"/>
        <w:adjustRightInd w:val="0"/>
        <w:spacing w:before="50" w:after="50" w:line="360" w:lineRule="auto"/>
        <w:ind w:left="50" w:right="50" w:firstLine="200"/>
        <w:jc w:val="left"/>
        <w:rPr>
          <w:rFonts w:asciiTheme="minorEastAsia" w:hAnsiTheme="minorEastAsia"/>
          <w:b/>
          <w:sz w:val="30"/>
          <w:szCs w:val="30"/>
        </w:rPr>
      </w:pPr>
      <w:r>
        <w:rPr>
          <w:rFonts w:hint="eastAsia" w:asciiTheme="minorEastAsia" w:hAnsiTheme="minorEastAsia"/>
          <w:b/>
          <w:sz w:val="30"/>
          <w:szCs w:val="30"/>
        </w:rPr>
        <w:t xml:space="preserve">    相关建议</w:t>
      </w:r>
      <w:r>
        <w:rPr>
          <w:rFonts w:hint="eastAsia" w:asciiTheme="minorEastAsia" w:hAnsiTheme="minorEastAsia"/>
          <w:sz w:val="30"/>
          <w:szCs w:val="30"/>
        </w:rPr>
        <w:t>：</w:t>
      </w:r>
      <w:r>
        <w:rPr>
          <w:rFonts w:hint="eastAsia" w:asciiTheme="minorEastAsia" w:hAnsiTheme="minorEastAsia"/>
          <w:b/>
          <w:sz w:val="30"/>
          <w:szCs w:val="30"/>
        </w:rPr>
        <w:t>提高公安工作绩效，以群众需求为出发点。</w:t>
      </w:r>
      <w:r>
        <w:rPr>
          <w:rFonts w:hint="eastAsia" w:asciiTheme="minorEastAsia" w:hAnsiTheme="minorEastAsia"/>
          <w:sz w:val="30"/>
          <w:szCs w:val="30"/>
        </w:rPr>
        <w:t>随着经济社会的快速发展，人们的生活方式、思维方式和价值观念等发生了深刻变化。首先，要切实解决人民群众最关心、反映最强烈的突出违法犯罪问题。要从关注民生、改善民生的要求出发，及时整治影响群众生产、生活和出行的突出治安问题让群众实实在在地体会到安全就在身边。既要集中优势兵力，强力侦破杀人、抢劫等严重刑事犯罪，又要高度重视一般盗窃、打架斗殴等对老百姓生活影响严重的“小案”，切实增加群众安全感。其次，坚持“服务在先“的理念，及时接案、及时处理、及时反馈，提高整体居民，切实增加群众安全感和满意度。</w:t>
      </w:r>
    </w:p>
    <w:sectPr>
      <w:footerReference r:id="rId4" w:type="default"/>
      <w:type w:val="continuous"/>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0353131"/>
    </w:sdtPr>
    <w:sdtContent>
      <w:p>
        <w:pPr>
          <w:pStyle w:val="6"/>
          <w:jc w:val="center"/>
        </w:pPr>
        <w:r>
          <w:fldChar w:fldCharType="begin"/>
        </w:r>
        <w:r>
          <w:instrText xml:space="preserve">PAGE   \* MERGEFORMAT</w:instrText>
        </w:r>
        <w:r>
          <w:fldChar w:fldCharType="separate"/>
        </w:r>
        <w:r>
          <w:rPr>
            <w:lang w:val="zh-CN"/>
          </w:rPr>
          <w:t>28</w:t>
        </w:r>
        <w:r>
          <w:rPr>
            <w:lang w:val="zh-CN"/>
          </w:rP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3A0E30"/>
    <w:multiLevelType w:val="multilevel"/>
    <w:tmpl w:val="0A3A0E30"/>
    <w:lvl w:ilvl="0" w:tentative="0">
      <w:start w:val="1"/>
      <w:numFmt w:val="decimal"/>
      <w:lvlText w:val="%1."/>
      <w:lvlJc w:val="left"/>
      <w:pPr>
        <w:ind w:left="1065" w:hanging="360"/>
      </w:pPr>
      <w:rPr>
        <w:rFonts w:hint="default"/>
      </w:rPr>
    </w:lvl>
    <w:lvl w:ilvl="1" w:tentative="0">
      <w:start w:val="1"/>
      <w:numFmt w:val="lowerLetter"/>
      <w:lvlText w:val="%2)"/>
      <w:lvlJc w:val="left"/>
      <w:pPr>
        <w:ind w:left="1545" w:hanging="420"/>
      </w:pPr>
    </w:lvl>
    <w:lvl w:ilvl="2" w:tentative="0">
      <w:start w:val="1"/>
      <w:numFmt w:val="lowerRoman"/>
      <w:lvlText w:val="%3."/>
      <w:lvlJc w:val="right"/>
      <w:pPr>
        <w:ind w:left="1965" w:hanging="420"/>
      </w:pPr>
    </w:lvl>
    <w:lvl w:ilvl="3" w:tentative="0">
      <w:start w:val="1"/>
      <w:numFmt w:val="decimal"/>
      <w:lvlText w:val="%4."/>
      <w:lvlJc w:val="left"/>
      <w:pPr>
        <w:ind w:left="2385" w:hanging="420"/>
      </w:pPr>
    </w:lvl>
    <w:lvl w:ilvl="4" w:tentative="0">
      <w:start w:val="1"/>
      <w:numFmt w:val="lowerLetter"/>
      <w:lvlText w:val="%5)"/>
      <w:lvlJc w:val="left"/>
      <w:pPr>
        <w:ind w:left="2805" w:hanging="420"/>
      </w:pPr>
    </w:lvl>
    <w:lvl w:ilvl="5" w:tentative="0">
      <w:start w:val="1"/>
      <w:numFmt w:val="lowerRoman"/>
      <w:lvlText w:val="%6."/>
      <w:lvlJc w:val="right"/>
      <w:pPr>
        <w:ind w:left="3225" w:hanging="420"/>
      </w:pPr>
    </w:lvl>
    <w:lvl w:ilvl="6" w:tentative="0">
      <w:start w:val="1"/>
      <w:numFmt w:val="decimal"/>
      <w:lvlText w:val="%7."/>
      <w:lvlJc w:val="left"/>
      <w:pPr>
        <w:ind w:left="3645" w:hanging="420"/>
      </w:pPr>
    </w:lvl>
    <w:lvl w:ilvl="7" w:tentative="0">
      <w:start w:val="1"/>
      <w:numFmt w:val="lowerLetter"/>
      <w:lvlText w:val="%8)"/>
      <w:lvlJc w:val="left"/>
      <w:pPr>
        <w:ind w:left="4065" w:hanging="420"/>
      </w:pPr>
    </w:lvl>
    <w:lvl w:ilvl="8" w:tentative="0">
      <w:start w:val="1"/>
      <w:numFmt w:val="lowerRoman"/>
      <w:lvlText w:val="%9."/>
      <w:lvlJc w:val="right"/>
      <w:pPr>
        <w:ind w:left="448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I1OWRhYmJhNWI2Y2JmMjljYjMxMDA3MmU1MTlkMTAifQ=="/>
  </w:docVars>
  <w:rsids>
    <w:rsidRoot w:val="001D2A78"/>
    <w:rsid w:val="00002F4A"/>
    <w:rsid w:val="000032A8"/>
    <w:rsid w:val="000038BE"/>
    <w:rsid w:val="00011704"/>
    <w:rsid w:val="000203D2"/>
    <w:rsid w:val="00025BC8"/>
    <w:rsid w:val="000272CC"/>
    <w:rsid w:val="00037F90"/>
    <w:rsid w:val="0005428C"/>
    <w:rsid w:val="000732B0"/>
    <w:rsid w:val="00076351"/>
    <w:rsid w:val="000B5571"/>
    <w:rsid w:val="000D281E"/>
    <w:rsid w:val="000D417A"/>
    <w:rsid w:val="000F081B"/>
    <w:rsid w:val="00111C63"/>
    <w:rsid w:val="0011387C"/>
    <w:rsid w:val="00115190"/>
    <w:rsid w:val="00116FFF"/>
    <w:rsid w:val="00127CEC"/>
    <w:rsid w:val="0014002C"/>
    <w:rsid w:val="001713CB"/>
    <w:rsid w:val="001A598F"/>
    <w:rsid w:val="001B6E28"/>
    <w:rsid w:val="001B7290"/>
    <w:rsid w:val="001D2A78"/>
    <w:rsid w:val="001E7306"/>
    <w:rsid w:val="001F2F4E"/>
    <w:rsid w:val="001F380D"/>
    <w:rsid w:val="0021342B"/>
    <w:rsid w:val="002154B6"/>
    <w:rsid w:val="0022050D"/>
    <w:rsid w:val="00225861"/>
    <w:rsid w:val="00230E70"/>
    <w:rsid w:val="00244CD5"/>
    <w:rsid w:val="002624CF"/>
    <w:rsid w:val="00265AE5"/>
    <w:rsid w:val="00273D71"/>
    <w:rsid w:val="002A6525"/>
    <w:rsid w:val="002B0484"/>
    <w:rsid w:val="002B5637"/>
    <w:rsid w:val="002C5EF8"/>
    <w:rsid w:val="002D0DED"/>
    <w:rsid w:val="0031224E"/>
    <w:rsid w:val="00314E13"/>
    <w:rsid w:val="00320B9F"/>
    <w:rsid w:val="0032333A"/>
    <w:rsid w:val="00340782"/>
    <w:rsid w:val="00340F37"/>
    <w:rsid w:val="00364B69"/>
    <w:rsid w:val="00365564"/>
    <w:rsid w:val="003A4CD0"/>
    <w:rsid w:val="003A5F85"/>
    <w:rsid w:val="003A71F0"/>
    <w:rsid w:val="003B6249"/>
    <w:rsid w:val="003B6836"/>
    <w:rsid w:val="003C0BD1"/>
    <w:rsid w:val="003C6A87"/>
    <w:rsid w:val="003C6CF5"/>
    <w:rsid w:val="003E4AF0"/>
    <w:rsid w:val="00415FE3"/>
    <w:rsid w:val="0042495A"/>
    <w:rsid w:val="0043482B"/>
    <w:rsid w:val="00435CD7"/>
    <w:rsid w:val="00436489"/>
    <w:rsid w:val="00436D83"/>
    <w:rsid w:val="00454729"/>
    <w:rsid w:val="00462D3A"/>
    <w:rsid w:val="00464139"/>
    <w:rsid w:val="00485AE7"/>
    <w:rsid w:val="004906B4"/>
    <w:rsid w:val="00491665"/>
    <w:rsid w:val="004A3014"/>
    <w:rsid w:val="004B260E"/>
    <w:rsid w:val="004D2C98"/>
    <w:rsid w:val="004D5558"/>
    <w:rsid w:val="004D76AA"/>
    <w:rsid w:val="004F0D91"/>
    <w:rsid w:val="004F1AE3"/>
    <w:rsid w:val="004F74E8"/>
    <w:rsid w:val="00503A29"/>
    <w:rsid w:val="00511F37"/>
    <w:rsid w:val="0051277F"/>
    <w:rsid w:val="00547111"/>
    <w:rsid w:val="00586C47"/>
    <w:rsid w:val="0059294E"/>
    <w:rsid w:val="005943AD"/>
    <w:rsid w:val="005C1D7D"/>
    <w:rsid w:val="005D2CB3"/>
    <w:rsid w:val="00617546"/>
    <w:rsid w:val="00630EB6"/>
    <w:rsid w:val="00631154"/>
    <w:rsid w:val="00643AD7"/>
    <w:rsid w:val="006444BF"/>
    <w:rsid w:val="00655BA6"/>
    <w:rsid w:val="00655D8A"/>
    <w:rsid w:val="006576B8"/>
    <w:rsid w:val="006751E2"/>
    <w:rsid w:val="006A427C"/>
    <w:rsid w:val="006B4100"/>
    <w:rsid w:val="006E72B3"/>
    <w:rsid w:val="006F5F0A"/>
    <w:rsid w:val="00701FFF"/>
    <w:rsid w:val="00703868"/>
    <w:rsid w:val="00706336"/>
    <w:rsid w:val="007302C2"/>
    <w:rsid w:val="007465D3"/>
    <w:rsid w:val="00747786"/>
    <w:rsid w:val="007578B5"/>
    <w:rsid w:val="00762BE4"/>
    <w:rsid w:val="00763060"/>
    <w:rsid w:val="007755B1"/>
    <w:rsid w:val="0078778E"/>
    <w:rsid w:val="0079595E"/>
    <w:rsid w:val="00796B07"/>
    <w:rsid w:val="007A1904"/>
    <w:rsid w:val="007A1F76"/>
    <w:rsid w:val="007B045B"/>
    <w:rsid w:val="007D0FAD"/>
    <w:rsid w:val="007E73CE"/>
    <w:rsid w:val="007F24A7"/>
    <w:rsid w:val="007F4B17"/>
    <w:rsid w:val="00802BB2"/>
    <w:rsid w:val="00803CD2"/>
    <w:rsid w:val="00804447"/>
    <w:rsid w:val="00816C13"/>
    <w:rsid w:val="00816EA6"/>
    <w:rsid w:val="00820E76"/>
    <w:rsid w:val="00827D22"/>
    <w:rsid w:val="0083231F"/>
    <w:rsid w:val="00846411"/>
    <w:rsid w:val="00853E60"/>
    <w:rsid w:val="00857094"/>
    <w:rsid w:val="00860E12"/>
    <w:rsid w:val="00881D05"/>
    <w:rsid w:val="008A26F0"/>
    <w:rsid w:val="008B17DE"/>
    <w:rsid w:val="008B621B"/>
    <w:rsid w:val="008C7405"/>
    <w:rsid w:val="008D113E"/>
    <w:rsid w:val="008D7D71"/>
    <w:rsid w:val="008E5072"/>
    <w:rsid w:val="008F0545"/>
    <w:rsid w:val="0090137F"/>
    <w:rsid w:val="00944233"/>
    <w:rsid w:val="0095405E"/>
    <w:rsid w:val="009675EA"/>
    <w:rsid w:val="009809B1"/>
    <w:rsid w:val="0098309E"/>
    <w:rsid w:val="009949AE"/>
    <w:rsid w:val="009A1A5E"/>
    <w:rsid w:val="009A5AD2"/>
    <w:rsid w:val="009A7297"/>
    <w:rsid w:val="009A7390"/>
    <w:rsid w:val="009B2AC1"/>
    <w:rsid w:val="009C511A"/>
    <w:rsid w:val="009C5D04"/>
    <w:rsid w:val="009D7737"/>
    <w:rsid w:val="009D7802"/>
    <w:rsid w:val="00A259EB"/>
    <w:rsid w:val="00A3073C"/>
    <w:rsid w:val="00A30A85"/>
    <w:rsid w:val="00A31BDC"/>
    <w:rsid w:val="00A53F90"/>
    <w:rsid w:val="00A744AF"/>
    <w:rsid w:val="00A935EF"/>
    <w:rsid w:val="00A96F32"/>
    <w:rsid w:val="00AA2862"/>
    <w:rsid w:val="00AD5004"/>
    <w:rsid w:val="00AE1AF3"/>
    <w:rsid w:val="00AE5953"/>
    <w:rsid w:val="00AE5D7D"/>
    <w:rsid w:val="00AF2953"/>
    <w:rsid w:val="00AF2ABF"/>
    <w:rsid w:val="00AF771D"/>
    <w:rsid w:val="00B3663C"/>
    <w:rsid w:val="00B54FC0"/>
    <w:rsid w:val="00B64084"/>
    <w:rsid w:val="00B73854"/>
    <w:rsid w:val="00B826F4"/>
    <w:rsid w:val="00B869D1"/>
    <w:rsid w:val="00B87332"/>
    <w:rsid w:val="00B91F36"/>
    <w:rsid w:val="00BA58D1"/>
    <w:rsid w:val="00BB1AF1"/>
    <w:rsid w:val="00BB1C1F"/>
    <w:rsid w:val="00BB2293"/>
    <w:rsid w:val="00BC306B"/>
    <w:rsid w:val="00BC5116"/>
    <w:rsid w:val="00BE19C8"/>
    <w:rsid w:val="00BE414A"/>
    <w:rsid w:val="00BF1BD1"/>
    <w:rsid w:val="00BF7579"/>
    <w:rsid w:val="00C01315"/>
    <w:rsid w:val="00C059F2"/>
    <w:rsid w:val="00C2250C"/>
    <w:rsid w:val="00C326FD"/>
    <w:rsid w:val="00C41439"/>
    <w:rsid w:val="00C43F6D"/>
    <w:rsid w:val="00C456A2"/>
    <w:rsid w:val="00C67A9F"/>
    <w:rsid w:val="00C72546"/>
    <w:rsid w:val="00C76FD1"/>
    <w:rsid w:val="00C807CE"/>
    <w:rsid w:val="00C80D08"/>
    <w:rsid w:val="00CA1558"/>
    <w:rsid w:val="00CA2251"/>
    <w:rsid w:val="00CA3F80"/>
    <w:rsid w:val="00CB0631"/>
    <w:rsid w:val="00CB2101"/>
    <w:rsid w:val="00CC7516"/>
    <w:rsid w:val="00CE1C1B"/>
    <w:rsid w:val="00CF416A"/>
    <w:rsid w:val="00CF6895"/>
    <w:rsid w:val="00D0577A"/>
    <w:rsid w:val="00D115D8"/>
    <w:rsid w:val="00D16448"/>
    <w:rsid w:val="00D335A4"/>
    <w:rsid w:val="00D37FD8"/>
    <w:rsid w:val="00D572F2"/>
    <w:rsid w:val="00D679D3"/>
    <w:rsid w:val="00D809D1"/>
    <w:rsid w:val="00DB2A28"/>
    <w:rsid w:val="00DB370B"/>
    <w:rsid w:val="00DD4F86"/>
    <w:rsid w:val="00E00980"/>
    <w:rsid w:val="00E15355"/>
    <w:rsid w:val="00E176FB"/>
    <w:rsid w:val="00E320EA"/>
    <w:rsid w:val="00E32449"/>
    <w:rsid w:val="00E35852"/>
    <w:rsid w:val="00E62C54"/>
    <w:rsid w:val="00E961F2"/>
    <w:rsid w:val="00EB2011"/>
    <w:rsid w:val="00EB2469"/>
    <w:rsid w:val="00EB2739"/>
    <w:rsid w:val="00EB79D9"/>
    <w:rsid w:val="00ED3E09"/>
    <w:rsid w:val="00EE267D"/>
    <w:rsid w:val="00EF13B8"/>
    <w:rsid w:val="00F0654E"/>
    <w:rsid w:val="00F06AF9"/>
    <w:rsid w:val="00F3146A"/>
    <w:rsid w:val="00F339E5"/>
    <w:rsid w:val="00F47AF2"/>
    <w:rsid w:val="00F67399"/>
    <w:rsid w:val="00F823C2"/>
    <w:rsid w:val="00F84D4A"/>
    <w:rsid w:val="00F947B3"/>
    <w:rsid w:val="00FA6045"/>
    <w:rsid w:val="00FC22C4"/>
    <w:rsid w:val="00FD140D"/>
    <w:rsid w:val="00FF0C49"/>
    <w:rsid w:val="0A6D18E6"/>
    <w:rsid w:val="0CD805FA"/>
    <w:rsid w:val="0E626D57"/>
    <w:rsid w:val="11C23779"/>
    <w:rsid w:val="171A2FBE"/>
    <w:rsid w:val="183B6864"/>
    <w:rsid w:val="1A6B635B"/>
    <w:rsid w:val="22F8522B"/>
    <w:rsid w:val="28295DAD"/>
    <w:rsid w:val="2863731C"/>
    <w:rsid w:val="2F0B1ECC"/>
    <w:rsid w:val="2FEA5603"/>
    <w:rsid w:val="335512A2"/>
    <w:rsid w:val="33820193"/>
    <w:rsid w:val="346F5EF3"/>
    <w:rsid w:val="3E94330A"/>
    <w:rsid w:val="3F363A9A"/>
    <w:rsid w:val="3F6F1937"/>
    <w:rsid w:val="426F3A5A"/>
    <w:rsid w:val="42A969CC"/>
    <w:rsid w:val="43F95498"/>
    <w:rsid w:val="447910C8"/>
    <w:rsid w:val="4B334F3B"/>
    <w:rsid w:val="4BE94870"/>
    <w:rsid w:val="4D995158"/>
    <w:rsid w:val="4EB1136E"/>
    <w:rsid w:val="618E3D3B"/>
    <w:rsid w:val="64483348"/>
    <w:rsid w:val="6555162E"/>
    <w:rsid w:val="670533FF"/>
    <w:rsid w:val="69A56D91"/>
    <w:rsid w:val="6ACE521E"/>
    <w:rsid w:val="6E6500FD"/>
    <w:rsid w:val="78E52CDF"/>
    <w:rsid w:val="79713A29"/>
    <w:rsid w:val="7A686F1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4"/>
    <w:semiHidden/>
    <w:unhideWhenUsed/>
    <w:qFormat/>
    <w:uiPriority w:val="1"/>
    <w:pPr>
      <w:autoSpaceDE w:val="0"/>
      <w:autoSpaceDN w:val="0"/>
      <w:jc w:val="left"/>
    </w:pPr>
    <w:rPr>
      <w:rFonts w:ascii="仿宋" w:hAnsi="仿宋" w:eastAsia="仿宋" w:cs="仿宋"/>
      <w:kern w:val="0"/>
      <w:sz w:val="28"/>
      <w:szCs w:val="28"/>
      <w:lang w:val="zh-CN" w:bidi="zh-CN"/>
    </w:rPr>
  </w:style>
  <w:style w:type="paragraph" w:styleId="5">
    <w:name w:val="Balloon Text"/>
    <w:basedOn w:val="1"/>
    <w:link w:val="17"/>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table" w:styleId="11">
    <w:name w:val="Table Grid"/>
    <w:basedOn w:val="1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themeColor="hyperlink"/>
      <w:u w:val="single"/>
    </w:rPr>
  </w:style>
  <w:style w:type="paragraph" w:styleId="14">
    <w:name w:val="List Paragraph"/>
    <w:basedOn w:val="1"/>
    <w:qFormat/>
    <w:uiPriority w:val="34"/>
    <w:pPr>
      <w:ind w:firstLine="420" w:firstLineChars="200"/>
    </w:pPr>
  </w:style>
  <w:style w:type="character" w:customStyle="1" w:styleId="15">
    <w:name w:val="页眉 Char"/>
    <w:basedOn w:val="12"/>
    <w:link w:val="7"/>
    <w:qFormat/>
    <w:uiPriority w:val="99"/>
    <w:rPr>
      <w:sz w:val="18"/>
      <w:szCs w:val="18"/>
    </w:rPr>
  </w:style>
  <w:style w:type="character" w:customStyle="1" w:styleId="16">
    <w:name w:val="页脚 Char"/>
    <w:basedOn w:val="12"/>
    <w:link w:val="6"/>
    <w:qFormat/>
    <w:uiPriority w:val="99"/>
    <w:rPr>
      <w:sz w:val="18"/>
      <w:szCs w:val="18"/>
    </w:rPr>
  </w:style>
  <w:style w:type="character" w:customStyle="1" w:styleId="17">
    <w:name w:val="批注框文本 Char"/>
    <w:basedOn w:val="12"/>
    <w:link w:val="5"/>
    <w:semiHidden/>
    <w:qFormat/>
    <w:uiPriority w:val="99"/>
    <w:rPr>
      <w:sz w:val="18"/>
      <w:szCs w:val="18"/>
    </w:rPr>
  </w:style>
  <w:style w:type="character" w:customStyle="1" w:styleId="18">
    <w:name w:val="标题 1 Char"/>
    <w:basedOn w:val="12"/>
    <w:link w:val="2"/>
    <w:qFormat/>
    <w:uiPriority w:val="9"/>
    <w:rPr>
      <w:b/>
      <w:bCs/>
      <w:kern w:val="44"/>
      <w:sz w:val="44"/>
      <w:szCs w:val="44"/>
    </w:rPr>
  </w:style>
  <w:style w:type="character" w:customStyle="1" w:styleId="19">
    <w:name w:val="标题 2 Char"/>
    <w:basedOn w:val="12"/>
    <w:link w:val="3"/>
    <w:qFormat/>
    <w:uiPriority w:val="9"/>
    <w:rPr>
      <w:rFonts w:asciiTheme="majorHAnsi" w:hAnsiTheme="majorHAnsi" w:eastAsiaTheme="majorEastAsia" w:cstheme="majorBidi"/>
      <w:b/>
      <w:bCs/>
      <w:sz w:val="32"/>
      <w:szCs w:val="32"/>
    </w:rPr>
  </w:style>
  <w:style w:type="paragraph" w:customStyle="1" w:styleId="20">
    <w:name w:val="Table Paragraph"/>
    <w:basedOn w:val="1"/>
    <w:qFormat/>
    <w:uiPriority w:val="1"/>
    <w:pPr>
      <w:autoSpaceDE w:val="0"/>
      <w:autoSpaceDN w:val="0"/>
      <w:jc w:val="left"/>
    </w:pPr>
    <w:rPr>
      <w:rFonts w:ascii="仿宋" w:hAnsi="仿宋" w:eastAsia="仿宋" w:cs="仿宋"/>
      <w:kern w:val="0"/>
      <w:sz w:val="22"/>
      <w:lang w:val="zh-CN" w:bidi="zh-CN"/>
    </w:rPr>
  </w:style>
  <w:style w:type="table" w:customStyle="1" w:styleId="21">
    <w:name w:val="Table Normal"/>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table" w:customStyle="1" w:styleId="22">
    <w:name w:val="Table Normal1"/>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table" w:customStyle="1" w:styleId="23">
    <w:name w:val="Table Normal2"/>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character" w:customStyle="1" w:styleId="24">
    <w:name w:val="正文文本 Char"/>
    <w:basedOn w:val="12"/>
    <w:link w:val="4"/>
    <w:semiHidden/>
    <w:qFormat/>
    <w:uiPriority w:val="1"/>
    <w:rPr>
      <w:rFonts w:ascii="仿宋" w:hAnsi="仿宋" w:eastAsia="仿宋" w:cs="仿宋"/>
      <w:sz w:val="28"/>
      <w:szCs w:val="28"/>
      <w:lang w:val="zh-CN" w:bidi="zh-CN"/>
    </w:rPr>
  </w:style>
  <w:style w:type="paragraph" w:customStyle="1" w:styleId="25">
    <w:name w:val="标题3"/>
    <w:basedOn w:val="1"/>
    <w:link w:val="26"/>
    <w:qFormat/>
    <w:uiPriority w:val="0"/>
    <w:pPr>
      <w:spacing w:line="360" w:lineRule="auto"/>
      <w:outlineLvl w:val="2"/>
    </w:pPr>
    <w:rPr>
      <w:rFonts w:ascii="仿宋" w:hAnsi="仿宋" w:eastAsia="仿宋"/>
      <w:b/>
      <w:kern w:val="0"/>
      <w:sz w:val="30"/>
      <w:szCs w:val="28"/>
    </w:rPr>
  </w:style>
  <w:style w:type="character" w:customStyle="1" w:styleId="26">
    <w:name w:val="标题3 Char"/>
    <w:link w:val="25"/>
    <w:qFormat/>
    <w:uiPriority w:val="0"/>
    <w:rPr>
      <w:rFonts w:ascii="仿宋" w:hAnsi="仿宋" w:eastAsia="仿宋"/>
      <w:b/>
      <w:sz w:val="30"/>
      <w:szCs w:val="28"/>
    </w:rPr>
  </w:style>
  <w:style w:type="paragraph" w:customStyle="1" w:styleId="27">
    <w:name w:val="图表标注"/>
    <w:basedOn w:val="1"/>
    <w:link w:val="28"/>
    <w:qFormat/>
    <w:uiPriority w:val="0"/>
    <w:pPr>
      <w:jc w:val="center"/>
    </w:pPr>
    <w:rPr>
      <w:rFonts w:ascii="仿宋" w:hAnsi="仿宋" w:eastAsia="仿宋"/>
      <w:b/>
      <w:kern w:val="0"/>
      <w:szCs w:val="24"/>
    </w:rPr>
  </w:style>
  <w:style w:type="character" w:customStyle="1" w:styleId="28">
    <w:name w:val="图表标注 Char"/>
    <w:link w:val="27"/>
    <w:qFormat/>
    <w:uiPriority w:val="0"/>
    <w:rPr>
      <w:rFonts w:ascii="仿宋" w:hAnsi="仿宋" w:eastAsia="仿宋"/>
      <w:b/>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emf"/><Relationship Id="rId7" Type="http://schemas.openxmlformats.org/officeDocument/2006/relationships/image" Target="file:///C:\Users\Administrator\Documents\Tencent%252525252525252520Files\953369346\Image\C2C\%2525252525252525259IYW3%25252525252525257d40BV%2525252525252525606PQ%25252525252525257d0E6%252525252525252525HTJ.jpg" TargetMode="Externa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0FD44-C08B-4F56-8568-68AE71122DB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35</Pages>
  <Words>11800</Words>
  <Characters>12454</Characters>
  <Lines>109</Lines>
  <Paragraphs>30</Paragraphs>
  <TotalTime>648</TotalTime>
  <ScaleCrop>false</ScaleCrop>
  <LinksUpToDate>false</LinksUpToDate>
  <CharactersWithSpaces>12723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2021-10-19T07:22:00Z</dcterms:created>
  <dc:creator>国咨项目管理有限公司:田飞</dc:creator>
  <cp:lastModifiedBy>Administrator</cp:lastModifiedBy>
  <cp:lastPrinted>2022-01-24T07:13:00Z</cp:lastPrinted>
  <dcterms:modified xsi:type="dcterms:W3CDTF">2023-01-13T14:13:09Z</dcterms:modified>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17B24352D39D4B6B8793AF9A300E1918</vt:lpwstr>
  </property>
</Properties>
</file>