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sz w:val="44"/>
          <w:szCs w:val="44"/>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农村户用无害化卫生厕所吸污车</w:t>
      </w: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项目绩效评价报告</w:t>
      </w:r>
    </w:p>
    <w:p>
      <w:pPr>
        <w:jc w:val="center"/>
        <w:rPr>
          <w:rFonts w:ascii="黑体" w:hAnsi="黑体" w:eastAsia="黑体"/>
          <w:b/>
          <w:sz w:val="44"/>
          <w:szCs w:val="44"/>
        </w:rPr>
      </w:pPr>
    </w:p>
    <w:p>
      <w:pP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r>
        <w:rPr>
          <w:rFonts w:ascii="宋体" w:hAnsi="宋体" w:cs="新宋体"/>
          <w:kern w:val="0"/>
          <w:sz w:val="24"/>
        </w:rPr>
        <w:drawing>
          <wp:inline distT="0" distB="0" distL="0" distR="0">
            <wp:extent cx="2400300" cy="2400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a:xfrm>
                      <a:off x="0" y="0"/>
                      <a:ext cx="2400300" cy="2400300"/>
                    </a:xfrm>
                    <a:prstGeom prst="rect">
                      <a:avLst/>
                    </a:prstGeom>
                    <a:noFill/>
                    <a:ln>
                      <a:noFill/>
                    </a:ln>
                  </pic:spPr>
                </pic:pic>
              </a:graphicData>
            </a:graphic>
          </wp:inline>
        </w:drawing>
      </w: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日期：2022年12月09日</w:t>
      </w:r>
    </w:p>
    <w:p>
      <w:pPr>
        <w:jc w:val="center"/>
        <w:rPr>
          <w:rFonts w:asciiTheme="majorEastAsia" w:hAnsiTheme="majorEastAsia" w:eastAsiaTheme="majorEastAsia"/>
          <w:b/>
          <w:sz w:val="36"/>
          <w:szCs w:val="36"/>
        </w:rPr>
      </w:pPr>
    </w:p>
    <w:p>
      <w:pPr>
        <w:jc w:val="center"/>
        <w:rPr>
          <w:rFonts w:asciiTheme="majorEastAsia" w:hAnsiTheme="majorEastAsia" w:eastAsiaTheme="majorEastAsia"/>
          <w:b/>
          <w:sz w:val="52"/>
          <w:szCs w:val="52"/>
        </w:rPr>
      </w:pP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农村户用无害化卫生厕所吸污车</w:t>
      </w:r>
    </w:p>
    <w:p>
      <w:pPr>
        <w:jc w:val="center"/>
        <w:rPr>
          <w:rFonts w:asciiTheme="majorEastAsia" w:hAnsiTheme="majorEastAsia" w:eastAsiaTheme="majorEastAsia"/>
          <w:b/>
          <w:sz w:val="52"/>
          <w:szCs w:val="52"/>
        </w:rPr>
      </w:pPr>
      <w:r>
        <w:rPr>
          <w:rFonts w:hint="eastAsia" w:asciiTheme="majorEastAsia" w:hAnsiTheme="majorEastAsia" w:eastAsiaTheme="majorEastAsia"/>
          <w:b/>
          <w:sz w:val="52"/>
          <w:szCs w:val="52"/>
        </w:rPr>
        <w:t>项目绩效评价报告</w:t>
      </w:r>
    </w:p>
    <w:p>
      <w:pPr>
        <w:jc w:val="center"/>
        <w:rPr>
          <w:rFonts w:ascii="黑体" w:hAnsi="黑体" w:eastAsia="黑体"/>
          <w:b/>
          <w:sz w:val="44"/>
          <w:szCs w:val="44"/>
        </w:rPr>
      </w:pPr>
    </w:p>
    <w:p>
      <w:pPr>
        <w:rPr>
          <w:rFonts w:ascii="黑体" w:hAnsi="黑体" w:eastAsia="黑体"/>
          <w:b/>
          <w:sz w:val="44"/>
          <w:szCs w:val="44"/>
        </w:rPr>
      </w:pP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绩效评价工作组  张迪  李雅莉</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张颖  谢吉波</w:t>
      </w:r>
    </w:p>
    <w:p>
      <w:pPr>
        <w:spacing w:beforeLines="50" w:afterLines="50" w:line="360" w:lineRule="auto"/>
        <w:ind w:left="105" w:leftChars="50" w:right="105" w:rightChars="50" w:firstLine="4320" w:firstLineChars="1200"/>
        <w:rPr>
          <w:rFonts w:ascii="仿宋" w:hAnsi="仿宋" w:eastAsia="仿宋"/>
          <w:sz w:val="36"/>
          <w:szCs w:val="36"/>
        </w:rPr>
      </w:pPr>
      <w:r>
        <w:rPr>
          <w:rFonts w:hint="eastAsia" w:ascii="仿宋" w:hAnsi="仿宋" w:eastAsia="仿宋"/>
          <w:sz w:val="36"/>
          <w:szCs w:val="36"/>
        </w:rPr>
        <w:t>冉若男</w:t>
      </w:r>
    </w:p>
    <w:p>
      <w:pPr>
        <w:spacing w:beforeLines="50" w:afterLines="50" w:line="360" w:lineRule="auto"/>
        <w:ind w:right="105" w:rightChars="50" w:firstLine="1620" w:firstLineChars="450"/>
        <w:rPr>
          <w:rFonts w:ascii="仿宋" w:hAnsi="仿宋" w:eastAsia="仿宋"/>
          <w:sz w:val="36"/>
          <w:szCs w:val="36"/>
        </w:rPr>
      </w:pPr>
      <w:r>
        <w:rPr>
          <w:rFonts w:hint="eastAsia" w:ascii="仿宋" w:hAnsi="仿宋" w:eastAsia="仿宋"/>
          <w:sz w:val="36"/>
          <w:szCs w:val="36"/>
        </w:rPr>
        <w:t>绩效评价专家组  杨林森  注册会计师</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 xml:space="preserve">                      曹毅    高级工程师                   </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rPr>
        <w:t xml:space="preserve">                      汪淑华  高级工程师</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lang w:val="en-US" w:eastAsia="zh-CN"/>
        </w:rPr>
        <w:t xml:space="preserve">                       </w:t>
      </w:r>
      <w:r>
        <w:rPr>
          <w:rFonts w:hint="eastAsia" w:ascii="仿宋" w:hAnsi="仿宋" w:eastAsia="仿宋"/>
          <w:sz w:val="36"/>
          <w:szCs w:val="36"/>
        </w:rPr>
        <w:t>韩江波   高级工程师</w:t>
      </w:r>
    </w:p>
    <w:p>
      <w:pPr>
        <w:spacing w:beforeLines="50" w:afterLines="50" w:line="360" w:lineRule="auto"/>
        <w:ind w:left="105" w:leftChars="50" w:right="105" w:rightChars="50"/>
        <w:jc w:val="center"/>
        <w:rPr>
          <w:rFonts w:hint="eastAsia" w:ascii="仿宋" w:hAnsi="仿宋" w:eastAsia="仿宋"/>
          <w:sz w:val="36"/>
          <w:szCs w:val="36"/>
        </w:rPr>
      </w:pPr>
      <w:r>
        <w:rPr>
          <w:rFonts w:hint="eastAsia" w:ascii="仿宋" w:hAnsi="仿宋" w:eastAsia="仿宋"/>
          <w:sz w:val="36"/>
          <w:szCs w:val="36"/>
        </w:rPr>
        <w:t xml:space="preserve">                 刘振青  律师</w:t>
      </w:r>
    </w:p>
    <w:p>
      <w:pPr>
        <w:spacing w:beforeLines="50" w:afterLines="50" w:line="360" w:lineRule="auto"/>
        <w:ind w:left="105" w:leftChars="50" w:right="105" w:rightChars="50"/>
        <w:jc w:val="center"/>
        <w:rPr>
          <w:rFonts w:ascii="仿宋" w:hAnsi="仿宋" w:eastAsia="仿宋"/>
          <w:sz w:val="36"/>
          <w:szCs w:val="36"/>
        </w:rPr>
      </w:pPr>
      <w:r>
        <w:rPr>
          <w:rFonts w:hint="eastAsia" w:ascii="仿宋" w:hAnsi="仿宋" w:eastAsia="仿宋"/>
          <w:sz w:val="36"/>
          <w:szCs w:val="36"/>
        </w:rPr>
        <w:t>编制人  张颖</w:t>
      </w:r>
    </w:p>
    <w:p>
      <w:pPr>
        <w:spacing w:beforeLines="50" w:afterLines="50" w:line="360" w:lineRule="auto"/>
        <w:ind w:left="105" w:leftChars="50" w:right="105" w:rightChars="50" w:firstLine="3060" w:firstLineChars="850"/>
        <w:rPr>
          <w:rFonts w:ascii="仿宋" w:hAnsi="仿宋" w:eastAsia="仿宋"/>
          <w:sz w:val="36"/>
          <w:szCs w:val="36"/>
        </w:rPr>
      </w:pPr>
      <w:r>
        <w:rPr>
          <w:rFonts w:hint="eastAsia" w:ascii="仿宋" w:hAnsi="仿宋" w:eastAsia="仿宋"/>
          <w:sz w:val="36"/>
          <w:szCs w:val="36"/>
        </w:rPr>
        <w:t>审核人  张迪</w:t>
      </w:r>
    </w:p>
    <w:p>
      <w:pPr>
        <w:spacing w:beforeLines="50" w:afterLines="50" w:line="360" w:lineRule="auto"/>
        <w:ind w:left="105" w:leftChars="50" w:right="105" w:rightChars="50"/>
        <w:jc w:val="center"/>
        <w:rPr>
          <w:rFonts w:ascii="黑体" w:hAnsi="黑体" w:eastAsia="黑体"/>
          <w:b/>
          <w:sz w:val="44"/>
          <w:szCs w:val="44"/>
        </w:rPr>
      </w:pPr>
    </w:p>
    <w:p>
      <w:pPr>
        <w:rPr>
          <w:rFonts w:ascii="黑体" w:hAnsi="黑体" w:eastAsia="黑体"/>
          <w:b/>
          <w:sz w:val="44"/>
          <w:szCs w:val="44"/>
        </w:rPr>
      </w:pP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评价机构：国咨项目管理有限公司</w:t>
      </w:r>
    </w:p>
    <w:p>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日期：2021年12月09日</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drawing>
          <wp:inline distT="0" distB="0" distL="0" distR="0">
            <wp:extent cx="5274310" cy="74587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458741"/>
                    </a:xfrm>
                    <a:prstGeom prst="rect">
                      <a:avLst/>
                    </a:prstGeom>
                    <a:noFill/>
                    <a:ln>
                      <a:noFill/>
                    </a:ln>
                  </pic:spPr>
                </pic:pic>
              </a:graphicData>
            </a:graphic>
          </wp:inline>
        </w:drawing>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摘  要</w:t>
      </w:r>
    </w:p>
    <w:p>
      <w:pPr>
        <w:spacing w:beforeLines="50" w:afterLines="50" w:line="360" w:lineRule="auto"/>
        <w:ind w:left="105" w:leftChars="50" w:right="105" w:rightChars="50" w:firstLine="600" w:firstLineChars="200"/>
        <w:jc w:val="left"/>
        <w:rPr>
          <w:rFonts w:asciiTheme="minorEastAsia" w:hAnsiTheme="minorEastAsia"/>
          <w:sz w:val="30"/>
          <w:szCs w:val="30"/>
        </w:rPr>
      </w:pPr>
      <w:r>
        <w:rPr>
          <w:rFonts w:hint="eastAsia" w:asciiTheme="minorEastAsia" w:hAnsiTheme="minorEastAsia"/>
          <w:sz w:val="30"/>
          <w:szCs w:val="30"/>
        </w:rPr>
        <w:t xml:space="preserve">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农村户用无害化卫生厕所吸污车项目进行绩效评价。 </w:t>
      </w:r>
    </w:p>
    <w:p>
      <w:pPr>
        <w:spacing w:beforeLines="50" w:afterLines="50" w:line="360" w:lineRule="auto"/>
        <w:ind w:left="105" w:leftChars="50" w:right="105" w:rightChars="50" w:firstLine="600" w:firstLineChars="200"/>
        <w:jc w:val="left"/>
        <w:rPr>
          <w:rFonts w:asciiTheme="minorEastAsia" w:hAnsiTheme="minorEastAsia"/>
          <w:sz w:val="30"/>
          <w:szCs w:val="30"/>
        </w:rPr>
      </w:pPr>
      <w:r>
        <w:rPr>
          <w:rFonts w:hint="eastAsia" w:asciiTheme="minorEastAsia" w:hAnsiTheme="minorEastAsia"/>
          <w:sz w:val="30"/>
          <w:szCs w:val="30"/>
        </w:rPr>
        <w:t>国咨项目管理有限公司通过构建评价指标体系、机构座谈、问卷调查等形式，对农村户用无害化卫生厕所吸污车项目进行综合评价。评价结果表明:农村户用无害化卫生厕所吸污车项目绩效评价综合得分</w:t>
      </w:r>
      <w:r>
        <w:rPr>
          <w:rFonts w:hint="eastAsia" w:asciiTheme="minorEastAsia" w:hAnsiTheme="minorEastAsia"/>
          <w:sz w:val="30"/>
          <w:szCs w:val="30"/>
          <w:lang w:val="en-US" w:eastAsia="zh-CN"/>
        </w:rPr>
        <w:t>90.8</w:t>
      </w:r>
      <w:r>
        <w:rPr>
          <w:rFonts w:hint="eastAsia" w:asciiTheme="minorEastAsia" w:hAnsiTheme="minorEastAsia"/>
          <w:sz w:val="30"/>
          <w:szCs w:val="30"/>
        </w:rPr>
        <w:t>分，评价结果为“</w:t>
      </w:r>
      <w:r>
        <w:rPr>
          <w:rFonts w:hint="eastAsia" w:asciiTheme="minorEastAsia" w:hAnsiTheme="minorEastAsia"/>
          <w:sz w:val="30"/>
          <w:szCs w:val="30"/>
          <w:lang w:eastAsia="zh-CN"/>
        </w:rPr>
        <w:t>优</w:t>
      </w:r>
      <w:r>
        <w:rPr>
          <w:rFonts w:hint="eastAsia" w:asciiTheme="minorEastAsia" w:hAnsiTheme="minorEastAsia"/>
          <w:sz w:val="30"/>
          <w:szCs w:val="30"/>
        </w:rPr>
        <w:t>”。评价过程中，发现该项目实施过程中，农村户用无害化卫生厕所吸污车项目完成绩效目标情况良好，项目资料完善，资金使用合规，资金拨付率高，且项目的实施对农村人居环境的改善情况基本达到了预期的效果，但也存在缺少后续</w:t>
      </w:r>
      <w:r>
        <w:rPr>
          <w:rFonts w:hint="eastAsia" w:asciiTheme="minorEastAsia" w:hAnsiTheme="minorEastAsia"/>
          <w:sz w:val="30"/>
          <w:szCs w:val="30"/>
          <w:lang w:eastAsia="zh-CN"/>
        </w:rPr>
        <w:t>管理制度</w:t>
      </w:r>
      <w:r>
        <w:rPr>
          <w:rFonts w:hint="eastAsia" w:asciiTheme="minorEastAsia" w:hAnsiTheme="minorEastAsia"/>
          <w:sz w:val="30"/>
          <w:szCs w:val="30"/>
        </w:rPr>
        <w:t>等问题，评价组从构建全过程预算绩效管理链条、加强宣传力度等方面提出优化建议。</w:t>
      </w:r>
    </w:p>
    <w:p>
      <w:pPr>
        <w:spacing w:beforeLines="50" w:afterLines="50" w:line="360" w:lineRule="auto"/>
        <w:ind w:left="105" w:leftChars="50" w:right="105" w:rightChars="50" w:firstLine="883" w:firstLineChars="200"/>
        <w:jc w:val="center"/>
        <w:rPr>
          <w:rFonts w:asciiTheme="majorEastAsia" w:hAnsiTheme="majorEastAsia" w:eastAsiaTheme="majorEastAsia"/>
          <w:b/>
          <w:sz w:val="44"/>
          <w:szCs w:val="44"/>
        </w:rPr>
      </w:pPr>
    </w:p>
    <w:p>
      <w:pPr>
        <w:spacing w:beforeLines="50" w:afterLines="50" w:line="360" w:lineRule="auto"/>
        <w:ind w:left="105" w:leftChars="50" w:right="105" w:rightChars="50" w:firstLine="883" w:firstLineChars="200"/>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目 录</w:t>
      </w:r>
    </w:p>
    <w:p>
      <w:pPr>
        <w:pStyle w:val="9"/>
        <w:tabs>
          <w:tab w:val="right" w:leader="dot" w:pos="8296"/>
        </w:tabs>
        <w:rPr>
          <w:sz w:val="28"/>
          <w:szCs w:val="28"/>
        </w:rPr>
      </w:pPr>
      <w:r>
        <w:rPr>
          <w:rFonts w:asciiTheme="minorEastAsia" w:hAnsiTheme="minorEastAsia"/>
          <w:b/>
          <w:sz w:val="28"/>
          <w:szCs w:val="28"/>
        </w:rPr>
        <w:fldChar w:fldCharType="begin"/>
      </w:r>
      <w:r>
        <w:rPr>
          <w:rFonts w:hint="eastAsia" w:asciiTheme="minorEastAsia" w:hAnsiTheme="minorEastAsia"/>
          <w:b/>
          <w:sz w:val="28"/>
          <w:szCs w:val="28"/>
        </w:rPr>
        <w:instrText xml:space="preserve">TOC \o "1-3" \h \z \u</w:instrText>
      </w:r>
      <w:r>
        <w:rPr>
          <w:rFonts w:asciiTheme="minorEastAsia" w:hAnsiTheme="minorEastAsia"/>
          <w:b/>
          <w:sz w:val="28"/>
          <w:szCs w:val="28"/>
        </w:rPr>
        <w:fldChar w:fldCharType="separate"/>
      </w:r>
      <w:r>
        <w:fldChar w:fldCharType="begin"/>
      </w:r>
      <w:r>
        <w:instrText xml:space="preserve"> HYPERLINK \l "_Toc121748700" </w:instrText>
      </w:r>
      <w:r>
        <w:fldChar w:fldCharType="separate"/>
      </w:r>
      <w:r>
        <w:rPr>
          <w:rStyle w:val="13"/>
          <w:rFonts w:hint="eastAsia" w:asciiTheme="minorEastAsia" w:hAnsiTheme="minorEastAsia"/>
          <w:sz w:val="28"/>
          <w:szCs w:val="28"/>
        </w:rPr>
        <w:t>一、概述</w:t>
      </w:r>
      <w:r>
        <w:rPr>
          <w:sz w:val="28"/>
          <w:szCs w:val="28"/>
        </w:rPr>
        <w:tab/>
      </w:r>
      <w:r>
        <w:rPr>
          <w:sz w:val="28"/>
          <w:szCs w:val="28"/>
        </w:rPr>
        <w:fldChar w:fldCharType="begin"/>
      </w:r>
      <w:r>
        <w:rPr>
          <w:sz w:val="28"/>
          <w:szCs w:val="28"/>
        </w:rPr>
        <w:instrText xml:space="preserve"> PAGEREF _Toc121748700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"_Toc121748701" </w:instrText>
      </w:r>
      <w:r>
        <w:fldChar w:fldCharType="separate"/>
      </w:r>
      <w:r>
        <w:rPr>
          <w:rStyle w:val="13"/>
          <w:rFonts w:hint="eastAsia" w:asciiTheme="minorEastAsia" w:hAnsiTheme="minorEastAsia"/>
          <w:sz w:val="28"/>
          <w:szCs w:val="28"/>
        </w:rPr>
        <w:t>（一）项目单位基本情况</w:t>
      </w:r>
      <w:r>
        <w:rPr>
          <w:sz w:val="28"/>
          <w:szCs w:val="28"/>
        </w:rPr>
        <w:tab/>
      </w:r>
      <w:r>
        <w:rPr>
          <w:sz w:val="28"/>
          <w:szCs w:val="28"/>
        </w:rPr>
        <w:fldChar w:fldCharType="begin"/>
      </w:r>
      <w:r>
        <w:rPr>
          <w:sz w:val="28"/>
          <w:szCs w:val="28"/>
        </w:rPr>
        <w:instrText xml:space="preserve"> PAGEREF _Toc121748701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"_Toc121748702" </w:instrText>
      </w:r>
      <w:r>
        <w:fldChar w:fldCharType="separate"/>
      </w:r>
      <w:r>
        <w:rPr>
          <w:rStyle w:val="13"/>
          <w:rFonts w:hint="eastAsia" w:asciiTheme="minorEastAsia" w:hAnsiTheme="minorEastAsia"/>
          <w:sz w:val="28"/>
          <w:szCs w:val="28"/>
        </w:rPr>
        <w:t>（三）项目基本情况</w:t>
      </w:r>
      <w:r>
        <w:rPr>
          <w:sz w:val="28"/>
          <w:szCs w:val="28"/>
        </w:rPr>
        <w:tab/>
      </w:r>
      <w:r>
        <w:rPr>
          <w:sz w:val="28"/>
          <w:szCs w:val="28"/>
        </w:rPr>
        <w:fldChar w:fldCharType="begin"/>
      </w:r>
      <w:r>
        <w:rPr>
          <w:sz w:val="28"/>
          <w:szCs w:val="28"/>
        </w:rPr>
        <w:instrText xml:space="preserve"> PAGEREF _Toc121748702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"_Toc121748703" </w:instrText>
      </w:r>
      <w:r>
        <w:fldChar w:fldCharType="separate"/>
      </w:r>
      <w:r>
        <w:rPr>
          <w:rStyle w:val="13"/>
          <w:rFonts w:hint="eastAsia" w:asciiTheme="minorEastAsia" w:hAnsiTheme="minorEastAsia"/>
          <w:sz w:val="28"/>
          <w:szCs w:val="28"/>
        </w:rPr>
        <w:t>（四）项目绩效目标</w:t>
      </w:r>
      <w:r>
        <w:rPr>
          <w:sz w:val="28"/>
          <w:szCs w:val="28"/>
        </w:rPr>
        <w:tab/>
      </w:r>
      <w:r>
        <w:rPr>
          <w:sz w:val="28"/>
          <w:szCs w:val="28"/>
        </w:rPr>
        <w:fldChar w:fldCharType="begin"/>
      </w:r>
      <w:r>
        <w:rPr>
          <w:sz w:val="28"/>
          <w:szCs w:val="28"/>
        </w:rPr>
        <w:instrText xml:space="preserve"> PAGEREF _Toc121748703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"_Toc121748704" </w:instrText>
      </w:r>
      <w:r>
        <w:fldChar w:fldCharType="separate"/>
      </w:r>
      <w:r>
        <w:rPr>
          <w:rStyle w:val="13"/>
          <w:rFonts w:hint="eastAsia"/>
          <w:sz w:val="28"/>
          <w:szCs w:val="28"/>
        </w:rPr>
        <w:t>二、绩效评价工作简述</w:t>
      </w:r>
      <w:r>
        <w:rPr>
          <w:sz w:val="28"/>
          <w:szCs w:val="28"/>
        </w:rPr>
        <w:tab/>
      </w:r>
      <w:r>
        <w:rPr>
          <w:sz w:val="28"/>
          <w:szCs w:val="28"/>
        </w:rPr>
        <w:fldChar w:fldCharType="begin"/>
      </w:r>
      <w:r>
        <w:rPr>
          <w:sz w:val="28"/>
          <w:szCs w:val="28"/>
        </w:rPr>
        <w:instrText xml:space="preserve"> PAGEREF _Toc121748704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"_Toc121748705" </w:instrText>
      </w:r>
      <w:r>
        <w:fldChar w:fldCharType="separate"/>
      </w:r>
      <w:r>
        <w:rPr>
          <w:rStyle w:val="13"/>
          <w:rFonts w:hint="eastAsia"/>
          <w:sz w:val="28"/>
          <w:szCs w:val="28"/>
        </w:rPr>
        <w:t>（一）绩效评价目的、对象和范围</w:t>
      </w:r>
      <w:r>
        <w:rPr>
          <w:sz w:val="28"/>
          <w:szCs w:val="28"/>
        </w:rPr>
        <w:tab/>
      </w:r>
      <w:r>
        <w:rPr>
          <w:sz w:val="28"/>
          <w:szCs w:val="28"/>
        </w:rPr>
        <w:fldChar w:fldCharType="begin"/>
      </w:r>
      <w:r>
        <w:rPr>
          <w:sz w:val="28"/>
          <w:szCs w:val="28"/>
        </w:rPr>
        <w:instrText xml:space="preserve"> PAGEREF _Toc121748705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"_Toc121748706" </w:instrText>
      </w:r>
      <w:r>
        <w:fldChar w:fldCharType="separate"/>
      </w:r>
      <w:r>
        <w:rPr>
          <w:rStyle w:val="13"/>
          <w:rFonts w:hint="eastAsia" w:asciiTheme="minorEastAsia" w:hAnsiTheme="minorEastAsia"/>
          <w:sz w:val="28"/>
          <w:szCs w:val="28"/>
        </w:rPr>
        <w:t>（二）绩效评价的依据</w:t>
      </w:r>
      <w:r>
        <w:rPr>
          <w:sz w:val="28"/>
          <w:szCs w:val="28"/>
        </w:rPr>
        <w:tab/>
      </w:r>
      <w:r>
        <w:rPr>
          <w:sz w:val="28"/>
          <w:szCs w:val="28"/>
        </w:rPr>
        <w:fldChar w:fldCharType="begin"/>
      </w:r>
      <w:r>
        <w:rPr>
          <w:sz w:val="28"/>
          <w:szCs w:val="28"/>
        </w:rPr>
        <w:instrText xml:space="preserve"> PAGEREF _Toc121748706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"_Toc121748707" </w:instrText>
      </w:r>
      <w:r>
        <w:fldChar w:fldCharType="separate"/>
      </w:r>
      <w:r>
        <w:rPr>
          <w:rStyle w:val="13"/>
          <w:rFonts w:hint="eastAsia" w:asciiTheme="minorEastAsia" w:hAnsiTheme="minorEastAsia"/>
          <w:sz w:val="28"/>
          <w:szCs w:val="28"/>
        </w:rPr>
        <w:t>（三）绩效评价工作过程</w:t>
      </w:r>
      <w:r>
        <w:rPr>
          <w:sz w:val="28"/>
          <w:szCs w:val="28"/>
        </w:rPr>
        <w:tab/>
      </w:r>
      <w:r>
        <w:rPr>
          <w:sz w:val="28"/>
          <w:szCs w:val="28"/>
        </w:rPr>
        <w:fldChar w:fldCharType="begin"/>
      </w:r>
      <w:r>
        <w:rPr>
          <w:sz w:val="28"/>
          <w:szCs w:val="28"/>
        </w:rPr>
        <w:instrText xml:space="preserve"> PAGEREF _Toc121748707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"_Toc121748708" </w:instrText>
      </w:r>
      <w:r>
        <w:fldChar w:fldCharType="separate"/>
      </w:r>
      <w:r>
        <w:rPr>
          <w:rStyle w:val="13"/>
          <w:rFonts w:hint="eastAsia"/>
          <w:sz w:val="28"/>
          <w:szCs w:val="28"/>
        </w:rPr>
        <w:t>（四）绩效评价原则、评价方法和标准</w:t>
      </w:r>
      <w:r>
        <w:rPr>
          <w:sz w:val="28"/>
          <w:szCs w:val="28"/>
        </w:rPr>
        <w:tab/>
      </w:r>
      <w:r>
        <w:rPr>
          <w:sz w:val="28"/>
          <w:szCs w:val="28"/>
        </w:rPr>
        <w:fldChar w:fldCharType="begin"/>
      </w:r>
      <w:r>
        <w:rPr>
          <w:sz w:val="28"/>
          <w:szCs w:val="28"/>
        </w:rPr>
        <w:instrText xml:space="preserve"> PAGEREF _Toc121748708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"_Toc121748709" </w:instrText>
      </w:r>
      <w:r>
        <w:fldChar w:fldCharType="separate"/>
      </w:r>
      <w:r>
        <w:rPr>
          <w:rStyle w:val="13"/>
          <w:rFonts w:hint="eastAsia"/>
          <w:sz w:val="28"/>
          <w:szCs w:val="28"/>
        </w:rPr>
        <w:t>（五）绩效评价指标体系</w:t>
      </w:r>
      <w:r>
        <w:rPr>
          <w:sz w:val="28"/>
          <w:szCs w:val="28"/>
        </w:rPr>
        <w:tab/>
      </w:r>
      <w:r>
        <w:rPr>
          <w:sz w:val="28"/>
          <w:szCs w:val="28"/>
        </w:rPr>
        <w:fldChar w:fldCharType="begin"/>
      </w:r>
      <w:r>
        <w:rPr>
          <w:sz w:val="28"/>
          <w:szCs w:val="28"/>
        </w:rPr>
        <w:instrText xml:space="preserve"> PAGEREF _Toc121748709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"_Toc121748710" </w:instrText>
      </w:r>
      <w:r>
        <w:fldChar w:fldCharType="separate"/>
      </w:r>
      <w:r>
        <w:rPr>
          <w:rStyle w:val="13"/>
          <w:rFonts w:hint="eastAsia" w:asciiTheme="minorEastAsia" w:hAnsiTheme="minorEastAsia"/>
          <w:kern w:val="44"/>
          <w:sz w:val="28"/>
          <w:szCs w:val="28"/>
        </w:rPr>
        <w:t>（六）绩效评价标准及评价等级</w:t>
      </w:r>
      <w:r>
        <w:rPr>
          <w:sz w:val="28"/>
          <w:szCs w:val="28"/>
        </w:rPr>
        <w:tab/>
      </w:r>
      <w:r>
        <w:rPr>
          <w:sz w:val="28"/>
          <w:szCs w:val="28"/>
        </w:rPr>
        <w:fldChar w:fldCharType="begin"/>
      </w:r>
      <w:r>
        <w:rPr>
          <w:sz w:val="28"/>
          <w:szCs w:val="28"/>
        </w:rPr>
        <w:instrText xml:space="preserve"> PAGEREF _Toc121748710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"_Toc121748711" </w:instrText>
      </w:r>
      <w:r>
        <w:fldChar w:fldCharType="separate"/>
      </w:r>
      <w:r>
        <w:rPr>
          <w:rStyle w:val="13"/>
          <w:rFonts w:hint="eastAsia"/>
          <w:sz w:val="28"/>
          <w:szCs w:val="28"/>
        </w:rPr>
        <w:t>三、绩效评价分析</w:t>
      </w:r>
      <w:r>
        <w:rPr>
          <w:sz w:val="28"/>
          <w:szCs w:val="28"/>
        </w:rPr>
        <w:tab/>
      </w:r>
      <w:r>
        <w:rPr>
          <w:sz w:val="28"/>
          <w:szCs w:val="28"/>
        </w:rPr>
        <w:fldChar w:fldCharType="begin"/>
      </w:r>
      <w:r>
        <w:rPr>
          <w:sz w:val="28"/>
          <w:szCs w:val="28"/>
        </w:rPr>
        <w:instrText xml:space="preserve"> PAGEREF _Toc121748711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"_Toc121748712" </w:instrText>
      </w:r>
      <w:r>
        <w:fldChar w:fldCharType="separate"/>
      </w:r>
      <w:r>
        <w:rPr>
          <w:rStyle w:val="13"/>
          <w:rFonts w:hint="eastAsia"/>
          <w:sz w:val="28"/>
          <w:szCs w:val="28"/>
        </w:rPr>
        <w:t>（一）</w:t>
      </w:r>
      <w:r>
        <w:rPr>
          <w:rStyle w:val="13"/>
          <w:rFonts w:hint="eastAsia" w:asciiTheme="minorEastAsia" w:hAnsiTheme="minorEastAsia"/>
          <w:sz w:val="28"/>
          <w:szCs w:val="28"/>
        </w:rPr>
        <w:t>项目决策情况</w:t>
      </w:r>
      <w:r>
        <w:rPr>
          <w:sz w:val="28"/>
          <w:szCs w:val="28"/>
        </w:rPr>
        <w:tab/>
      </w:r>
      <w:r>
        <w:rPr>
          <w:sz w:val="28"/>
          <w:szCs w:val="28"/>
        </w:rPr>
        <w:fldChar w:fldCharType="begin"/>
      </w:r>
      <w:r>
        <w:rPr>
          <w:sz w:val="28"/>
          <w:szCs w:val="28"/>
        </w:rPr>
        <w:instrText xml:space="preserve"> PAGEREF _Toc121748712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"_Toc121748713" </w:instrText>
      </w:r>
      <w:r>
        <w:fldChar w:fldCharType="separate"/>
      </w:r>
      <w:r>
        <w:rPr>
          <w:rStyle w:val="13"/>
          <w:rFonts w:hint="eastAsia"/>
          <w:sz w:val="28"/>
          <w:szCs w:val="28"/>
        </w:rPr>
        <w:t>（二）</w:t>
      </w:r>
      <w:r>
        <w:rPr>
          <w:rStyle w:val="13"/>
          <w:rFonts w:hint="eastAsia" w:asciiTheme="minorEastAsia" w:hAnsiTheme="minorEastAsia"/>
          <w:sz w:val="28"/>
          <w:szCs w:val="28"/>
        </w:rPr>
        <w:t>项目过程情况</w:t>
      </w:r>
      <w:r>
        <w:rPr>
          <w:sz w:val="28"/>
          <w:szCs w:val="28"/>
        </w:rPr>
        <w:tab/>
      </w:r>
      <w:r>
        <w:rPr>
          <w:sz w:val="28"/>
          <w:szCs w:val="28"/>
        </w:rPr>
        <w:fldChar w:fldCharType="begin"/>
      </w:r>
      <w:r>
        <w:rPr>
          <w:sz w:val="28"/>
          <w:szCs w:val="28"/>
        </w:rPr>
        <w:instrText xml:space="preserve"> PAGEREF _Toc121748713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"_Toc121748714" </w:instrText>
      </w:r>
      <w:r>
        <w:fldChar w:fldCharType="separate"/>
      </w:r>
      <w:r>
        <w:rPr>
          <w:rStyle w:val="13"/>
          <w:rFonts w:hint="eastAsia"/>
          <w:sz w:val="28"/>
          <w:szCs w:val="28"/>
        </w:rPr>
        <w:t>（三）</w:t>
      </w:r>
      <w:r>
        <w:rPr>
          <w:rStyle w:val="13"/>
          <w:rFonts w:hint="eastAsia" w:asciiTheme="minorEastAsia" w:hAnsiTheme="minorEastAsia"/>
          <w:sz w:val="28"/>
          <w:szCs w:val="28"/>
        </w:rPr>
        <w:t>项目产出情况</w:t>
      </w:r>
      <w:r>
        <w:rPr>
          <w:sz w:val="28"/>
          <w:szCs w:val="28"/>
        </w:rPr>
        <w:tab/>
      </w:r>
      <w:r>
        <w:rPr>
          <w:sz w:val="28"/>
          <w:szCs w:val="28"/>
        </w:rPr>
        <w:fldChar w:fldCharType="begin"/>
      </w:r>
      <w:r>
        <w:rPr>
          <w:sz w:val="28"/>
          <w:szCs w:val="28"/>
        </w:rPr>
        <w:instrText xml:space="preserve"> PAGEREF _Toc121748714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"_Toc121748715" </w:instrText>
      </w:r>
      <w:r>
        <w:fldChar w:fldCharType="separate"/>
      </w:r>
      <w:r>
        <w:rPr>
          <w:rStyle w:val="13"/>
          <w:rFonts w:hint="eastAsia"/>
          <w:sz w:val="28"/>
          <w:szCs w:val="28"/>
        </w:rPr>
        <w:t>（四）</w:t>
      </w:r>
      <w:r>
        <w:rPr>
          <w:rStyle w:val="13"/>
          <w:rFonts w:hint="eastAsia" w:asciiTheme="minorEastAsia" w:hAnsiTheme="minorEastAsia"/>
          <w:sz w:val="28"/>
          <w:szCs w:val="28"/>
        </w:rPr>
        <w:t>项目效益情况</w:t>
      </w:r>
      <w:r>
        <w:rPr>
          <w:sz w:val="28"/>
          <w:szCs w:val="28"/>
        </w:rPr>
        <w:tab/>
      </w:r>
      <w:r>
        <w:rPr>
          <w:sz w:val="28"/>
          <w:szCs w:val="28"/>
        </w:rPr>
        <w:fldChar w:fldCharType="begin"/>
      </w:r>
      <w:r>
        <w:rPr>
          <w:sz w:val="28"/>
          <w:szCs w:val="28"/>
        </w:rPr>
        <w:instrText xml:space="preserve"> PAGEREF _Toc121748715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"_Toc121748716" </w:instrText>
      </w:r>
      <w:r>
        <w:fldChar w:fldCharType="separate"/>
      </w:r>
      <w:r>
        <w:rPr>
          <w:rStyle w:val="13"/>
          <w:rFonts w:hint="eastAsia"/>
          <w:sz w:val="28"/>
          <w:szCs w:val="28"/>
        </w:rPr>
        <w:t>四、综合绩效评价情况及评价结论</w:t>
      </w:r>
      <w:r>
        <w:rPr>
          <w:sz w:val="28"/>
          <w:szCs w:val="28"/>
        </w:rPr>
        <w:tab/>
      </w:r>
      <w:r>
        <w:rPr>
          <w:sz w:val="28"/>
          <w:szCs w:val="28"/>
        </w:rPr>
        <w:fldChar w:fldCharType="begin"/>
      </w:r>
      <w:r>
        <w:rPr>
          <w:sz w:val="28"/>
          <w:szCs w:val="28"/>
        </w:rPr>
        <w:instrText xml:space="preserve"> PAGEREF _Toc121748716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"_Toc121748717" </w:instrText>
      </w:r>
      <w:r>
        <w:fldChar w:fldCharType="separate"/>
      </w:r>
      <w:r>
        <w:rPr>
          <w:rStyle w:val="13"/>
          <w:rFonts w:hint="eastAsia"/>
          <w:sz w:val="28"/>
          <w:szCs w:val="28"/>
        </w:rPr>
        <w:t>（一）综合绩效评价情况</w:t>
      </w:r>
      <w:r>
        <w:rPr>
          <w:sz w:val="28"/>
          <w:szCs w:val="28"/>
        </w:rPr>
        <w:tab/>
      </w:r>
      <w:r>
        <w:rPr>
          <w:sz w:val="28"/>
          <w:szCs w:val="28"/>
        </w:rPr>
        <w:fldChar w:fldCharType="begin"/>
      </w:r>
      <w:r>
        <w:rPr>
          <w:sz w:val="28"/>
          <w:szCs w:val="28"/>
        </w:rPr>
        <w:instrText xml:space="preserve"> PAGEREF _Toc121748717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"_Toc121748718" </w:instrText>
      </w:r>
      <w:r>
        <w:fldChar w:fldCharType="separate"/>
      </w:r>
      <w:r>
        <w:rPr>
          <w:rStyle w:val="13"/>
          <w:rFonts w:hint="eastAsia" w:asciiTheme="minorEastAsia" w:hAnsiTheme="minorEastAsia"/>
          <w:sz w:val="28"/>
          <w:szCs w:val="28"/>
        </w:rPr>
        <w:t>（二）总体评价结论</w:t>
      </w:r>
      <w:r>
        <w:rPr>
          <w:sz w:val="28"/>
          <w:szCs w:val="28"/>
        </w:rPr>
        <w:tab/>
      </w:r>
      <w:r>
        <w:rPr>
          <w:sz w:val="28"/>
          <w:szCs w:val="28"/>
        </w:rPr>
        <w:fldChar w:fldCharType="begin"/>
      </w:r>
      <w:r>
        <w:rPr>
          <w:sz w:val="28"/>
          <w:szCs w:val="28"/>
        </w:rPr>
        <w:instrText xml:space="preserve"> PAGEREF _Toc121748718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"_Toc121748719" </w:instrText>
      </w:r>
      <w:r>
        <w:fldChar w:fldCharType="separate"/>
      </w:r>
      <w:r>
        <w:rPr>
          <w:rStyle w:val="13"/>
          <w:rFonts w:hint="eastAsia"/>
          <w:sz w:val="28"/>
          <w:szCs w:val="28"/>
        </w:rPr>
        <w:t>五、主要经验及做法</w:t>
      </w:r>
      <w:r>
        <w:rPr>
          <w:sz w:val="28"/>
          <w:szCs w:val="28"/>
        </w:rPr>
        <w:tab/>
      </w:r>
      <w:r>
        <w:rPr>
          <w:sz w:val="28"/>
          <w:szCs w:val="28"/>
        </w:rPr>
        <w:fldChar w:fldCharType="begin"/>
      </w:r>
      <w:r>
        <w:rPr>
          <w:sz w:val="28"/>
          <w:szCs w:val="28"/>
        </w:rPr>
        <w:instrText xml:space="preserve"> PAGEREF _Toc121748719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"_Toc121748720" </w:instrText>
      </w:r>
      <w:r>
        <w:fldChar w:fldCharType="separate"/>
      </w:r>
      <w:r>
        <w:rPr>
          <w:rStyle w:val="13"/>
          <w:rFonts w:hint="eastAsia"/>
          <w:sz w:val="28"/>
          <w:szCs w:val="28"/>
        </w:rPr>
        <w:t>六、存在的问题及相关建议</w:t>
      </w:r>
      <w:r>
        <w:rPr>
          <w:sz w:val="28"/>
          <w:szCs w:val="28"/>
        </w:rPr>
        <w:tab/>
      </w:r>
      <w:r>
        <w:rPr>
          <w:sz w:val="28"/>
          <w:szCs w:val="28"/>
        </w:rPr>
        <w:fldChar w:fldCharType="begin"/>
      </w:r>
      <w:r>
        <w:rPr>
          <w:sz w:val="28"/>
          <w:szCs w:val="28"/>
        </w:rPr>
        <w:instrText xml:space="preserve"> PAGEREF _Toc121748720 \h </w:instrText>
      </w:r>
      <w:r>
        <w:rPr>
          <w:sz w:val="28"/>
          <w:szCs w:val="28"/>
        </w:rPr>
        <w:fldChar w:fldCharType="separate"/>
      </w:r>
      <w:r>
        <w:rPr>
          <w:sz w:val="28"/>
          <w:szCs w:val="28"/>
        </w:rPr>
        <w:t>25</w:t>
      </w:r>
      <w:r>
        <w:rPr>
          <w:sz w:val="28"/>
          <w:szCs w:val="28"/>
        </w:rPr>
        <w:fldChar w:fldCharType="end"/>
      </w:r>
      <w:r>
        <w:rPr>
          <w:sz w:val="28"/>
          <w:szCs w:val="28"/>
        </w:rPr>
        <w:fldChar w:fldCharType="end"/>
      </w:r>
    </w:p>
    <w:p>
      <w:pPr>
        <w:jc w:val="center"/>
        <w:rPr>
          <w:rFonts w:asciiTheme="majorEastAsia" w:hAnsiTheme="majorEastAsia" w:eastAsiaTheme="majorEastAsia"/>
          <w:b/>
          <w:sz w:val="28"/>
          <w:szCs w:val="28"/>
        </w:rPr>
      </w:pPr>
      <w:r>
        <w:rPr>
          <w:rFonts w:asciiTheme="minorEastAsia" w:hAnsiTheme="minorEastAsia"/>
          <w:sz w:val="28"/>
          <w:szCs w:val="28"/>
        </w:rPr>
        <w:fldChar w:fldCharType="end"/>
      </w:r>
    </w:p>
    <w:p>
      <w:pPr>
        <w:jc w:val="center"/>
        <w:rPr>
          <w:rFonts w:ascii="黑体" w:hAnsi="黑体" w:eastAsia="黑体"/>
          <w:b/>
          <w:sz w:val="44"/>
          <w:szCs w:val="44"/>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黑体" w:hAnsi="黑体" w:eastAsia="黑体"/>
          <w:b/>
          <w:sz w:val="44"/>
          <w:szCs w:val="44"/>
        </w:rPr>
      </w:pPr>
      <w:r>
        <w:rPr>
          <w:rFonts w:hint="eastAsia" w:ascii="黑体" w:hAnsi="黑体" w:eastAsia="黑体"/>
          <w:b/>
          <w:sz w:val="44"/>
          <w:szCs w:val="44"/>
        </w:rPr>
        <w:t>农村户用无害化卫生厕所吸污车项目</w:t>
      </w:r>
    </w:p>
    <w:p>
      <w:pPr>
        <w:jc w:val="center"/>
        <w:rPr>
          <w:rFonts w:ascii="黑体" w:hAnsi="黑体" w:eastAsia="黑体"/>
          <w:b/>
          <w:sz w:val="44"/>
          <w:szCs w:val="44"/>
        </w:rPr>
      </w:pPr>
      <w:r>
        <w:rPr>
          <w:rFonts w:hint="eastAsia" w:ascii="黑体" w:hAnsi="黑体" w:eastAsia="黑体"/>
          <w:b/>
          <w:sz w:val="44"/>
          <w:szCs w:val="44"/>
        </w:rPr>
        <w:t>绩效评价报告</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为贯彻落实《中共中央 国务院关于全面实施预算绩效管理的意见》和《中共河南省委 河南省人民政府关于全面实施预算绩效管理的实施意见》等文件精神，加强财政资金绩效管理，提高资金使用效益，三门峡市陕州区财政局委托国咨项目管理有限公司，对农村户用无害化卫生厕所吸污车项目进行了绩效评价，现将有关情况报告如下。</w:t>
      </w:r>
    </w:p>
    <w:p>
      <w:pPr>
        <w:pStyle w:val="3"/>
        <w:rPr>
          <w:rFonts w:asciiTheme="minorEastAsia" w:hAnsiTheme="minorEastAsia"/>
        </w:rPr>
      </w:pPr>
      <w:bookmarkStart w:id="0" w:name="_Toc121748700"/>
      <w:r>
        <w:rPr>
          <w:rFonts w:hint="eastAsia" w:asciiTheme="minorEastAsia" w:hAnsiTheme="minorEastAsia"/>
        </w:rPr>
        <w:t>一、概述</w:t>
      </w:r>
      <w:bookmarkEnd w:id="0"/>
    </w:p>
    <w:p>
      <w:pPr>
        <w:pStyle w:val="3"/>
        <w:rPr>
          <w:rFonts w:asciiTheme="minorEastAsia" w:hAnsiTheme="minorEastAsia"/>
          <w:sz w:val="30"/>
          <w:szCs w:val="30"/>
        </w:rPr>
      </w:pPr>
      <w:bookmarkStart w:id="1" w:name="_Toc121748701"/>
      <w:r>
        <w:rPr>
          <w:rFonts w:hint="eastAsia" w:asciiTheme="minorEastAsia" w:hAnsiTheme="minorEastAsia"/>
          <w:sz w:val="30"/>
          <w:szCs w:val="30"/>
        </w:rPr>
        <w:t>（一）项目单位基本情况</w:t>
      </w:r>
      <w:bookmarkEnd w:id="1"/>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三门峡市陕州区农业农村局。部门主要职责包括：（1）贯彻落实相关法律条例和省、市政府、行政主管部门、县政府有关农牧业工作的方针、政策、行业管理规章；（2）拟定全县种植业、畜牧业、渔业、乡镇企业、农垦等农业有关产业和农村经济发展规划并组织实施；（3）承担完善全县农村经营管理体制的责任；（4）指导全县粮食等主要农产品生产；（5）促进农业产前、产中、产后一体化发展；（6）承担提升全县农牧产品质量安全水平的责任；（7）组织、协调全县农业生产资料市场体系建设；（8）负责全县农作物及动物重大病虫害防治；（9）承担农业防灾减灾的责任；（10）负责全县农业信息体系建设，监测分析农业和农村经济运行；（11）拟定全县农牧业科技、教育、农技推广的规划和有关政策并组织实施；（12）拟定全县农业农村人才队伍建设规划并组织实施；（13）组织全县农业资源区规划工作；（14）制定并实施全县农业生态建设规划；（15）承担政府间农业涉外事务，参加农业贸易谈判工作；（16）组织制定全县畜牧业发展规划并组织实施；（17）负责全县动物防疫工作；（18）负责畜产品质量安全监督管理工作；（19）承办县政府交办的其他事项。</w:t>
      </w:r>
    </w:p>
    <w:p>
      <w:pPr>
        <w:spacing w:beforeLines="50" w:afterLines="50" w:line="360" w:lineRule="auto"/>
        <w:ind w:left="105" w:leftChars="50" w:right="105" w:rightChars="50" w:firstLine="600" w:firstLineChars="200"/>
        <w:rPr>
          <w:rFonts w:asciiTheme="minorEastAsia" w:hAnsiTheme="minorEastAsia"/>
          <w:color w:val="FF0000"/>
          <w:sz w:val="30"/>
          <w:szCs w:val="30"/>
        </w:rPr>
      </w:pPr>
      <w:r>
        <w:rPr>
          <w:rFonts w:hint="eastAsia" w:asciiTheme="minorEastAsia" w:hAnsiTheme="minorEastAsia"/>
          <w:sz w:val="30"/>
          <w:szCs w:val="30"/>
        </w:rPr>
        <w:t>（二）项目背景</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改善农村人居环境，建设美丽宜居乡村，是实施乡村振兴战略的一项重要任务，事关全面建成小康社会，事关广大农民根本福祉，事关农村社会文明和谐。近年来，各地区各部门认真贯彻党中央、国务院决策部署，把改善农村人居环境作为社会主义新农村建设的重要内容，大力推进农村基础设施建设和城乡基本公共服务均等化，农村人居环境建设取得显著成效。同时，我国农村人居环境状况很不平衡，脏乱差问题在一些地区还比较突出，与全面建成小康社会要求和农民群众期盼还有较大差距，仍然是经济社会发展的突出短板。</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按照《农村人居环境整治三年行动方案》中“到2020年，实现农村人居环境明显改善，村庄环境基本干净整洁有序，村民环境与健康意识普遍增强。</w:t>
      </w:r>
    </w:p>
    <w:p>
      <w:pPr>
        <w:spacing w:beforeLines="50" w:afterLines="50" w:line="360" w:lineRule="auto"/>
        <w:ind w:left="105" w:leftChars="50" w:right="105" w:rightChars="50" w:firstLine="600" w:firstLineChars="200"/>
        <w:rPr>
          <w:sz w:val="30"/>
          <w:szCs w:val="30"/>
        </w:rPr>
      </w:pPr>
      <w:r>
        <w:rPr>
          <w:rFonts w:hint="eastAsia" w:ascii="宋体" w:hAnsi="宋体" w:eastAsia="宋体"/>
          <w:sz w:val="30"/>
          <w:szCs w:val="30"/>
        </w:rPr>
        <w:t>东部地区、中西部城市近郊区等有基础、有条件的地区，人居环境质量全面提升，基本实现农村生活垃圾处置体系全覆盖，基本完成农村户用厕所无害化改造，厕所粪污基本得到处理或资源化利用，农村生活污水治理率明显提高，村容村貌显著提升，管护长效机制初步建立。” 的基本要求，截止到2020年3月，陕州区农村户用厕所改造工作已完成46043户。农村户厕改造后在管理方面的抽粪难、清运难问题比较突出，经区改善农村人居环境领导小组研究，同意利用上即将补资金采购一批吸污车，将厕所粪污、畜禽养殖废弃物一并处理并资源化利用</w:t>
      </w:r>
      <w:r>
        <w:rPr>
          <w:rFonts w:hint="eastAsia"/>
          <w:sz w:val="30"/>
          <w:szCs w:val="30"/>
        </w:rPr>
        <w:t>。</w:t>
      </w:r>
    </w:p>
    <w:p>
      <w:pPr>
        <w:pStyle w:val="3"/>
        <w:rPr>
          <w:rFonts w:asciiTheme="minorEastAsia" w:hAnsiTheme="minorEastAsia"/>
          <w:sz w:val="30"/>
          <w:szCs w:val="30"/>
        </w:rPr>
      </w:pPr>
      <w:bookmarkStart w:id="2" w:name="_Toc121748702"/>
      <w:r>
        <w:rPr>
          <w:rFonts w:hint="eastAsia" w:asciiTheme="minorEastAsia" w:hAnsiTheme="minorEastAsia"/>
          <w:sz w:val="30"/>
          <w:szCs w:val="30"/>
        </w:rPr>
        <w:t>（三）项目基本情况</w:t>
      </w:r>
      <w:bookmarkEnd w:id="2"/>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本项目主管单位为三门峡市陕州区农业农村局。本项目主要内容包括采购吸污车162辆，其中1.5立方三轮吸污车53辆，2立方三轮吸污车57辆，2.5立方三轮吸污车52辆，均已完成采购并移交各乡镇投入使用，以下为详细清单：</w:t>
      </w:r>
    </w:p>
    <w:p>
      <w:pPr>
        <w:pStyle w:val="14"/>
        <w:spacing w:beforeLines="50" w:afterLines="50" w:line="360" w:lineRule="auto"/>
        <w:ind w:left="105" w:leftChars="50" w:right="105" w:rightChars="50" w:firstLine="600"/>
        <w:jc w:val="center"/>
        <w:rPr>
          <w:rFonts w:ascii="宋体" w:hAnsi="宋体" w:eastAsia="宋体"/>
          <w:sz w:val="30"/>
          <w:szCs w:val="30"/>
        </w:rPr>
      </w:pPr>
      <w:r>
        <w:rPr>
          <w:rFonts w:hint="eastAsia" w:ascii="宋体" w:hAnsi="宋体" w:eastAsia="宋体"/>
          <w:sz w:val="30"/>
          <w:szCs w:val="30"/>
        </w:rPr>
        <w:t>吸污车采购项目移交明细表</w:t>
      </w:r>
    </w:p>
    <w:tbl>
      <w:tblPr>
        <w:tblStyle w:val="10"/>
        <w:tblW w:w="7853" w:type="dxa"/>
        <w:jc w:val="center"/>
        <w:tblLayout w:type="autofit"/>
        <w:tblCellMar>
          <w:top w:w="0" w:type="dxa"/>
          <w:left w:w="108" w:type="dxa"/>
          <w:bottom w:w="0" w:type="dxa"/>
          <w:right w:w="108" w:type="dxa"/>
        </w:tblCellMar>
      </w:tblPr>
      <w:tblGrid>
        <w:gridCol w:w="717"/>
        <w:gridCol w:w="1541"/>
        <w:gridCol w:w="1850"/>
        <w:gridCol w:w="1982"/>
        <w:gridCol w:w="1763"/>
      </w:tblGrid>
      <w:tr>
        <w:tblPrEx>
          <w:tblCellMar>
            <w:top w:w="0" w:type="dxa"/>
            <w:left w:w="108" w:type="dxa"/>
            <w:bottom w:w="0" w:type="dxa"/>
            <w:right w:w="108" w:type="dxa"/>
          </w:tblCellMar>
        </w:tblPrEx>
        <w:trPr>
          <w:trHeight w:val="859"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序号</w:t>
            </w:r>
          </w:p>
        </w:tc>
        <w:tc>
          <w:tcPr>
            <w:tcW w:w="15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乡镇</w:t>
            </w:r>
          </w:p>
        </w:tc>
        <w:tc>
          <w:tcPr>
            <w:tcW w:w="1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1.5立方车台数</w:t>
            </w:r>
          </w:p>
        </w:tc>
        <w:tc>
          <w:tcPr>
            <w:tcW w:w="198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2立方车台数</w:t>
            </w:r>
          </w:p>
        </w:tc>
        <w:tc>
          <w:tcPr>
            <w:tcW w:w="176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2.5立方车台数</w:t>
            </w:r>
          </w:p>
        </w:tc>
      </w:tr>
      <w:tr>
        <w:tblPrEx>
          <w:tblCellMar>
            <w:top w:w="0" w:type="dxa"/>
            <w:left w:w="108" w:type="dxa"/>
            <w:bottom w:w="0" w:type="dxa"/>
            <w:right w:w="108" w:type="dxa"/>
          </w:tblCellMar>
        </w:tblPrEx>
        <w:trPr>
          <w:trHeight w:val="745"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ascii="宋体" w:hAnsi="宋体" w:eastAsia="宋体" w:cs="宋体"/>
                <w:color w:val="000000"/>
                <w:kern w:val="0"/>
                <w:sz w:val="24"/>
                <w:szCs w:val="24"/>
              </w:rPr>
              <w:t>1</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大营镇</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r>
      <w:tr>
        <w:tblPrEx>
          <w:tblCellMar>
            <w:top w:w="0" w:type="dxa"/>
            <w:left w:w="108" w:type="dxa"/>
            <w:bottom w:w="0" w:type="dxa"/>
            <w:right w:w="108" w:type="dxa"/>
          </w:tblCellMar>
        </w:tblPrEx>
        <w:trPr>
          <w:trHeight w:val="755"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原店镇</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r>
      <w:tr>
        <w:tblPrEx>
          <w:tblCellMar>
            <w:top w:w="0" w:type="dxa"/>
            <w:left w:w="108" w:type="dxa"/>
            <w:bottom w:w="0" w:type="dxa"/>
            <w:right w:w="108" w:type="dxa"/>
          </w:tblCellMar>
        </w:tblPrEx>
        <w:trPr>
          <w:trHeight w:val="742"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张湾乡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r>
      <w:tr>
        <w:tblPrEx>
          <w:tblCellMar>
            <w:top w:w="0" w:type="dxa"/>
            <w:left w:w="108" w:type="dxa"/>
            <w:bottom w:w="0" w:type="dxa"/>
            <w:right w:w="108" w:type="dxa"/>
          </w:tblCellMar>
        </w:tblPrEx>
        <w:trPr>
          <w:trHeight w:val="724"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张汴乡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r>
      <w:tr>
        <w:tblPrEx>
          <w:tblCellMar>
            <w:top w:w="0" w:type="dxa"/>
            <w:left w:w="108" w:type="dxa"/>
            <w:bottom w:w="0" w:type="dxa"/>
            <w:right w:w="108" w:type="dxa"/>
          </w:tblCellMar>
        </w:tblPrEx>
        <w:trPr>
          <w:trHeight w:val="713"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西张村镇</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r>
      <w:tr>
        <w:tblPrEx>
          <w:tblCellMar>
            <w:top w:w="0" w:type="dxa"/>
            <w:left w:w="108" w:type="dxa"/>
            <w:bottom w:w="0" w:type="dxa"/>
            <w:right w:w="108" w:type="dxa"/>
          </w:tblCellMar>
        </w:tblPrEx>
        <w:trPr>
          <w:trHeight w:val="749"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菜园乡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r>
      <w:tr>
        <w:tblPrEx>
          <w:tblCellMar>
            <w:top w:w="0" w:type="dxa"/>
            <w:left w:w="108" w:type="dxa"/>
            <w:bottom w:w="0" w:type="dxa"/>
            <w:right w:w="108" w:type="dxa"/>
          </w:tblCellMar>
        </w:tblPrEx>
        <w:trPr>
          <w:trHeight w:val="734"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张茅乡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r>
      <w:tr>
        <w:tblPrEx>
          <w:tblCellMar>
            <w:top w:w="0" w:type="dxa"/>
            <w:left w:w="108" w:type="dxa"/>
            <w:bottom w:w="0" w:type="dxa"/>
            <w:right w:w="108" w:type="dxa"/>
          </w:tblCellMar>
        </w:tblPrEx>
        <w:trPr>
          <w:trHeight w:val="744"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王家后乡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r>
      <w:tr>
        <w:tblPrEx>
          <w:tblCellMar>
            <w:top w:w="0" w:type="dxa"/>
            <w:left w:w="108" w:type="dxa"/>
            <w:bottom w:w="0" w:type="dxa"/>
            <w:right w:w="108" w:type="dxa"/>
          </w:tblCellMar>
        </w:tblPrEx>
        <w:trPr>
          <w:trHeight w:val="731"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硖石乡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r>
      <w:tr>
        <w:tblPrEx>
          <w:tblCellMar>
            <w:top w:w="0" w:type="dxa"/>
            <w:left w:w="108" w:type="dxa"/>
            <w:bottom w:w="0" w:type="dxa"/>
            <w:right w:w="108" w:type="dxa"/>
          </w:tblCellMar>
        </w:tblPrEx>
        <w:trPr>
          <w:trHeight w:val="742"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0</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观音堂镇</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r>
      <w:tr>
        <w:tblPrEx>
          <w:tblCellMar>
            <w:top w:w="0" w:type="dxa"/>
            <w:left w:w="108" w:type="dxa"/>
            <w:bottom w:w="0" w:type="dxa"/>
            <w:right w:w="108" w:type="dxa"/>
          </w:tblCellMar>
        </w:tblPrEx>
        <w:trPr>
          <w:trHeight w:val="752"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1</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西李村乡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r>
      <w:tr>
        <w:tblPrEx>
          <w:tblCellMar>
            <w:top w:w="0" w:type="dxa"/>
            <w:left w:w="108" w:type="dxa"/>
            <w:bottom w:w="0" w:type="dxa"/>
            <w:right w:w="108" w:type="dxa"/>
          </w:tblCellMar>
        </w:tblPrEx>
        <w:trPr>
          <w:trHeight w:val="735"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2</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宫前乡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r>
      <w:tr>
        <w:tblPrEx>
          <w:tblCellMar>
            <w:top w:w="0" w:type="dxa"/>
            <w:left w:w="108" w:type="dxa"/>
            <w:bottom w:w="0" w:type="dxa"/>
            <w:right w:w="108" w:type="dxa"/>
          </w:tblCellMar>
        </w:tblPrEx>
        <w:trPr>
          <w:trHeight w:val="749"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3</w:t>
            </w: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店子乡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w:t>
            </w:r>
          </w:p>
        </w:tc>
      </w:tr>
      <w:tr>
        <w:tblPrEx>
          <w:tblCellMar>
            <w:top w:w="0" w:type="dxa"/>
            <w:left w:w="108" w:type="dxa"/>
            <w:bottom w:w="0" w:type="dxa"/>
            <w:right w:w="108" w:type="dxa"/>
          </w:tblCellMar>
        </w:tblPrEx>
        <w:trPr>
          <w:trHeight w:val="734" w:hRule="atLeast"/>
          <w:jc w:val="center"/>
        </w:trPr>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4"/>
              </w:rPr>
            </w:pPr>
          </w:p>
        </w:tc>
        <w:tc>
          <w:tcPr>
            <w:tcW w:w="15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合  计</w:t>
            </w:r>
          </w:p>
        </w:tc>
        <w:tc>
          <w:tcPr>
            <w:tcW w:w="1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53</w:t>
            </w:r>
          </w:p>
        </w:tc>
        <w:tc>
          <w:tcPr>
            <w:tcW w:w="19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57</w:t>
            </w:r>
          </w:p>
        </w:tc>
        <w:tc>
          <w:tcPr>
            <w:tcW w:w="17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52</w:t>
            </w:r>
          </w:p>
        </w:tc>
      </w:tr>
    </w:tbl>
    <w:p>
      <w:pPr>
        <w:spacing w:beforeLines="50" w:afterLines="50" w:line="360" w:lineRule="auto"/>
        <w:ind w:left="105" w:leftChars="50" w:right="105" w:rightChars="50" w:firstLine="600" w:firstLineChars="200"/>
        <w:rPr>
          <w:rFonts w:asciiTheme="minorEastAsia" w:hAnsiTheme="minorEastAsia"/>
          <w:sz w:val="30"/>
          <w:szCs w:val="30"/>
        </w:rPr>
      </w:pPr>
    </w:p>
    <w:p>
      <w:pPr>
        <w:pStyle w:val="3"/>
        <w:rPr>
          <w:rFonts w:asciiTheme="minorEastAsia" w:hAnsiTheme="minorEastAsia"/>
          <w:sz w:val="30"/>
          <w:szCs w:val="30"/>
        </w:rPr>
      </w:pPr>
      <w:bookmarkStart w:id="3" w:name="_Toc121748703"/>
      <w:r>
        <w:rPr>
          <w:rFonts w:hint="eastAsia" w:asciiTheme="minorEastAsia" w:hAnsiTheme="minorEastAsia"/>
          <w:sz w:val="30"/>
          <w:szCs w:val="30"/>
        </w:rPr>
        <w:t>（四）项目绩效目标</w:t>
      </w:r>
      <w:bookmarkEnd w:id="3"/>
    </w:p>
    <w:p>
      <w:pPr>
        <w:pStyle w:val="14"/>
        <w:spacing w:beforeLines="50" w:afterLines="50" w:line="360" w:lineRule="auto"/>
        <w:ind w:left="105" w:leftChars="50" w:right="105" w:rightChars="50" w:firstLine="600"/>
        <w:rPr>
          <w:color w:val="000000" w:themeColor="text1"/>
          <w:sz w:val="30"/>
          <w:szCs w:val="30"/>
        </w:rPr>
      </w:pPr>
      <w:r>
        <w:rPr>
          <w:rFonts w:hint="eastAsia" w:ascii="宋体" w:hAnsi="宋体" w:eastAsia="宋体"/>
          <w:sz w:val="30"/>
          <w:szCs w:val="30"/>
        </w:rPr>
        <w:t>按照采购计划及质量要求完成162辆吸污车采购工作，实现13个乡镇粪污无害化处理，解决农村户用无害化卫生厕所抽粪难、清运难问题，使农村人居环境得到明显改善，村庄环境基本干净整洁有序，进一步提高村民环境与健康意识，在优先保障农民基本生活条件基础上，实现人居环境干净整洁的基本要求</w:t>
      </w:r>
      <w:r>
        <w:rPr>
          <w:rFonts w:hint="eastAsia"/>
          <w:color w:val="000000" w:themeColor="text1"/>
          <w:sz w:val="30"/>
          <w:szCs w:val="30"/>
        </w:rPr>
        <w:t>。</w:t>
      </w:r>
    </w:p>
    <w:p>
      <w:pPr>
        <w:pStyle w:val="2"/>
      </w:pPr>
      <w:bookmarkStart w:id="4" w:name="_Toc121748704"/>
      <w:r>
        <w:rPr>
          <w:rFonts w:hint="eastAsia"/>
        </w:rPr>
        <w:t>二、绩效评价工作简述</w:t>
      </w:r>
      <w:bookmarkEnd w:id="4"/>
    </w:p>
    <w:p>
      <w:pPr>
        <w:pStyle w:val="2"/>
      </w:pPr>
      <w:bookmarkStart w:id="5" w:name="_Toc121748705"/>
      <w:r>
        <w:rPr>
          <w:rFonts w:hint="eastAsia"/>
        </w:rPr>
        <w:t>（一）绩效评价目的、对象和范围</w:t>
      </w:r>
      <w:bookmarkEnd w:id="5"/>
    </w:p>
    <w:p>
      <w:pPr>
        <w:pStyle w:val="14"/>
        <w:numPr>
          <w:ilvl w:val="0"/>
          <w:numId w:val="1"/>
        </w:numPr>
        <w:spacing w:beforeLines="50" w:afterLines="50" w:line="360" w:lineRule="auto"/>
        <w:ind w:left="105" w:leftChars="50" w:right="105" w:rightChars="50" w:firstLine="600"/>
        <w:rPr>
          <w:rFonts w:asciiTheme="minorEastAsia" w:hAnsiTheme="minorEastAsia"/>
          <w:sz w:val="30"/>
          <w:szCs w:val="30"/>
        </w:rPr>
      </w:pPr>
      <w:r>
        <w:rPr>
          <w:rFonts w:hint="eastAsia" w:asciiTheme="minorEastAsia" w:hAnsiTheme="minorEastAsia"/>
          <w:sz w:val="30"/>
          <w:szCs w:val="30"/>
        </w:rPr>
        <w:t>绩效评价目的</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本次绩效评价以农村户用无害化卫生厕所吸污车项目资金为主线，考察资金使用情况、预算执行情況、项目进展情况、完工情况和项目产生的绩效等，从运行成本、管理效率、履职效能、社会效益、可持续发展能力和服务对象满意度等方面，多维度分析项目实施效果，客观评价项目绩效，并结合项目开展情况，深入分析有关问题、发展趋势与内在需求，对评价过程中发现的问题和不足，提出改进措施与建议，为下一步项目开展提供依据和参考。</w:t>
      </w:r>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2.评价对象及范围</w:t>
      </w:r>
    </w:p>
    <w:p>
      <w:pPr>
        <w:pStyle w:val="14"/>
        <w:spacing w:beforeLines="50" w:afterLines="50" w:line="360" w:lineRule="auto"/>
        <w:ind w:left="105" w:leftChars="50" w:right="105" w:rightChars="50" w:firstLine="600"/>
        <w:rPr>
          <w:sz w:val="30"/>
          <w:szCs w:val="30"/>
        </w:rPr>
      </w:pPr>
      <w:r>
        <w:rPr>
          <w:rFonts w:hint="eastAsia"/>
          <w:sz w:val="30"/>
          <w:szCs w:val="30"/>
        </w:rPr>
        <w:t>本次评价主要对象为：农村户用无害化卫生厕所吸污车项目，</w:t>
      </w:r>
      <w:r>
        <w:rPr>
          <w:rFonts w:hint="eastAsia" w:ascii="宋体" w:hAnsi="宋体" w:eastAsia="宋体"/>
          <w:sz w:val="30"/>
          <w:szCs w:val="30"/>
        </w:rPr>
        <w:t>项目资金合计460万元，</w:t>
      </w:r>
      <w:r>
        <w:rPr>
          <w:rFonts w:hint="eastAsia" w:ascii="宋体" w:hAnsi="宋体" w:eastAsia="宋体" w:cs="Times New Roman"/>
          <w:sz w:val="30"/>
          <w:szCs w:val="30"/>
        </w:rPr>
        <w:t>全部为财政奖补资金，</w:t>
      </w:r>
      <w:r>
        <w:rPr>
          <w:rFonts w:hint="eastAsia" w:ascii="宋体" w:hAnsi="宋体" w:eastAsia="宋体"/>
          <w:sz w:val="30"/>
          <w:szCs w:val="30"/>
        </w:rPr>
        <w:t>评价组根据收回的基础数据表（含调研），评价共抽查资金460万元，实际支付460万元</w:t>
      </w:r>
      <w:r>
        <w:rPr>
          <w:rFonts w:hint="eastAsia"/>
          <w:sz w:val="30"/>
          <w:szCs w:val="30"/>
        </w:rPr>
        <w:t>。</w:t>
      </w:r>
    </w:p>
    <w:p>
      <w:pPr>
        <w:pStyle w:val="3"/>
        <w:rPr>
          <w:rFonts w:asciiTheme="minorEastAsia" w:hAnsiTheme="minorEastAsia"/>
          <w:sz w:val="30"/>
          <w:szCs w:val="30"/>
        </w:rPr>
      </w:pPr>
      <w:bookmarkStart w:id="6" w:name="_Toc121748706"/>
      <w:r>
        <w:rPr>
          <w:rFonts w:hint="eastAsia" w:asciiTheme="minorEastAsia" w:hAnsiTheme="minorEastAsia"/>
          <w:sz w:val="30"/>
          <w:szCs w:val="30"/>
        </w:rPr>
        <w:t>（二）绩效评价的依据</w:t>
      </w:r>
      <w:bookmarkEnd w:id="6"/>
    </w:p>
    <w:p>
      <w:pPr>
        <w:spacing w:beforeLines="50" w:afterLines="50" w:line="360" w:lineRule="auto"/>
        <w:ind w:left="105" w:leftChars="50" w:right="105" w:rightChars="50" w:firstLine="600" w:firstLineChars="200"/>
        <w:rPr>
          <w:rFonts w:ascii="宋体" w:hAnsi="宋体" w:eastAsia="宋体"/>
          <w:sz w:val="30"/>
          <w:szCs w:val="30"/>
        </w:rPr>
      </w:pPr>
      <w:r>
        <w:rPr>
          <w:rFonts w:hint="eastAsia" w:ascii="宋体" w:hAnsi="宋体" w:eastAsia="宋体"/>
          <w:sz w:val="30"/>
          <w:szCs w:val="30"/>
        </w:rPr>
        <w:t>（1）《财政部关于印发＜项目支出绩效评价管理办法＞的通知》（财预(2020)10号）；</w:t>
      </w:r>
    </w:p>
    <w:p>
      <w:pPr>
        <w:spacing w:beforeLines="50" w:afterLines="50" w:line="360" w:lineRule="auto"/>
        <w:ind w:left="105" w:leftChars="50" w:right="105" w:rightChars="50" w:firstLine="600" w:firstLineChars="200"/>
        <w:rPr>
          <w:rFonts w:ascii="宋体" w:hAnsi="宋体" w:eastAsia="宋体"/>
          <w:sz w:val="30"/>
          <w:szCs w:val="30"/>
        </w:rPr>
      </w:pPr>
      <w:r>
        <w:rPr>
          <w:rFonts w:hint="eastAsia" w:ascii="宋体" w:hAnsi="宋体" w:eastAsia="宋体"/>
          <w:sz w:val="30"/>
          <w:szCs w:val="30"/>
        </w:rPr>
        <w:t>（2）关于贯彻落实《中共中央国务院关于全面实施预算绩效管理的意见》的通知（财预(2018)167号）；</w:t>
      </w:r>
    </w:p>
    <w:p>
      <w:pPr>
        <w:spacing w:beforeLines="50" w:afterLines="50" w:line="360" w:lineRule="auto"/>
        <w:ind w:left="105" w:leftChars="50" w:right="105" w:rightChars="50" w:firstLine="600" w:firstLineChars="200"/>
        <w:rPr>
          <w:rFonts w:ascii="宋体" w:hAnsi="宋体" w:eastAsia="宋体"/>
          <w:sz w:val="30"/>
          <w:szCs w:val="30"/>
        </w:rPr>
      </w:pPr>
      <w:r>
        <w:rPr>
          <w:rFonts w:hint="eastAsia" w:ascii="宋体" w:hAnsi="宋体" w:eastAsia="宋体"/>
          <w:sz w:val="30"/>
          <w:szCs w:val="30"/>
        </w:rPr>
        <w:t>（3）《财政部关于印发＜预算绩效评价共性指标体系框架＞的通知》；</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（4）《中共河南省委河南省人民政府关于全面实施预算绩效管理的实施意见》（豫发(2019)10号）；</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（5）《中共三门峡市委三门峡市人民政府关于全面实施预算绩效管理的实施意见》（三发(2020)14号）；</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（6）《农村人居环境整治三年行动方案》；</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（7）《“十三五”全国城镇生活垃圾无害化处理设施建设规划》；</w:t>
      </w:r>
    </w:p>
    <w:p>
      <w:pPr>
        <w:pStyle w:val="14"/>
        <w:spacing w:beforeLines="50" w:afterLines="50" w:line="360" w:lineRule="auto"/>
        <w:ind w:left="105" w:leftChars="50" w:right="105" w:rightChars="50" w:firstLine="600"/>
        <w:rPr>
          <w:rFonts w:ascii="宋体" w:hAnsi="宋体" w:eastAsia="宋体"/>
          <w:sz w:val="30"/>
          <w:szCs w:val="30"/>
        </w:rPr>
      </w:pPr>
      <w:r>
        <w:rPr>
          <w:rFonts w:hint="eastAsia" w:ascii="宋体" w:hAnsi="宋体" w:eastAsia="宋体"/>
          <w:sz w:val="30"/>
          <w:szCs w:val="30"/>
        </w:rPr>
        <w:t>（8）项目绩效目标及其他相关资料，财政部门预算批复，财政部门和预算部门年度预算执行情况；</w:t>
      </w:r>
    </w:p>
    <w:p>
      <w:pPr>
        <w:pStyle w:val="14"/>
        <w:spacing w:beforeLines="50" w:afterLines="50" w:line="360" w:lineRule="auto"/>
        <w:ind w:left="105" w:leftChars="50" w:right="105" w:rightChars="50" w:firstLine="600"/>
        <w:rPr>
          <w:sz w:val="30"/>
          <w:szCs w:val="30"/>
        </w:rPr>
      </w:pPr>
      <w:r>
        <w:rPr>
          <w:rFonts w:hint="eastAsia" w:ascii="宋体" w:hAnsi="宋体" w:eastAsia="宋体"/>
          <w:sz w:val="30"/>
          <w:szCs w:val="30"/>
        </w:rPr>
        <w:t>（9）其他相关制度和文件</w:t>
      </w:r>
      <w:r>
        <w:rPr>
          <w:rFonts w:hint="eastAsia"/>
          <w:sz w:val="30"/>
          <w:szCs w:val="30"/>
        </w:rPr>
        <w:t>。</w:t>
      </w:r>
    </w:p>
    <w:p>
      <w:pPr>
        <w:pStyle w:val="3"/>
        <w:rPr>
          <w:rFonts w:asciiTheme="minorEastAsia" w:hAnsiTheme="minorEastAsia"/>
          <w:sz w:val="30"/>
          <w:szCs w:val="30"/>
        </w:rPr>
      </w:pPr>
      <w:bookmarkStart w:id="7" w:name="_Toc121748707"/>
      <w:r>
        <w:rPr>
          <w:rFonts w:hint="eastAsia" w:asciiTheme="minorEastAsia" w:hAnsiTheme="minorEastAsia"/>
          <w:sz w:val="30"/>
          <w:szCs w:val="30"/>
        </w:rPr>
        <w:t>（三）绩效评价工作过程</w:t>
      </w:r>
      <w:bookmarkEnd w:id="7"/>
    </w:p>
    <w:p>
      <w:pPr>
        <w:spacing w:beforeLines="50" w:afterLines="50" w:line="360" w:lineRule="auto"/>
        <w:ind w:left="105" w:leftChars="50" w:right="105" w:rightChars="50" w:firstLine="600" w:firstLineChars="200"/>
        <w:rPr>
          <w:sz w:val="30"/>
          <w:szCs w:val="30"/>
        </w:rPr>
      </w:pPr>
      <w:r>
        <w:rPr>
          <w:rFonts w:hint="eastAsia"/>
          <w:sz w:val="30"/>
          <w:szCs w:val="30"/>
        </w:rPr>
        <w:t>本次绩效评价工作期间为</w:t>
      </w:r>
      <w:r>
        <w:rPr>
          <w:rFonts w:hint="eastAsia"/>
          <w:color w:val="000000" w:themeColor="text1"/>
          <w:sz w:val="30"/>
          <w:szCs w:val="30"/>
        </w:rPr>
        <w:t>2022年11月15日至2022年12月14日，</w:t>
      </w:r>
      <w:r>
        <w:rPr>
          <w:rFonts w:hint="eastAsia"/>
          <w:sz w:val="30"/>
          <w:szCs w:val="30"/>
        </w:rPr>
        <w:t>历经前期准备、现场实施、数据分析与报告撰写等阶段。在此基础上，按要求形成初步评价报告，并根据相关部门、专家意见进行修改完善，形成最终绩效评价报告。</w:t>
      </w:r>
    </w:p>
    <w:p>
      <w:pPr>
        <w:pStyle w:val="14"/>
        <w:spacing w:beforeLines="50" w:afterLines="50" w:line="360" w:lineRule="auto"/>
        <w:ind w:left="105" w:leftChars="50" w:right="105" w:rightChars="50" w:firstLine="600"/>
        <w:rPr>
          <w:sz w:val="30"/>
          <w:szCs w:val="30"/>
        </w:rPr>
      </w:pPr>
      <w:r>
        <w:rPr>
          <w:rFonts w:hint="eastAsia"/>
          <w:sz w:val="30"/>
          <w:szCs w:val="30"/>
        </w:rPr>
        <w:t>1.前期准备工作</w:t>
      </w:r>
    </w:p>
    <w:p>
      <w:pPr>
        <w:pStyle w:val="14"/>
        <w:spacing w:beforeLines="50" w:afterLines="50" w:line="360" w:lineRule="auto"/>
        <w:ind w:left="105" w:leftChars="50" w:right="105" w:rightChars="50" w:firstLine="600"/>
        <w:rPr>
          <w:sz w:val="30"/>
          <w:szCs w:val="30"/>
        </w:rPr>
      </w:pPr>
      <w:r>
        <w:rPr>
          <w:rFonts w:hint="eastAsia"/>
          <w:sz w:val="30"/>
          <w:szCs w:val="30"/>
        </w:rPr>
        <w:t>各项目建设单位根据财政局绩效评价工作部署要求，基于我公司提供的《绩效评价资料清单》对项目资金使用过程中的相关资料进行汇总、准备，资料交接时间为一周。</w:t>
      </w:r>
    </w:p>
    <w:p>
      <w:pPr>
        <w:pStyle w:val="14"/>
        <w:spacing w:beforeLines="50" w:afterLines="50" w:line="360" w:lineRule="auto"/>
        <w:ind w:left="105" w:leftChars="50" w:right="105" w:rightChars="50" w:firstLine="600"/>
        <w:rPr>
          <w:sz w:val="30"/>
          <w:szCs w:val="30"/>
        </w:rPr>
      </w:pPr>
      <w:r>
        <w:rPr>
          <w:rFonts w:hint="eastAsia"/>
          <w:sz w:val="30"/>
          <w:szCs w:val="30"/>
        </w:rPr>
        <w:t xml:space="preserve"> 2.制定绩效评价指标</w:t>
      </w:r>
    </w:p>
    <w:p>
      <w:pPr>
        <w:pStyle w:val="14"/>
        <w:spacing w:beforeLines="50" w:afterLines="50" w:line="360" w:lineRule="auto"/>
        <w:ind w:left="105" w:leftChars="50" w:right="105" w:rightChars="50" w:firstLine="600"/>
        <w:rPr>
          <w:sz w:val="30"/>
          <w:szCs w:val="30"/>
        </w:rPr>
      </w:pPr>
      <w:r>
        <w:rPr>
          <w:rFonts w:hint="eastAsia"/>
          <w:sz w:val="30"/>
          <w:szCs w:val="30"/>
        </w:rPr>
        <w:t>评价组就绩效评价工作内容有针对性地学习了解相关政策及管理制度；制定具体的绩效评价工作方案提交财政局、被评价单位进行审核沟并确定绩效目标和绩效评价指标体系。</w:t>
      </w:r>
    </w:p>
    <w:p>
      <w:pPr>
        <w:pStyle w:val="14"/>
        <w:spacing w:beforeLines="50" w:afterLines="50" w:line="360" w:lineRule="auto"/>
        <w:ind w:left="105" w:leftChars="50" w:right="105" w:rightChars="50" w:firstLine="600"/>
        <w:rPr>
          <w:sz w:val="30"/>
          <w:szCs w:val="30"/>
        </w:rPr>
      </w:pPr>
      <w:r>
        <w:rPr>
          <w:rFonts w:hint="eastAsia"/>
          <w:sz w:val="30"/>
          <w:szCs w:val="30"/>
        </w:rPr>
        <w:t>3.问卷调查</w:t>
      </w:r>
    </w:p>
    <w:p>
      <w:pPr>
        <w:spacing w:beforeLines="50" w:afterLines="50" w:line="360" w:lineRule="auto"/>
        <w:ind w:left="105" w:leftChars="50" w:right="105" w:rightChars="50" w:firstLine="600" w:firstLineChars="200"/>
        <w:rPr>
          <w:sz w:val="30"/>
          <w:szCs w:val="30"/>
        </w:rPr>
      </w:pPr>
      <w:r>
        <w:rPr>
          <w:rFonts w:hint="eastAsia"/>
          <w:sz w:val="30"/>
          <w:szCs w:val="30"/>
        </w:rPr>
        <w:t>根据项目的内容及绩效评价目标从项目实施带来的各方面效益，设计调查问卷，由财政局和被评价单位共同参与，对受益对象满意度展开调查，调查结束后对调查问卷进行整合分析。问卷调查见下表2.1。</w:t>
      </w:r>
    </w:p>
    <w:p>
      <w:pPr>
        <w:spacing w:line="360" w:lineRule="auto"/>
        <w:jc w:val="center"/>
        <w:rPr>
          <w:rFonts w:ascii="宋体" w:hAnsi="宋体" w:eastAsia="宋体"/>
          <w:sz w:val="34"/>
          <w:szCs w:val="34"/>
        </w:rPr>
      </w:pPr>
      <w:r>
        <w:rPr>
          <w:rFonts w:hint="eastAsia" w:ascii="宋体" w:hAnsi="宋体" w:eastAsia="宋体"/>
          <w:sz w:val="34"/>
          <w:szCs w:val="34"/>
        </w:rPr>
        <w:t>农村户用无害化卫生厕所吸污车绩效评价</w:t>
      </w:r>
    </w:p>
    <w:p>
      <w:pPr>
        <w:spacing w:line="360" w:lineRule="auto"/>
        <w:jc w:val="center"/>
        <w:rPr>
          <w:rFonts w:ascii="宋体" w:hAnsi="宋体" w:eastAsia="宋体"/>
          <w:sz w:val="34"/>
          <w:szCs w:val="34"/>
        </w:rPr>
      </w:pPr>
      <w:r>
        <w:rPr>
          <w:rFonts w:hint="eastAsia" w:ascii="宋体" w:hAnsi="宋体" w:eastAsia="宋体"/>
          <w:sz w:val="34"/>
          <w:szCs w:val="34"/>
        </w:rPr>
        <w:t>实地调查问卷</w:t>
      </w:r>
    </w:p>
    <w:p>
      <w:pPr>
        <w:ind w:firstLine="520" w:firstLineChars="200"/>
        <w:jc w:val="left"/>
        <w:rPr>
          <w:rFonts w:ascii="宋体" w:hAnsi="宋体" w:eastAsia="宋体"/>
          <w:sz w:val="26"/>
          <w:szCs w:val="26"/>
        </w:rPr>
      </w:pPr>
      <w:r>
        <w:rPr>
          <w:rFonts w:hint="eastAsia" w:ascii="宋体" w:hAnsi="宋体" w:eastAsia="宋体"/>
          <w:sz w:val="26"/>
          <w:szCs w:val="26"/>
        </w:rPr>
        <w:t>感谢您能在百忙之中抽空来完成本次调查！下面是一些关于农村户用无害化卫生厕所吸污车的问题，希望您能耐心填写。</w:t>
      </w:r>
    </w:p>
    <w:p>
      <w:pPr>
        <w:jc w:val="left"/>
        <w:rPr>
          <w:rFonts w:ascii="宋体" w:hAnsi="宋体" w:eastAsia="宋体"/>
          <w:sz w:val="28"/>
          <w:szCs w:val="28"/>
        </w:rPr>
      </w:pPr>
      <w:r>
        <w:rPr>
          <w:rFonts w:ascii="宋体" w:hAnsi="宋体" w:eastAsia="宋体"/>
          <w:sz w:val="28"/>
          <w:szCs w:val="28"/>
        </w:rPr>
        <w:t>1</w:t>
      </w:r>
      <w:r>
        <w:rPr>
          <w:rFonts w:hint="eastAsia" w:ascii="宋体" w:hAnsi="宋体" w:eastAsia="宋体"/>
          <w:sz w:val="28"/>
          <w:szCs w:val="28"/>
        </w:rPr>
        <w:t>、性别：</w:t>
      </w:r>
    </w:p>
    <w:p>
      <w:pPr>
        <w:jc w:val="left"/>
        <w:rPr>
          <w:rFonts w:ascii="宋体" w:hAnsi="宋体" w:eastAsia="宋体"/>
          <w:sz w:val="28"/>
          <w:szCs w:val="28"/>
        </w:rPr>
      </w:pPr>
      <w:r>
        <w:rPr>
          <w:rFonts w:hint="eastAsia" w:ascii="宋体" w:hAnsi="宋体" w:eastAsia="宋体"/>
          <w:sz w:val="28"/>
          <w:szCs w:val="28"/>
        </w:rPr>
        <w:t>□男    □女</w:t>
      </w:r>
    </w:p>
    <w:p>
      <w:pPr>
        <w:jc w:val="left"/>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、您的年龄：</w:t>
      </w:r>
    </w:p>
    <w:p>
      <w:pPr>
        <w:jc w:val="left"/>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18~35</w:t>
      </w:r>
      <w:r>
        <w:rPr>
          <w:rFonts w:hint="eastAsia" w:ascii="宋体" w:hAnsi="宋体" w:eastAsia="宋体"/>
          <w:sz w:val="28"/>
          <w:szCs w:val="28"/>
        </w:rPr>
        <w:t>岁□</w:t>
      </w:r>
      <w:r>
        <w:rPr>
          <w:rFonts w:ascii="宋体" w:hAnsi="宋体" w:eastAsia="宋体"/>
          <w:sz w:val="28"/>
          <w:szCs w:val="28"/>
        </w:rPr>
        <w:t>36~55</w:t>
      </w:r>
      <w:r>
        <w:rPr>
          <w:rFonts w:hint="eastAsia" w:ascii="宋体" w:hAnsi="宋体" w:eastAsia="宋体"/>
          <w:sz w:val="28"/>
          <w:szCs w:val="28"/>
        </w:rPr>
        <w:t>岁□</w:t>
      </w:r>
      <w:r>
        <w:rPr>
          <w:rFonts w:ascii="宋体" w:hAnsi="宋体" w:eastAsia="宋体"/>
          <w:sz w:val="28"/>
          <w:szCs w:val="28"/>
        </w:rPr>
        <w:t>56~65</w:t>
      </w:r>
      <w:r>
        <w:rPr>
          <w:rFonts w:hint="eastAsia" w:ascii="宋体" w:hAnsi="宋体" w:eastAsia="宋体"/>
          <w:sz w:val="28"/>
          <w:szCs w:val="28"/>
        </w:rPr>
        <w:t>岁</w:t>
      </w:r>
    </w:p>
    <w:p>
      <w:pPr>
        <w:jc w:val="left"/>
        <w:rPr>
          <w:rFonts w:ascii="宋体" w:hAnsi="宋体" w:eastAsia="宋体"/>
          <w:sz w:val="28"/>
          <w:szCs w:val="28"/>
        </w:rPr>
      </w:pPr>
      <w:r>
        <w:rPr>
          <w:rFonts w:hint="eastAsia" w:ascii="宋体" w:hAnsi="宋体" w:eastAsia="宋体"/>
          <w:sz w:val="28"/>
          <w:szCs w:val="28"/>
        </w:rPr>
        <w:t>3、所在乡镇区域：</w:t>
      </w:r>
    </w:p>
    <w:p>
      <w:pPr>
        <w:jc w:val="left"/>
        <w:rPr>
          <w:rFonts w:ascii="宋体" w:hAnsi="宋体" w:eastAsia="宋体"/>
          <w:sz w:val="28"/>
          <w:szCs w:val="28"/>
        </w:rPr>
      </w:pPr>
      <w:r>
        <w:rPr>
          <w:rFonts w:hint="eastAsia" w:ascii="宋体" w:hAnsi="宋体" w:eastAsia="宋体"/>
          <w:sz w:val="28"/>
          <w:szCs w:val="28"/>
        </w:rPr>
        <w:t>□大营镇□菜园乡□硖石乡</w:t>
      </w:r>
    </w:p>
    <w:p>
      <w:pPr>
        <w:jc w:val="left"/>
        <w:rPr>
          <w:rFonts w:ascii="宋体" w:hAnsi="宋体" w:eastAsia="宋体"/>
          <w:sz w:val="28"/>
          <w:szCs w:val="28"/>
        </w:rPr>
      </w:pPr>
      <w:r>
        <w:rPr>
          <w:rFonts w:hint="eastAsia" w:ascii="宋体" w:hAnsi="宋体" w:eastAsia="宋体"/>
          <w:sz w:val="28"/>
          <w:szCs w:val="28"/>
        </w:rPr>
        <w:t>4、您对生活区域卫生环境状况满意度如何？</w:t>
      </w:r>
    </w:p>
    <w:p>
      <w:pPr>
        <w:jc w:val="left"/>
        <w:rPr>
          <w:rFonts w:ascii="宋体" w:hAnsi="宋体" w:eastAsia="宋体"/>
          <w:sz w:val="28"/>
          <w:szCs w:val="28"/>
        </w:rPr>
      </w:pPr>
      <w:r>
        <w:rPr>
          <w:rFonts w:hint="eastAsia" w:ascii="宋体" w:hAnsi="宋体" w:eastAsia="宋体"/>
          <w:sz w:val="28"/>
          <w:szCs w:val="28"/>
        </w:rPr>
        <w:t>□满意             □一般           □不满意</w:t>
      </w:r>
    </w:p>
    <w:p>
      <w:pPr>
        <w:rPr>
          <w:rFonts w:ascii="宋体" w:hAnsi="宋体" w:eastAsia="宋体" w:cs="宋体"/>
          <w:kern w:val="0"/>
          <w:sz w:val="24"/>
          <w:szCs w:val="24"/>
        </w:rPr>
      </w:pPr>
      <w:r>
        <w:rPr>
          <w:rFonts w:hint="eastAsia" w:ascii="宋体" w:hAnsi="宋体" w:eastAsia="宋体"/>
          <w:sz w:val="28"/>
          <w:szCs w:val="28"/>
        </w:rPr>
        <w:t>5、</w:t>
      </w:r>
      <w:r>
        <w:rPr>
          <w:rFonts w:ascii="宋体" w:hAnsi="宋体" w:eastAsia="宋体"/>
          <w:sz w:val="28"/>
          <w:szCs w:val="28"/>
        </w:rPr>
        <w:t>您是否在意公共区域卫生？</w:t>
      </w:r>
    </w:p>
    <w:p>
      <w:pPr>
        <w:jc w:val="left"/>
        <w:rPr>
          <w:rFonts w:ascii="宋体" w:hAnsi="宋体" w:eastAsia="宋体"/>
          <w:sz w:val="28"/>
          <w:szCs w:val="28"/>
        </w:rPr>
      </w:pPr>
      <w:r>
        <w:rPr>
          <w:rFonts w:hint="eastAsia" w:ascii="宋体" w:hAnsi="宋体" w:eastAsia="宋体"/>
          <w:sz w:val="28"/>
          <w:szCs w:val="28"/>
        </w:rPr>
        <w:t>□是</w:t>
      </w: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t>□</w:t>
      </w:r>
      <w:r>
        <w:rPr>
          <w:rFonts w:hint="eastAsia" w:ascii="宋体" w:hAnsi="宋体" w:eastAsia="宋体"/>
          <w:sz w:val="28"/>
          <w:szCs w:val="28"/>
        </w:rPr>
        <w:t>否</w:t>
      </w:r>
    </w:p>
    <w:p>
      <w:pPr>
        <w:jc w:val="left"/>
        <w:rPr>
          <w:rFonts w:ascii="宋体" w:hAnsi="宋体" w:eastAsia="宋体"/>
          <w:sz w:val="28"/>
          <w:szCs w:val="28"/>
        </w:rPr>
      </w:pPr>
      <w:r>
        <w:rPr>
          <w:rFonts w:hint="eastAsia" w:ascii="宋体" w:hAnsi="宋体" w:eastAsia="宋体"/>
          <w:sz w:val="28"/>
          <w:szCs w:val="28"/>
        </w:rPr>
        <w:t>6、吸污车的使用对是否改善了生活环境质量？</w:t>
      </w:r>
      <w:r>
        <w:rPr>
          <w:rFonts w:hint="eastAsia" w:ascii="宋体" w:hAnsi="宋体" w:eastAsia="宋体"/>
          <w:sz w:val="28"/>
          <w:szCs w:val="28"/>
        </w:rPr>
        <w:br w:type="textWrapping"/>
      </w:r>
      <w:r>
        <w:rPr>
          <w:rFonts w:hint="eastAsia" w:ascii="宋体" w:hAnsi="宋体" w:eastAsia="宋体"/>
          <w:sz w:val="28"/>
          <w:szCs w:val="28"/>
        </w:rPr>
        <w:t>□是</w:t>
      </w:r>
      <w:r>
        <w:rPr>
          <w:rFonts w:hint="eastAsia" w:ascii="宋体" w:hAnsi="宋体" w:eastAsia="宋体"/>
          <w:sz w:val="28"/>
          <w:szCs w:val="28"/>
          <w:lang w:val="en-US" w:eastAsia="zh-CN"/>
        </w:rPr>
        <w:t xml:space="preserve">        </w:t>
      </w:r>
      <w:r>
        <w:rPr>
          <w:rFonts w:hint="eastAsia" w:ascii="宋体" w:hAnsi="宋体" w:eastAsia="宋体"/>
          <w:sz w:val="28"/>
          <w:szCs w:val="28"/>
        </w:rPr>
        <w:t>□否</w:t>
      </w:r>
    </w:p>
    <w:p>
      <w:pPr>
        <w:jc w:val="left"/>
        <w:rPr>
          <w:rFonts w:ascii="宋体" w:hAnsi="宋体" w:eastAsia="宋体"/>
          <w:sz w:val="28"/>
          <w:szCs w:val="28"/>
        </w:rPr>
      </w:pPr>
      <w:r>
        <w:rPr>
          <w:rFonts w:hint="eastAsia" w:ascii="宋体" w:hAnsi="宋体" w:eastAsia="宋体"/>
          <w:sz w:val="28"/>
          <w:szCs w:val="28"/>
        </w:rPr>
        <w:t>7、您感觉所在地的户厕卫生情况如何？</w:t>
      </w:r>
    </w:p>
    <w:p>
      <w:pPr>
        <w:jc w:val="left"/>
        <w:rPr>
          <w:rFonts w:ascii="宋体" w:hAnsi="宋体" w:eastAsia="宋体"/>
          <w:sz w:val="28"/>
          <w:szCs w:val="28"/>
        </w:rPr>
      </w:pPr>
      <w:r>
        <w:rPr>
          <w:rFonts w:hint="eastAsia" w:ascii="宋体" w:hAnsi="宋体" w:eastAsia="宋体"/>
          <w:sz w:val="28"/>
          <w:szCs w:val="28"/>
        </w:rPr>
        <w:t>□很好</w:t>
      </w:r>
      <w:r>
        <w:rPr>
          <w:rFonts w:hint="eastAsia" w:ascii="宋体" w:hAnsi="宋体" w:eastAsia="宋体"/>
          <w:sz w:val="28"/>
          <w:szCs w:val="28"/>
          <w:lang w:val="en-US" w:eastAsia="zh-CN"/>
        </w:rPr>
        <w:t xml:space="preserve">       </w:t>
      </w:r>
      <w:r>
        <w:rPr>
          <w:rFonts w:hint="eastAsia" w:ascii="宋体" w:hAnsi="宋体" w:eastAsia="宋体"/>
          <w:sz w:val="28"/>
          <w:szCs w:val="28"/>
        </w:rPr>
        <w:t>□一般</w:t>
      </w:r>
      <w:r>
        <w:rPr>
          <w:rFonts w:hint="eastAsia" w:ascii="宋体" w:hAnsi="宋体" w:eastAsia="宋体"/>
          <w:sz w:val="28"/>
          <w:szCs w:val="28"/>
          <w:lang w:val="en-US" w:eastAsia="zh-CN"/>
        </w:rPr>
        <w:t xml:space="preserve">      </w:t>
      </w:r>
      <w:r>
        <w:rPr>
          <w:rFonts w:hint="eastAsia" w:ascii="宋体" w:hAnsi="宋体" w:eastAsia="宋体"/>
          <w:sz w:val="28"/>
          <w:szCs w:val="28"/>
        </w:rPr>
        <w:t>□较差</w:t>
      </w:r>
    </w:p>
    <w:p>
      <w:pPr>
        <w:jc w:val="left"/>
        <w:rPr>
          <w:rFonts w:ascii="宋体" w:hAnsi="宋体" w:eastAsia="宋体"/>
          <w:sz w:val="28"/>
          <w:szCs w:val="28"/>
        </w:rPr>
      </w:pPr>
      <w:r>
        <w:rPr>
          <w:rFonts w:hint="eastAsia" w:ascii="宋体" w:hAnsi="宋体" w:eastAsia="宋体"/>
          <w:sz w:val="28"/>
          <w:szCs w:val="28"/>
        </w:rPr>
        <w:t>8、您认为利用吸污车清理户厕对于提升乡村整体环境质量？</w:t>
      </w:r>
    </w:p>
    <w:p>
      <w:pPr>
        <w:jc w:val="left"/>
        <w:rPr>
          <w:rFonts w:hint="eastAsia" w:ascii="宋体" w:hAnsi="宋体" w:eastAsia="宋体"/>
          <w:sz w:val="28"/>
          <w:szCs w:val="28"/>
        </w:rPr>
      </w:pPr>
      <w:r>
        <w:rPr>
          <w:rFonts w:hint="eastAsia" w:ascii="宋体" w:hAnsi="宋体" w:eastAsia="宋体"/>
          <w:sz w:val="28"/>
          <w:szCs w:val="28"/>
          <w:lang w:eastAsia="zh-CN"/>
        </w:rPr>
        <w:t>□作用</w:t>
      </w:r>
      <w:r>
        <w:rPr>
          <w:rFonts w:hint="eastAsia" w:ascii="宋体" w:hAnsi="宋体" w:eastAsia="宋体"/>
          <w:sz w:val="28"/>
          <w:szCs w:val="28"/>
        </w:rPr>
        <w:t>明显</w:t>
      </w:r>
      <w:r>
        <w:rPr>
          <w:rFonts w:hint="eastAsia" w:ascii="宋体" w:hAnsi="宋体" w:eastAsia="宋体"/>
          <w:sz w:val="28"/>
          <w:szCs w:val="28"/>
          <w:lang w:val="en-US" w:eastAsia="zh-CN"/>
        </w:rPr>
        <w:t xml:space="preserve">    </w:t>
      </w:r>
      <w:r>
        <w:rPr>
          <w:rFonts w:hint="eastAsia" w:ascii="宋体" w:hAnsi="宋体" w:eastAsia="宋体"/>
          <w:sz w:val="28"/>
          <w:szCs w:val="28"/>
        </w:rPr>
        <w:t>□差不多</w:t>
      </w:r>
      <w:r>
        <w:rPr>
          <w:rFonts w:hint="eastAsia" w:ascii="宋体" w:hAnsi="宋体" w:eastAsia="宋体"/>
          <w:sz w:val="28"/>
          <w:szCs w:val="28"/>
          <w:lang w:val="en-US" w:eastAsia="zh-CN"/>
        </w:rPr>
        <w:t xml:space="preserve">    </w:t>
      </w:r>
      <w:r>
        <w:rPr>
          <w:rFonts w:hint="eastAsia" w:ascii="宋体" w:hAnsi="宋体" w:eastAsia="宋体"/>
          <w:sz w:val="28"/>
          <w:szCs w:val="28"/>
        </w:rPr>
        <w:t>□</w:t>
      </w:r>
      <w:r>
        <w:rPr>
          <w:rFonts w:hint="eastAsia" w:ascii="宋体" w:hAnsi="宋体" w:eastAsia="宋体"/>
          <w:sz w:val="28"/>
          <w:szCs w:val="28"/>
          <w:lang w:eastAsia="zh-CN"/>
        </w:rPr>
        <w:t>不</w:t>
      </w:r>
      <w:r>
        <w:rPr>
          <w:rFonts w:hint="eastAsia" w:ascii="宋体" w:hAnsi="宋体" w:eastAsia="宋体"/>
          <w:sz w:val="28"/>
          <w:szCs w:val="28"/>
        </w:rPr>
        <w:t>明显</w:t>
      </w:r>
    </w:p>
    <w:p>
      <w:pPr>
        <w:jc w:val="left"/>
        <w:rPr>
          <w:rFonts w:ascii="宋体" w:hAnsi="宋体" w:eastAsia="宋体"/>
          <w:sz w:val="28"/>
          <w:szCs w:val="28"/>
        </w:rPr>
      </w:pPr>
      <w:r>
        <w:rPr>
          <w:rFonts w:hint="eastAsia" w:ascii="宋体" w:hAnsi="宋体" w:eastAsia="宋体"/>
          <w:sz w:val="28"/>
          <w:szCs w:val="28"/>
        </w:rPr>
        <w:t>9、您认为</w:t>
      </w:r>
      <w:bookmarkStart w:id="21" w:name="_GoBack"/>
      <w:bookmarkEnd w:id="21"/>
      <w:r>
        <w:rPr>
          <w:rFonts w:hint="eastAsia" w:ascii="宋体" w:hAnsi="宋体" w:eastAsia="宋体"/>
          <w:sz w:val="28"/>
          <w:szCs w:val="28"/>
        </w:rPr>
        <w:t>吸污车清理户厕是否实现资源回收再利用？</w:t>
      </w:r>
    </w:p>
    <w:p>
      <w:pPr>
        <w:jc w:val="left"/>
        <w:rPr>
          <w:rFonts w:ascii="宋体" w:hAnsi="宋体" w:eastAsia="宋体"/>
          <w:sz w:val="28"/>
          <w:szCs w:val="28"/>
        </w:rPr>
      </w:pPr>
      <w:r>
        <w:rPr>
          <w:rFonts w:hint="eastAsia" w:ascii="宋体" w:hAnsi="宋体" w:eastAsia="宋体"/>
          <w:sz w:val="28"/>
          <w:szCs w:val="28"/>
        </w:rPr>
        <w:t>□是             □否</w:t>
      </w:r>
    </w:p>
    <w:p>
      <w:pPr>
        <w:spacing w:beforeLines="50" w:afterLines="50" w:line="360" w:lineRule="auto"/>
        <w:ind w:right="105" w:rightChars="50"/>
        <w:jc w:val="left"/>
        <w:rPr>
          <w:rFonts w:asciiTheme="minorEastAsia" w:hAnsiTheme="minorEastAsia"/>
          <w:sz w:val="30"/>
          <w:szCs w:val="30"/>
        </w:rPr>
      </w:pPr>
    </w:p>
    <w:p>
      <w:pPr>
        <w:spacing w:beforeLines="50" w:afterLines="50" w:line="360" w:lineRule="auto"/>
        <w:ind w:right="105" w:rightChars="50"/>
        <w:jc w:val="left"/>
        <w:rPr>
          <w:rFonts w:asciiTheme="minorEastAsia" w:hAnsiTheme="minorEastAsia"/>
          <w:sz w:val="30"/>
          <w:szCs w:val="30"/>
        </w:rPr>
      </w:pPr>
    </w:p>
    <w:p>
      <w:pPr>
        <w:spacing w:beforeLines="50" w:afterLines="50" w:line="360" w:lineRule="auto"/>
        <w:ind w:right="105" w:rightChars="50"/>
        <w:jc w:val="left"/>
        <w:rPr>
          <w:rFonts w:asciiTheme="minorEastAsia" w:hAnsiTheme="minorEastAsia"/>
          <w:sz w:val="30"/>
          <w:szCs w:val="30"/>
        </w:rPr>
      </w:pPr>
    </w:p>
    <w:p>
      <w:pPr>
        <w:spacing w:beforeLines="50" w:afterLines="50" w:line="360" w:lineRule="auto"/>
        <w:ind w:right="105" w:rightChars="50"/>
        <w:jc w:val="left"/>
        <w:rPr>
          <w:rFonts w:asciiTheme="minorEastAsia" w:hAnsiTheme="minorEastAsia"/>
          <w:sz w:val="30"/>
          <w:szCs w:val="30"/>
        </w:rPr>
      </w:pPr>
      <w:r>
        <w:rPr>
          <w:rFonts w:hint="eastAsia" w:asciiTheme="minorEastAsia" w:hAnsiTheme="minorEastAsia"/>
          <w:sz w:val="30"/>
          <w:szCs w:val="30"/>
        </w:rPr>
        <w:t>问卷调查现场：</w:t>
      </w:r>
      <w:r>
        <w:rPr>
          <w:rFonts w:asciiTheme="minorEastAsia" w:hAnsiTheme="minorEastAsia"/>
          <w:sz w:val="30"/>
          <w:szCs w:val="30"/>
        </w:rPr>
        <w:t xml:space="preserve"> </w:t>
      </w:r>
    </w:p>
    <w:p>
      <w:pPr>
        <w:spacing w:beforeLines="50" w:afterLines="50" w:line="360" w:lineRule="auto"/>
        <w:ind w:right="105" w:rightChars="50"/>
        <w:jc w:val="left"/>
        <w:rPr>
          <w:rFonts w:asciiTheme="minorEastAsia" w:hAnsiTheme="minorEastAsia"/>
          <w:sz w:val="30"/>
          <w:szCs w:val="30"/>
        </w:rPr>
      </w:pPr>
      <w:r>
        <w:rPr>
          <w:rFonts w:asciiTheme="minorEastAsia" w:hAnsiTheme="minorEastAsia"/>
          <w:sz w:val="30"/>
          <w:szCs w:val="30"/>
        </w:rPr>
        <w:drawing>
          <wp:inline distT="0" distB="0" distL="0" distR="0">
            <wp:extent cx="4126230" cy="3095625"/>
            <wp:effectExtent l="19050" t="0" r="7357" b="0"/>
            <wp:docPr id="2" name="图片 1" descr="E:\绩效评价\2022\问卷调查照片\IMG_20221122_1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绩效评价\2022\问卷调查照片\IMG_20221122_105943.jpg"/>
                    <pic:cNvPicPr>
                      <a:picLocks noChangeAspect="1" noChangeArrowheads="1"/>
                    </pic:cNvPicPr>
                  </pic:nvPicPr>
                  <pic:blipFill>
                    <a:blip r:embed="rId9" cstate="print"/>
                    <a:srcRect/>
                    <a:stretch>
                      <a:fillRect/>
                    </a:stretch>
                  </pic:blipFill>
                  <pic:spPr>
                    <a:xfrm>
                      <a:off x="0" y="0"/>
                      <a:ext cx="4130484" cy="3098619"/>
                    </a:xfrm>
                    <a:prstGeom prst="rect">
                      <a:avLst/>
                    </a:prstGeom>
                    <a:noFill/>
                    <a:ln w="9525">
                      <a:noFill/>
                      <a:miter lim="800000"/>
                      <a:headEnd/>
                      <a:tailEnd/>
                    </a:ln>
                  </pic:spPr>
                </pic:pic>
              </a:graphicData>
            </a:graphic>
          </wp:inline>
        </w:drawing>
      </w:r>
      <w:r>
        <w:rPr>
          <w:rFonts w:asciiTheme="minorEastAsia" w:hAnsiTheme="minorEastAsia"/>
          <w:sz w:val="30"/>
          <w:szCs w:val="30"/>
        </w:rPr>
        <w:drawing>
          <wp:inline distT="0" distB="0" distL="0" distR="0">
            <wp:extent cx="4029075" cy="4328160"/>
            <wp:effectExtent l="19050" t="0" r="9525" b="0"/>
            <wp:docPr id="5" name="图片 3" descr="E:\绩效评价\2022\问卷调查照片\IMG_20221122_10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绩效评价\2022\问卷调查照片\IMG_20221122_104747.jpg"/>
                    <pic:cNvPicPr>
                      <a:picLocks noChangeAspect="1" noChangeArrowheads="1"/>
                    </pic:cNvPicPr>
                  </pic:nvPicPr>
                  <pic:blipFill>
                    <a:blip r:embed="rId10" cstate="print"/>
                    <a:srcRect t="19377" r="-18"/>
                    <a:stretch>
                      <a:fillRect/>
                    </a:stretch>
                  </pic:blipFill>
                  <pic:spPr>
                    <a:xfrm>
                      <a:off x="0" y="0"/>
                      <a:ext cx="4029075" cy="4328573"/>
                    </a:xfrm>
                    <a:prstGeom prst="rect">
                      <a:avLst/>
                    </a:prstGeom>
                    <a:noFill/>
                    <a:ln w="9525">
                      <a:noFill/>
                      <a:miter lim="800000"/>
                      <a:headEnd/>
                      <a:tailEnd/>
                    </a:ln>
                  </pic:spPr>
                </pic:pic>
              </a:graphicData>
            </a:graphic>
          </wp:inline>
        </w:drawing>
      </w:r>
    </w:p>
    <w:p>
      <w:pPr>
        <w:spacing w:beforeLines="50" w:afterLines="50" w:line="360" w:lineRule="auto"/>
        <w:ind w:left="105" w:leftChars="50" w:right="105" w:rightChars="50" w:firstLine="600" w:firstLineChars="200"/>
        <w:rPr>
          <w:sz w:val="30"/>
          <w:szCs w:val="30"/>
        </w:rPr>
      </w:pPr>
    </w:p>
    <w:p>
      <w:pPr>
        <w:spacing w:beforeLines="50" w:afterLines="50" w:line="360" w:lineRule="auto"/>
        <w:ind w:left="105" w:leftChars="50" w:right="105" w:rightChars="50" w:firstLine="600" w:firstLineChars="200"/>
        <w:rPr>
          <w:sz w:val="30"/>
          <w:szCs w:val="30"/>
        </w:rPr>
      </w:pPr>
      <w:r>
        <w:rPr>
          <w:rFonts w:hint="eastAsia"/>
          <w:sz w:val="30"/>
          <w:szCs w:val="30"/>
        </w:rPr>
        <w:t>4. 组织召开线上座谈会</w:t>
      </w:r>
    </w:p>
    <w:p>
      <w:pPr>
        <w:spacing w:beforeLines="50" w:afterLines="50" w:line="360" w:lineRule="auto"/>
        <w:ind w:left="105" w:leftChars="50" w:right="105" w:rightChars="50" w:firstLine="600" w:firstLineChars="200"/>
        <w:rPr>
          <w:sz w:val="30"/>
          <w:szCs w:val="30"/>
        </w:rPr>
      </w:pPr>
      <w:r>
        <w:rPr>
          <w:rFonts w:hint="eastAsia"/>
          <w:sz w:val="30"/>
          <w:szCs w:val="30"/>
        </w:rPr>
        <w:t>由于疫情原因，为安全起见，工作组根据建设单位提供的项目过程中的相关资料组织绩效评价专家组织召开线上座谈会，通过建立钉钉群等方式进行资料审核，询问答疑，了解项目建设情况并结合指标打分体系进行讨论。</w:t>
      </w:r>
    </w:p>
    <w:p>
      <w:pPr>
        <w:pStyle w:val="14"/>
        <w:spacing w:beforeLines="50" w:afterLines="50" w:line="360" w:lineRule="auto"/>
        <w:ind w:left="105" w:leftChars="50" w:right="105" w:rightChars="50" w:firstLine="600"/>
        <w:rPr>
          <w:sz w:val="30"/>
          <w:szCs w:val="30"/>
        </w:rPr>
      </w:pPr>
      <w:r>
        <w:rPr>
          <w:rFonts w:hint="eastAsia"/>
          <w:sz w:val="30"/>
          <w:szCs w:val="30"/>
        </w:rPr>
        <w:t>5.整理、分析资料</w:t>
      </w:r>
    </w:p>
    <w:p>
      <w:pPr>
        <w:spacing w:beforeLines="50" w:afterLines="50" w:line="360" w:lineRule="auto"/>
        <w:ind w:left="105" w:leftChars="50" w:right="105" w:rightChars="50" w:firstLine="600" w:firstLineChars="200"/>
        <w:rPr>
          <w:sz w:val="30"/>
          <w:szCs w:val="30"/>
        </w:rPr>
      </w:pPr>
      <w:r>
        <w:rPr>
          <w:rFonts w:hint="eastAsia"/>
          <w:sz w:val="30"/>
          <w:szCs w:val="30"/>
        </w:rPr>
        <w:t>整理、分析资料，对获取的资料进行归纳整理；结合座谈会专家意见对相关数据进行统计分析；对发现的问题进行研讨和核实。</w:t>
      </w:r>
    </w:p>
    <w:p>
      <w:pPr>
        <w:pStyle w:val="14"/>
        <w:spacing w:beforeLines="50" w:afterLines="50" w:line="360" w:lineRule="auto"/>
        <w:ind w:left="105" w:leftChars="50" w:right="105" w:rightChars="50" w:firstLine="600"/>
        <w:rPr>
          <w:sz w:val="30"/>
          <w:szCs w:val="30"/>
        </w:rPr>
      </w:pPr>
      <w:r>
        <w:rPr>
          <w:rFonts w:hint="eastAsia"/>
          <w:sz w:val="30"/>
          <w:szCs w:val="30"/>
        </w:rPr>
        <w:t>6.撰写绩效评价报告</w:t>
      </w:r>
    </w:p>
    <w:p>
      <w:pPr>
        <w:pStyle w:val="14"/>
        <w:spacing w:beforeLines="50" w:afterLines="50" w:line="360" w:lineRule="auto"/>
        <w:ind w:left="105" w:leftChars="50" w:right="105" w:rightChars="50" w:firstLine="600"/>
        <w:rPr>
          <w:sz w:val="30"/>
          <w:szCs w:val="30"/>
        </w:rPr>
      </w:pPr>
      <w:r>
        <w:rPr>
          <w:rFonts w:hint="eastAsia"/>
          <w:sz w:val="30"/>
          <w:szCs w:val="30"/>
        </w:rPr>
        <w:t>根据整理分析资料，撰写绩效评价报告，对农村户用无害化卫生厕所吸污车项目资金使用情况进行总体评价，并对评价过程中发现的问题提出改进的意见和建议。</w:t>
      </w:r>
    </w:p>
    <w:p>
      <w:pPr>
        <w:pStyle w:val="2"/>
      </w:pPr>
      <w:bookmarkStart w:id="8" w:name="_Toc121748708"/>
      <w:r>
        <w:rPr>
          <w:rFonts w:hint="eastAsia"/>
        </w:rPr>
        <w:t>（四）绩效评价原则、评价方法和标准</w:t>
      </w:r>
      <w:bookmarkEnd w:id="8"/>
    </w:p>
    <w:p>
      <w:pPr>
        <w:spacing w:beforeLines="50" w:afterLines="50" w:line="360" w:lineRule="auto"/>
        <w:ind w:left="105" w:leftChars="50" w:right="105" w:rightChars="50" w:firstLine="600" w:firstLineChars="200"/>
        <w:rPr>
          <w:sz w:val="30"/>
          <w:szCs w:val="30"/>
        </w:rPr>
      </w:pPr>
      <w:r>
        <w:rPr>
          <w:rFonts w:hint="eastAsia"/>
          <w:sz w:val="30"/>
          <w:szCs w:val="30"/>
        </w:rPr>
        <w:t>本次绩效评价坚持科学公正、公开透明、统筹兼顾、分级分类、绩效相关的评价原则，根据设定的绩效目标，以定量和定性、线上座谈相结合的方式进行，采取比较法、因素分析法、公众评判法、等评价方法，依据计划标准、行业标准等评价标准，对专项资金的经济性、效率性和效益性进行客观公正评价。现场调研主要采用座谈、访谈、査阅资料、实地走访等方式进行。现场评价通过发放基础数据表，统计收集数据资料等形式进行，依据现场调研掌握的情况和非现场评价采集的数据，综合分析进行全面总体评价。</w:t>
      </w:r>
    </w:p>
    <w:p>
      <w:pPr>
        <w:pStyle w:val="2"/>
      </w:pPr>
      <w:bookmarkStart w:id="9" w:name="_Toc121748709"/>
      <w:r>
        <w:rPr>
          <w:rFonts w:hint="eastAsia"/>
        </w:rPr>
        <w:t>（五）绩效评价指标体系</w:t>
      </w:r>
      <w:bookmarkEnd w:id="9"/>
    </w:p>
    <w:p>
      <w:pPr>
        <w:spacing w:beforeLines="50" w:afterLines="50" w:line="360" w:lineRule="auto"/>
        <w:ind w:left="105" w:leftChars="50" w:right="105" w:rightChars="50" w:firstLine="600" w:firstLineChars="200"/>
        <w:rPr>
          <w:sz w:val="28"/>
          <w:szCs w:val="28"/>
        </w:rPr>
      </w:pPr>
      <w:r>
        <w:rPr>
          <w:rFonts w:hint="eastAsia"/>
          <w:sz w:val="30"/>
          <w:szCs w:val="30"/>
        </w:rPr>
        <w:t>本次评价指标体系按照决策-过程-产出-效益的逻辑路径分层设定，划分为4项一级指标，12项二级指标，25项三级指标，总分值100分，一是决策(15分)，主要评价立项依据充分性、立项程序规范性、绩效目标合理性、绩效指标明确性、预算编制科学性、资金分配合理性。二是过程(25分)，主要评价资金到位及时率、预算执行率、资金使用合规性、管理制度健全性、制度执行有效性。三是产出(35分)，主要评价采购吸污车数量、项目实施覆盖乡镇数量、项目实施覆盖乡镇居民户数、吸污车验收合格率、采购计划周期、车辆交接周期、成本控制。四是效益(25分)，主要评价农村户用厕所抽粪难、清运难问题改善情况、增加就业岗位、实现污粪无害化处理、提升资源回收利用率、农村环境提升程度、公众满意度。具体绩效评价指标体系及指标解释见下表2.2</w:t>
      </w:r>
      <w:r>
        <w:rPr>
          <w:rFonts w:hint="eastAsia"/>
          <w:sz w:val="28"/>
          <w:szCs w:val="28"/>
        </w:rPr>
        <w:t>：</w:t>
      </w:r>
    </w:p>
    <w:p>
      <w:pPr>
        <w:spacing w:beforeLines="50" w:afterLines="50" w:line="360" w:lineRule="auto"/>
        <w:ind w:left="105" w:leftChars="50" w:right="105" w:rightChars="50" w:firstLine="560" w:firstLineChars="200"/>
        <w:rPr>
          <w:sz w:val="28"/>
          <w:szCs w:val="28"/>
        </w:rPr>
      </w:pP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表2.2   农村户用无害化卫生厕所吸污车项目</w:t>
      </w: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绩效评价指标体系</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4"/>
        <w:gridCol w:w="710"/>
        <w:gridCol w:w="709"/>
        <w:gridCol w:w="567"/>
        <w:gridCol w:w="1417"/>
        <w:gridCol w:w="567"/>
        <w:gridCol w:w="3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429"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lang w:eastAsia="en-US"/>
              </w:rPr>
            </w:pPr>
            <w:r>
              <w:rPr>
                <w:rFonts w:hint="eastAsia" w:ascii="宋体" w:hAnsi="宋体" w:eastAsia="宋体"/>
                <w:b/>
                <w:sz w:val="21"/>
                <w:lang w:eastAsia="en-US"/>
              </w:rPr>
              <w:t>一级指标</w:t>
            </w:r>
          </w:p>
        </w:tc>
        <w:tc>
          <w:tcPr>
            <w:tcW w:w="42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lang w:eastAsia="en-US"/>
              </w:rPr>
            </w:pPr>
            <w:r>
              <w:rPr>
                <w:rFonts w:hint="eastAsia" w:ascii="宋体" w:hAnsi="宋体" w:eastAsia="宋体"/>
                <w:b/>
                <w:sz w:val="21"/>
                <w:lang w:eastAsia="en-US"/>
              </w:rPr>
              <w:t>分值</w:t>
            </w:r>
          </w:p>
        </w:tc>
        <w:tc>
          <w:tcPr>
            <w:tcW w:w="42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lang w:eastAsia="en-US"/>
              </w:rPr>
            </w:pPr>
            <w:r>
              <w:rPr>
                <w:rFonts w:hint="eastAsia" w:ascii="宋体" w:hAnsi="宋体" w:eastAsia="宋体"/>
                <w:b/>
                <w:sz w:val="21"/>
                <w:lang w:eastAsia="en-US"/>
              </w:rPr>
              <w:t>二级指标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lang w:eastAsia="en-US"/>
              </w:rPr>
            </w:pPr>
            <w:r>
              <w:rPr>
                <w:rFonts w:hint="eastAsia" w:ascii="宋体" w:hAnsi="宋体" w:eastAsia="宋体"/>
                <w:b/>
                <w:sz w:val="21"/>
                <w:lang w:eastAsia="en-US"/>
              </w:rPr>
              <w:t>分值</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ind w:left="258"/>
              <w:jc w:val="center"/>
              <w:rPr>
                <w:rFonts w:ascii="宋体" w:hAnsi="宋体" w:eastAsia="宋体"/>
                <w:b/>
                <w:sz w:val="21"/>
                <w:lang w:eastAsia="en-US"/>
              </w:rPr>
            </w:pPr>
            <w:r>
              <w:rPr>
                <w:rFonts w:hint="eastAsia" w:ascii="宋体" w:hAnsi="宋体" w:eastAsia="宋体"/>
                <w:b/>
                <w:sz w:val="21"/>
                <w:lang w:eastAsia="en-US"/>
              </w:rPr>
              <w:t>三级指标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3" w:right="110"/>
              <w:jc w:val="center"/>
              <w:rPr>
                <w:rFonts w:ascii="宋体" w:hAnsi="宋体" w:eastAsia="宋体"/>
                <w:b/>
                <w:sz w:val="21"/>
                <w:lang w:eastAsia="en-US"/>
              </w:rPr>
            </w:pPr>
            <w:r>
              <w:rPr>
                <w:rFonts w:hint="eastAsia" w:ascii="宋体" w:hAnsi="宋体" w:eastAsia="宋体"/>
                <w:b/>
                <w:sz w:val="21"/>
                <w:lang w:eastAsia="en-US"/>
              </w:rPr>
              <w:t>分值</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lang w:eastAsia="en-US"/>
              </w:rPr>
            </w:pPr>
            <w:r>
              <w:rPr>
                <w:rFonts w:hint="eastAsia" w:ascii="宋体" w:hAnsi="宋体" w:eastAsia="宋体"/>
                <w:b/>
                <w:sz w:val="21"/>
                <w:lang w:eastAsia="en-US"/>
              </w:rPr>
              <w:t>指标解释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7" w:hRule="atLeast"/>
        </w:trPr>
        <w:tc>
          <w:tcPr>
            <w:tcW w:w="429" w:type="pct"/>
            <w:vMerge w:val="restart"/>
            <w:tcBorders>
              <w:top w:val="single" w:color="000000" w:sz="4" w:space="0"/>
              <w:left w:val="single" w:color="000000" w:sz="4" w:space="0"/>
              <w:right w:val="single" w:color="000000" w:sz="4" w:space="0"/>
            </w:tcBorders>
            <w:vAlign w:val="center"/>
          </w:tcPr>
          <w:p>
            <w:pPr>
              <w:pStyle w:val="20"/>
              <w:ind w:left="138"/>
              <w:jc w:val="center"/>
              <w:rPr>
                <w:rFonts w:ascii="宋体" w:hAnsi="宋体" w:eastAsia="宋体"/>
                <w:sz w:val="21"/>
                <w:lang w:eastAsia="en-US"/>
              </w:rPr>
            </w:pPr>
            <w:r>
              <w:rPr>
                <w:rFonts w:hint="eastAsia" w:ascii="宋体" w:hAnsi="宋体" w:eastAsia="宋体"/>
                <w:sz w:val="21"/>
                <w:lang w:eastAsia="en-US"/>
              </w:rPr>
              <w:t>决策</w:t>
            </w:r>
          </w:p>
        </w:tc>
        <w:tc>
          <w:tcPr>
            <w:tcW w:w="427" w:type="pct"/>
            <w:vMerge w:val="restart"/>
            <w:tcBorders>
              <w:top w:val="single" w:color="000000" w:sz="4" w:space="0"/>
              <w:left w:val="single" w:color="000000" w:sz="4" w:space="0"/>
              <w:right w:val="single" w:color="000000" w:sz="4" w:space="0"/>
            </w:tcBorders>
            <w:vAlign w:val="center"/>
          </w:tcPr>
          <w:p>
            <w:pPr>
              <w:pStyle w:val="20"/>
              <w:ind w:left="124"/>
              <w:jc w:val="center"/>
              <w:rPr>
                <w:rFonts w:ascii="宋体" w:hAnsi="宋体" w:eastAsia="宋体"/>
                <w:sz w:val="21"/>
                <w:lang w:eastAsia="en-US"/>
              </w:rPr>
            </w:pPr>
            <w:r>
              <w:rPr>
                <w:rFonts w:hint="eastAsia" w:ascii="宋体" w:hAnsi="宋体" w:eastAsia="宋体"/>
                <w:sz w:val="21"/>
                <w:lang w:eastAsia="en-US"/>
              </w:rPr>
              <w:t>15</w:t>
            </w:r>
          </w:p>
        </w:tc>
        <w:tc>
          <w:tcPr>
            <w:tcW w:w="426" w:type="pct"/>
            <w:vMerge w:val="restart"/>
            <w:tcBorders>
              <w:top w:val="single" w:color="000000" w:sz="4" w:space="0"/>
              <w:left w:val="single" w:color="000000" w:sz="4" w:space="0"/>
              <w:right w:val="single" w:color="000000" w:sz="4" w:space="0"/>
            </w:tcBorders>
            <w:vAlign w:val="center"/>
          </w:tcPr>
          <w:p>
            <w:pPr>
              <w:pStyle w:val="20"/>
              <w:spacing w:before="97" w:line="242" w:lineRule="auto"/>
              <w:ind w:left="210" w:right="191"/>
              <w:jc w:val="center"/>
              <w:rPr>
                <w:rFonts w:ascii="宋体" w:hAnsi="宋体" w:eastAsia="宋体"/>
                <w:sz w:val="21"/>
                <w:lang w:eastAsia="en-US"/>
              </w:rPr>
            </w:pPr>
            <w:r>
              <w:rPr>
                <w:rFonts w:hint="eastAsia" w:ascii="宋体" w:hAnsi="宋体" w:eastAsia="宋体"/>
                <w:sz w:val="21"/>
                <w:lang w:eastAsia="en-US"/>
              </w:rPr>
              <w:t>项目立项</w:t>
            </w:r>
          </w:p>
        </w:tc>
        <w:tc>
          <w:tcPr>
            <w:tcW w:w="341" w:type="pct"/>
            <w:vMerge w:val="restart"/>
            <w:tcBorders>
              <w:top w:val="single" w:color="000000" w:sz="4" w:space="0"/>
              <w:left w:val="single" w:color="000000" w:sz="4" w:space="0"/>
              <w:right w:val="single" w:color="000000" w:sz="4" w:space="0"/>
            </w:tcBorders>
            <w:vAlign w:val="center"/>
          </w:tcPr>
          <w:p>
            <w:pPr>
              <w:pStyle w:val="20"/>
              <w:ind w:left="3"/>
              <w:jc w:val="center"/>
              <w:rPr>
                <w:rFonts w:ascii="宋体" w:hAnsi="宋体" w:eastAsia="宋体"/>
                <w:sz w:val="21"/>
                <w:lang w:eastAsia="en-US"/>
              </w:rPr>
            </w:pPr>
            <w:r>
              <w:rPr>
                <w:rFonts w:hint="eastAsia" w:ascii="宋体" w:hAnsi="宋体" w:eastAsia="宋体"/>
                <w:sz w:val="21"/>
                <w:lang w:eastAsia="en-US"/>
              </w:rPr>
              <w:t>5</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lang w:eastAsia="en-US"/>
              </w:rPr>
            </w:pPr>
            <w:r>
              <w:rPr>
                <w:rFonts w:hint="eastAsia" w:ascii="宋体" w:hAnsi="宋体" w:eastAsia="宋体"/>
                <w:sz w:val="21"/>
                <w:lang w:eastAsia="zh-CN"/>
              </w:rPr>
              <w:t>立项依据充分性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0"/>
              <w:jc w:val="center"/>
              <w:rPr>
                <w:rFonts w:ascii="宋体" w:hAnsi="宋体" w:eastAsia="宋体"/>
                <w:sz w:val="21"/>
                <w:lang w:eastAsia="en-US"/>
              </w:rPr>
            </w:pPr>
            <w:r>
              <w:rPr>
                <w:rFonts w:hint="eastAsia" w:ascii="宋体" w:hAnsi="宋体" w:eastAsia="宋体"/>
                <w:sz w:val="21"/>
                <w:lang w:eastAsia="en-US"/>
              </w:rPr>
              <w:t>2</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both"/>
              <w:rPr>
                <w:rFonts w:ascii="宋体" w:hAnsi="宋体" w:eastAsia="宋体"/>
                <w:sz w:val="21"/>
                <w:lang w:eastAsia="zh-CN"/>
              </w:rPr>
            </w:pPr>
            <w:r>
              <w:rPr>
                <w:rFonts w:hint="eastAsia" w:ascii="宋体" w:hAnsi="宋体" w:eastAsia="宋体"/>
                <w:sz w:val="21"/>
                <w:lang w:eastAsia="zh-CN"/>
              </w:rPr>
              <w:t>项目立项是否符合法律法规、相关政策、发展规划以及部门职责，用以反映和考核项目立项依据情况。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429" w:type="pct"/>
            <w:vMerge w:val="continue"/>
            <w:tcBorders>
              <w:left w:val="single" w:color="000000" w:sz="4" w:space="0"/>
              <w:right w:val="single" w:color="000000" w:sz="4" w:space="0"/>
            </w:tcBorders>
            <w:vAlign w:val="center"/>
          </w:tcPr>
          <w:p>
            <w:pPr>
              <w:pStyle w:val="2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pStyle w:val="20"/>
              <w:jc w:val="center"/>
              <w:rPr>
                <w:rFonts w:ascii="宋体" w:hAnsi="宋体" w:eastAsia="宋体"/>
                <w:sz w:val="20"/>
                <w:lang w:eastAsia="zh-CN"/>
              </w:rPr>
            </w:pPr>
          </w:p>
        </w:tc>
        <w:tc>
          <w:tcPr>
            <w:tcW w:w="426"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0"/>
                <w:lang w:eastAsia="zh-CN"/>
              </w:rPr>
            </w:pPr>
          </w:p>
        </w:tc>
        <w:tc>
          <w:tcPr>
            <w:tcW w:w="341"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0"/>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lang w:eastAsia="en-US"/>
              </w:rPr>
            </w:pPr>
            <w:r>
              <w:rPr>
                <w:rFonts w:hint="eastAsia" w:ascii="宋体" w:hAnsi="宋体" w:eastAsia="宋体"/>
                <w:sz w:val="21"/>
                <w:lang w:eastAsia="zh-CN"/>
              </w:rPr>
              <w:t>立项程序规范性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3</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both"/>
              <w:rPr>
                <w:rFonts w:ascii="宋体" w:hAnsi="宋体" w:eastAsia="宋体"/>
                <w:sz w:val="21"/>
                <w:lang w:eastAsia="zh-CN"/>
              </w:rPr>
            </w:pPr>
            <w:r>
              <w:rPr>
                <w:rFonts w:hint="eastAsia" w:ascii="宋体" w:hAnsi="宋体" w:eastAsia="宋体"/>
                <w:sz w:val="21"/>
                <w:lang w:eastAsia="zh-CN"/>
              </w:rPr>
              <w:t>项目的申请、设立过程是否符合相关要求，用以反映和考核项目立项的规范情况。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lang w:eastAsia="en-US"/>
              </w:rPr>
            </w:pPr>
            <w:r>
              <w:rPr>
                <w:rFonts w:hint="eastAsia" w:ascii="宋体" w:hAnsi="宋体" w:eastAsia="宋体"/>
                <w:sz w:val="21"/>
                <w:lang w:eastAsia="en-US"/>
              </w:rPr>
              <w:t>绩效目标</w:t>
            </w:r>
          </w:p>
        </w:tc>
        <w:tc>
          <w:tcPr>
            <w:tcW w:w="341"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lang w:eastAsia="en-US"/>
              </w:rPr>
            </w:pPr>
            <w:r>
              <w:rPr>
                <w:rFonts w:hint="eastAsia" w:ascii="宋体" w:hAnsi="宋体" w:eastAsia="宋体"/>
                <w:sz w:val="21"/>
                <w:lang w:eastAsia="en-US"/>
              </w:rPr>
              <w:t>6</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lang w:eastAsia="zh-CN"/>
              </w:rPr>
            </w:pPr>
            <w:r>
              <w:rPr>
                <w:rFonts w:hint="eastAsia" w:ascii="宋体" w:hAnsi="宋体" w:eastAsia="宋体"/>
                <w:sz w:val="21"/>
                <w:lang w:eastAsia="zh-CN"/>
              </w:rPr>
              <w:t>绩效目标合理性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3</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both"/>
              <w:rPr>
                <w:rFonts w:ascii="宋体" w:hAnsi="宋体" w:eastAsia="宋体"/>
                <w:sz w:val="21"/>
                <w:lang w:eastAsia="zh-CN"/>
              </w:rPr>
            </w:pPr>
            <w:r>
              <w:rPr>
                <w:rFonts w:hint="eastAsia" w:ascii="宋体" w:hAnsi="宋体" w:eastAsia="宋体"/>
                <w:sz w:val="21"/>
                <w:lang w:eastAsia="zh-CN"/>
              </w:rPr>
              <w:t>项目所设定的绩效目标是否符合实际、切实可行，用以反映和考核项目绩效目标与项目实施的相符情况。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firstLine="105" w:firstLineChars="50"/>
              <w:jc w:val="center"/>
              <w:rPr>
                <w:rFonts w:ascii="宋体" w:hAnsi="宋体" w:eastAsia="宋体"/>
                <w:sz w:val="21"/>
                <w:lang w:eastAsia="zh-CN"/>
              </w:rPr>
            </w:pPr>
            <w:r>
              <w:rPr>
                <w:rFonts w:hint="eastAsia" w:ascii="宋体" w:hAnsi="宋体" w:eastAsia="宋体"/>
                <w:sz w:val="21"/>
                <w:lang w:eastAsia="zh-CN"/>
              </w:rPr>
              <w:t>绩效指标明确性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3</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both"/>
              <w:rPr>
                <w:rFonts w:ascii="宋体" w:hAnsi="宋体" w:eastAsia="宋体"/>
                <w:sz w:val="21"/>
                <w:lang w:eastAsia="zh-CN"/>
              </w:rPr>
            </w:pPr>
            <w:r>
              <w:rPr>
                <w:rFonts w:hint="eastAsia" w:ascii="宋体" w:hAnsi="宋体" w:eastAsia="宋体"/>
                <w:sz w:val="21"/>
                <w:lang w:eastAsia="zh-CN"/>
              </w:rPr>
              <w:t>依据绩效目标设定的绩效指标是否清晰、细化、可衡量等，用以反映和考核项目绩效目标的细化情况。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en-US"/>
              </w:rPr>
            </w:pPr>
            <w:r>
              <w:rPr>
                <w:rFonts w:hint="eastAsia" w:ascii="宋体" w:hAnsi="宋体" w:eastAsia="宋体"/>
                <w:sz w:val="21"/>
                <w:lang w:eastAsia="en-US"/>
              </w:rPr>
              <w:t>资金投入</w:t>
            </w:r>
          </w:p>
        </w:tc>
        <w:tc>
          <w:tcPr>
            <w:tcW w:w="341"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lang w:eastAsia="en-US"/>
              </w:rPr>
            </w:pPr>
            <w:r>
              <w:rPr>
                <w:rFonts w:hint="eastAsia" w:ascii="宋体" w:hAnsi="宋体" w:eastAsia="宋体"/>
                <w:sz w:val="21"/>
                <w:lang w:eastAsia="en-US"/>
              </w:rPr>
              <w:t>4</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lang w:eastAsia="zh-CN"/>
              </w:rPr>
            </w:pPr>
            <w:r>
              <w:rPr>
                <w:rFonts w:hint="eastAsia" w:ascii="宋体" w:hAnsi="宋体" w:eastAsia="宋体"/>
                <w:sz w:val="21"/>
                <w:lang w:eastAsia="zh-CN"/>
              </w:rPr>
              <w:t>预算编制科学性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76"/>
              <w:jc w:val="center"/>
              <w:rPr>
                <w:rFonts w:ascii="宋体" w:hAnsi="宋体" w:eastAsia="宋体"/>
                <w:sz w:val="21"/>
                <w:lang w:eastAsia="en-US"/>
              </w:rPr>
            </w:pPr>
            <w:r>
              <w:rPr>
                <w:rFonts w:hint="eastAsia" w:ascii="宋体" w:hAnsi="宋体" w:eastAsia="宋体"/>
                <w:sz w:val="21"/>
                <w:lang w:eastAsia="en-US"/>
              </w:rPr>
              <w:t>2</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both"/>
              <w:rPr>
                <w:rFonts w:ascii="宋体" w:hAnsi="宋体" w:eastAsia="宋体"/>
                <w:sz w:val="21"/>
                <w:lang w:eastAsia="zh-CN"/>
              </w:rPr>
            </w:pPr>
            <w:r>
              <w:rPr>
                <w:rFonts w:hint="eastAsia" w:ascii="宋体" w:hAnsi="宋体" w:eastAsia="宋体"/>
                <w:sz w:val="21"/>
                <w:lang w:eastAsia="zh-CN"/>
              </w:rPr>
              <w:t>项目预算编制是否经过科学论证、有明确标准，资金额度与年度目标是否相适应，用以反映和考核项目预算编制的科学性、合理性情况。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429"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en-US"/>
              </w:rPr>
            </w:pPr>
            <w:r>
              <w:rPr>
                <w:rFonts w:hint="eastAsia" w:ascii="宋体" w:hAnsi="宋体" w:eastAsia="宋体"/>
                <w:sz w:val="21"/>
                <w:lang w:eastAsia="zh-CN"/>
              </w:rPr>
              <w:t>资金分配合理性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2</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项目预算资金分配是否有经过科学论证、有明确标准及测算依据，与实际是否相适应，用以反映和考核项目预算资金分配的科学性、合理性情况。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29"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38"/>
              <w:jc w:val="center"/>
              <w:rPr>
                <w:rFonts w:ascii="宋体" w:hAnsi="宋体" w:eastAsia="宋体"/>
                <w:sz w:val="21"/>
                <w:lang w:eastAsia="en-US"/>
              </w:rPr>
            </w:pPr>
            <w:r>
              <w:rPr>
                <w:rFonts w:hint="eastAsia" w:ascii="宋体" w:hAnsi="宋体" w:eastAsia="宋体"/>
                <w:sz w:val="21"/>
                <w:lang w:eastAsia="en-US"/>
              </w:rPr>
              <w:t>过程</w:t>
            </w:r>
          </w:p>
        </w:tc>
        <w:tc>
          <w:tcPr>
            <w:tcW w:w="427"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24"/>
              <w:jc w:val="center"/>
              <w:rPr>
                <w:rFonts w:ascii="宋体" w:hAnsi="宋体" w:eastAsia="宋体"/>
                <w:sz w:val="21"/>
                <w:lang w:eastAsia="en-US"/>
              </w:rPr>
            </w:pPr>
            <w:r>
              <w:rPr>
                <w:rFonts w:hint="eastAsia" w:ascii="宋体" w:hAnsi="宋体" w:eastAsia="宋体"/>
                <w:sz w:val="21"/>
                <w:lang w:eastAsia="en-US"/>
              </w:rPr>
              <w:t>25</w:t>
            </w:r>
          </w:p>
        </w:tc>
        <w:tc>
          <w:tcPr>
            <w:tcW w:w="426"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en-US"/>
              </w:rPr>
            </w:pPr>
            <w:r>
              <w:rPr>
                <w:rFonts w:hint="eastAsia" w:ascii="宋体" w:hAnsi="宋体" w:eastAsia="宋体"/>
                <w:sz w:val="21"/>
                <w:lang w:eastAsia="en-US"/>
              </w:rPr>
              <w:t>资金管理</w:t>
            </w:r>
          </w:p>
        </w:tc>
        <w:tc>
          <w:tcPr>
            <w:tcW w:w="341"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lang w:eastAsia="en-US"/>
              </w:rPr>
            </w:pPr>
            <w:r>
              <w:rPr>
                <w:rFonts w:hint="eastAsia" w:ascii="宋体" w:hAnsi="宋体" w:eastAsia="宋体"/>
                <w:sz w:val="21"/>
                <w:lang w:eastAsia="en-US"/>
              </w:rPr>
              <w:t>15</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center"/>
              <w:rPr>
                <w:rFonts w:ascii="宋体" w:hAnsi="宋体" w:eastAsia="宋体"/>
                <w:sz w:val="21"/>
                <w:lang w:eastAsia="en-US"/>
              </w:rPr>
            </w:pPr>
            <w:r>
              <w:rPr>
                <w:rFonts w:hint="eastAsia" w:ascii="宋体" w:hAnsi="宋体" w:eastAsia="宋体"/>
                <w:sz w:val="21"/>
                <w:lang w:eastAsia="en-US"/>
              </w:rPr>
              <w:t>资金到位率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3</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实际到位资金与预算资金的比率，用以反映和考核资金落实情况对项目实施的总体保障程度。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ascii="宋体" w:hAnsi="宋体" w:eastAsia="宋体"/>
                <w:sz w:val="18"/>
                <w:lang w:eastAsia="zh-CN"/>
              </w:rPr>
            </w:pPr>
          </w:p>
          <w:p>
            <w:pPr>
              <w:pStyle w:val="20"/>
              <w:spacing w:before="1"/>
              <w:ind w:left="101" w:right="99"/>
              <w:jc w:val="center"/>
              <w:rPr>
                <w:rFonts w:ascii="宋体" w:hAnsi="宋体" w:eastAsia="宋体"/>
                <w:sz w:val="21"/>
                <w:lang w:eastAsia="en-US"/>
              </w:rPr>
            </w:pPr>
            <w:r>
              <w:rPr>
                <w:rFonts w:hint="eastAsia" w:ascii="宋体" w:hAnsi="宋体" w:eastAsia="宋体"/>
                <w:sz w:val="21"/>
                <w:lang w:eastAsia="en-US"/>
              </w:rPr>
              <w:t>预算执行率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76"/>
              <w:jc w:val="center"/>
              <w:rPr>
                <w:rFonts w:ascii="宋体" w:hAnsi="宋体" w:eastAsia="宋体"/>
                <w:sz w:val="21"/>
                <w:lang w:eastAsia="en-US"/>
              </w:rPr>
            </w:pPr>
            <w:r>
              <w:rPr>
                <w:rFonts w:hint="eastAsia" w:ascii="宋体" w:hAnsi="宋体" w:eastAsia="宋体"/>
                <w:sz w:val="21"/>
                <w:lang w:eastAsia="en-US"/>
              </w:rPr>
              <w:t>6</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项目预算资金是否按照计划执行，用以反映或考核项目预算执行情况。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en-US"/>
              </w:rPr>
            </w:pPr>
            <w:r>
              <w:rPr>
                <w:rFonts w:hint="eastAsia" w:ascii="宋体" w:hAnsi="宋体" w:eastAsia="宋体"/>
                <w:sz w:val="21"/>
                <w:lang w:eastAsia="zh-CN"/>
              </w:rPr>
              <w:t>资金使用合规性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6</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项目资金使用是否符合相关的财务管理制度规定，用以反映和考核项目资金的规范运行情况。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lang w:eastAsia="en-US"/>
              </w:rPr>
            </w:pPr>
            <w:r>
              <w:rPr>
                <w:rFonts w:hint="eastAsia" w:ascii="宋体" w:hAnsi="宋体" w:eastAsia="宋体"/>
                <w:sz w:val="21"/>
                <w:lang w:eastAsia="en-US"/>
              </w:rPr>
              <w:t>组织实施</w:t>
            </w:r>
          </w:p>
        </w:tc>
        <w:tc>
          <w:tcPr>
            <w:tcW w:w="341"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lang w:eastAsia="en-US"/>
              </w:rPr>
            </w:pPr>
            <w:r>
              <w:rPr>
                <w:rFonts w:hint="eastAsia" w:ascii="宋体" w:hAnsi="宋体" w:eastAsia="宋体"/>
                <w:sz w:val="21"/>
                <w:lang w:eastAsia="en-US"/>
              </w:rPr>
              <w:t>10</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管理制度健全性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5</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项目实施单位的财务和业务管理制度是否健全，用以反映和考核财务和业务管理制度对项目顺利实施的保障情况。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42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制度执行有效性</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en-US"/>
              </w:rPr>
            </w:pPr>
            <w:r>
              <w:rPr>
                <w:rFonts w:hint="eastAsia" w:ascii="宋体" w:hAnsi="宋体" w:eastAsia="宋体"/>
                <w:sz w:val="21"/>
                <w:lang w:eastAsia="en-US"/>
              </w:rPr>
              <w:t>5</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项目实施是否符合相关管理规定，用以反映和考核相关管理制度的有效执行情况。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429" w:type="pct"/>
            <w:vMerge w:val="restart"/>
            <w:tcBorders>
              <w:top w:val="single" w:color="000000" w:sz="4" w:space="0"/>
              <w:left w:val="single" w:color="000000" w:sz="4" w:space="0"/>
              <w:right w:val="single" w:color="000000" w:sz="4" w:space="0"/>
            </w:tcBorders>
            <w:vAlign w:val="center"/>
          </w:tcPr>
          <w:p>
            <w:pPr>
              <w:pStyle w:val="20"/>
              <w:ind w:left="138"/>
              <w:jc w:val="center"/>
              <w:rPr>
                <w:rFonts w:ascii="宋体" w:hAnsi="宋体" w:eastAsia="宋体"/>
                <w:sz w:val="21"/>
                <w:lang w:eastAsia="en-US"/>
              </w:rPr>
            </w:pPr>
            <w:r>
              <w:rPr>
                <w:rFonts w:hint="eastAsia" w:ascii="宋体" w:hAnsi="宋体" w:eastAsia="宋体"/>
                <w:sz w:val="21"/>
                <w:lang w:eastAsia="en-US"/>
              </w:rPr>
              <w:t>产出</w:t>
            </w:r>
          </w:p>
        </w:tc>
        <w:tc>
          <w:tcPr>
            <w:tcW w:w="427" w:type="pct"/>
            <w:vMerge w:val="restart"/>
            <w:tcBorders>
              <w:top w:val="single" w:color="000000" w:sz="4" w:space="0"/>
              <w:left w:val="single" w:color="000000" w:sz="4" w:space="0"/>
              <w:right w:val="single" w:color="000000" w:sz="4" w:space="0"/>
            </w:tcBorders>
            <w:vAlign w:val="center"/>
          </w:tcPr>
          <w:p>
            <w:pPr>
              <w:pStyle w:val="20"/>
              <w:ind w:left="124"/>
              <w:jc w:val="center"/>
              <w:rPr>
                <w:rFonts w:ascii="宋体" w:hAnsi="宋体" w:eastAsia="宋体"/>
                <w:sz w:val="21"/>
                <w:lang w:eastAsia="en-US"/>
              </w:rPr>
            </w:pPr>
            <w:r>
              <w:rPr>
                <w:rFonts w:hint="eastAsia" w:ascii="宋体" w:hAnsi="宋体" w:eastAsia="宋体"/>
                <w:sz w:val="21"/>
                <w:lang w:eastAsia="en-US"/>
              </w:rPr>
              <w:t>35</w:t>
            </w:r>
          </w:p>
        </w:tc>
        <w:tc>
          <w:tcPr>
            <w:tcW w:w="426"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en-US"/>
              </w:rPr>
            </w:pPr>
            <w:r>
              <w:rPr>
                <w:rFonts w:hint="eastAsia" w:ascii="宋体" w:hAnsi="宋体" w:eastAsia="宋体"/>
                <w:sz w:val="21"/>
                <w:lang w:eastAsia="en-US"/>
              </w:rPr>
              <w:t>产出数量</w:t>
            </w:r>
          </w:p>
        </w:tc>
        <w:tc>
          <w:tcPr>
            <w:tcW w:w="341" w:type="pct"/>
            <w:vMerge w:val="restart"/>
            <w:tcBorders>
              <w:top w:val="single" w:color="000000" w:sz="4" w:space="0"/>
              <w:left w:val="single" w:color="000000" w:sz="4" w:space="0"/>
              <w:right w:val="single" w:color="000000" w:sz="4" w:space="0"/>
            </w:tcBorders>
            <w:vAlign w:val="center"/>
          </w:tcPr>
          <w:p>
            <w:pPr>
              <w:pStyle w:val="20"/>
              <w:ind w:left="3"/>
              <w:jc w:val="center"/>
              <w:rPr>
                <w:rFonts w:ascii="宋体" w:hAnsi="宋体" w:eastAsia="宋体"/>
                <w:sz w:val="21"/>
                <w:lang w:eastAsia="zh-CN"/>
              </w:rPr>
            </w:pPr>
            <w:r>
              <w:rPr>
                <w:rFonts w:hint="eastAsia" w:ascii="宋体" w:hAnsi="宋体" w:eastAsia="宋体"/>
                <w:sz w:val="21"/>
                <w:lang w:eastAsia="zh-CN"/>
              </w:rPr>
              <w:t>18</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采购吸污车数量</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zh-CN"/>
              </w:rPr>
            </w:pPr>
            <w:r>
              <w:rPr>
                <w:rFonts w:hint="eastAsia" w:ascii="宋体" w:hAnsi="宋体" w:eastAsia="宋体"/>
                <w:sz w:val="21"/>
                <w:lang w:eastAsia="zh-CN"/>
              </w:rPr>
              <w:t>6</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项目是否达到既定采购的数量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项目实施覆盖乡镇数量</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zh-CN"/>
              </w:rPr>
            </w:pPr>
            <w:r>
              <w:rPr>
                <w:rFonts w:hint="eastAsia" w:ascii="宋体" w:hAnsi="宋体" w:eastAsia="宋体"/>
                <w:sz w:val="21"/>
                <w:lang w:eastAsia="zh-CN"/>
              </w:rPr>
              <w:t>6</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项目是否达到既定投入乡镇的数量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lang w:eastAsia="zh-CN"/>
              </w:rPr>
            </w:pPr>
          </w:p>
        </w:tc>
        <w:tc>
          <w:tcPr>
            <w:tcW w:w="42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项目实施覆盖乡镇居民户数</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76"/>
              <w:jc w:val="center"/>
              <w:rPr>
                <w:rFonts w:ascii="宋体" w:hAnsi="宋体" w:eastAsia="宋体"/>
                <w:sz w:val="21"/>
                <w:lang w:eastAsia="zh-CN"/>
              </w:rPr>
            </w:pPr>
            <w:r>
              <w:rPr>
                <w:rFonts w:hint="eastAsia" w:ascii="宋体" w:hAnsi="宋体" w:eastAsia="宋体"/>
                <w:sz w:val="21"/>
                <w:lang w:eastAsia="zh-CN"/>
              </w:rPr>
              <w:t>6</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项目实施所覆盖的乡镇户数与计划目标是否一致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en-US"/>
              </w:rPr>
            </w:pPr>
            <w:r>
              <w:rPr>
                <w:rFonts w:hint="eastAsia" w:ascii="宋体" w:hAnsi="宋体" w:eastAsia="宋体"/>
                <w:sz w:val="21"/>
                <w:lang w:eastAsia="en-US"/>
              </w:rPr>
              <w:t>产出质量</w:t>
            </w:r>
          </w:p>
        </w:tc>
        <w:tc>
          <w:tcPr>
            <w:tcW w:w="341" w:type="pct"/>
            <w:tcBorders>
              <w:top w:val="single" w:color="000000" w:sz="4" w:space="0"/>
              <w:left w:val="single" w:color="000000" w:sz="4" w:space="0"/>
              <w:right w:val="single" w:color="000000" w:sz="4" w:space="0"/>
            </w:tcBorders>
            <w:vAlign w:val="center"/>
          </w:tcPr>
          <w:p>
            <w:pPr>
              <w:pStyle w:val="20"/>
              <w:ind w:left="118"/>
              <w:jc w:val="center"/>
              <w:rPr>
                <w:rFonts w:ascii="宋体" w:hAnsi="宋体" w:eastAsia="宋体"/>
                <w:sz w:val="21"/>
                <w:lang w:eastAsia="zh-CN"/>
              </w:rPr>
            </w:pPr>
            <w:r>
              <w:rPr>
                <w:rFonts w:hint="eastAsia" w:ascii="宋体" w:hAnsi="宋体" w:eastAsia="宋体"/>
                <w:sz w:val="21"/>
                <w:lang w:eastAsia="zh-CN"/>
              </w:rPr>
              <w:t>9</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吸污车验收合格率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9</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项目采购吸污车验收合格率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vMerge w:val="restart"/>
            <w:tcBorders>
              <w:top w:val="single" w:color="000000" w:sz="4" w:space="0"/>
              <w:left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en-US"/>
              </w:rPr>
            </w:pPr>
            <w:r>
              <w:rPr>
                <w:rFonts w:hint="eastAsia" w:ascii="宋体" w:hAnsi="宋体" w:eastAsia="宋体"/>
                <w:sz w:val="21"/>
                <w:lang w:eastAsia="en-US"/>
              </w:rPr>
              <w:t>产出时效</w:t>
            </w:r>
          </w:p>
        </w:tc>
        <w:tc>
          <w:tcPr>
            <w:tcW w:w="341" w:type="pct"/>
            <w:vMerge w:val="restart"/>
            <w:tcBorders>
              <w:top w:val="single" w:color="000000" w:sz="4" w:space="0"/>
              <w:left w:val="single" w:color="000000" w:sz="4" w:space="0"/>
              <w:right w:val="single" w:color="000000" w:sz="4" w:space="0"/>
            </w:tcBorders>
            <w:vAlign w:val="center"/>
          </w:tcPr>
          <w:p>
            <w:pPr>
              <w:pStyle w:val="20"/>
              <w:spacing w:before="1"/>
              <w:ind w:left="3"/>
              <w:jc w:val="center"/>
              <w:rPr>
                <w:rFonts w:ascii="宋体" w:hAnsi="宋体" w:eastAsia="宋体"/>
                <w:sz w:val="21"/>
                <w:lang w:eastAsia="en-US"/>
              </w:rPr>
            </w:pPr>
            <w:r>
              <w:rPr>
                <w:rFonts w:hint="eastAsia" w:ascii="宋体" w:hAnsi="宋体" w:eastAsia="宋体"/>
                <w:sz w:val="21"/>
                <w:lang w:eastAsia="en-US"/>
              </w:rPr>
              <w:t>6</w:t>
            </w:r>
          </w:p>
        </w:tc>
        <w:tc>
          <w:tcPr>
            <w:tcW w:w="852"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采购计划周期</w:t>
            </w:r>
          </w:p>
        </w:tc>
        <w:tc>
          <w:tcPr>
            <w:tcW w:w="341"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2</w:t>
            </w:r>
          </w:p>
        </w:tc>
        <w:tc>
          <w:tcPr>
            <w:tcW w:w="218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是否按既定的时间完成采购工作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341"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val="en-US" w:eastAsia="zh-CN"/>
              </w:rPr>
            </w:pPr>
            <w:r>
              <w:rPr>
                <w:rFonts w:hint="eastAsia" w:ascii="宋体" w:hAnsi="宋体" w:eastAsia="宋体"/>
                <w:sz w:val="21"/>
                <w:lang w:val="en-US" w:eastAsia="zh-CN"/>
              </w:rPr>
              <w:t>车辆交接周期</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2</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是否按既定的时间与各乡镇完成交接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0"/>
                <w:lang w:eastAsia="zh-CN"/>
              </w:rPr>
            </w:pPr>
          </w:p>
        </w:tc>
        <w:tc>
          <w:tcPr>
            <w:tcW w:w="426" w:type="pct"/>
            <w:tcBorders>
              <w:top w:val="single" w:color="000000" w:sz="4" w:space="0"/>
              <w:left w:val="single" w:color="000000" w:sz="4" w:space="0"/>
              <w:right w:val="single" w:color="000000" w:sz="4" w:space="0"/>
            </w:tcBorders>
            <w:vAlign w:val="center"/>
          </w:tcPr>
          <w:p>
            <w:pPr>
              <w:pStyle w:val="20"/>
              <w:spacing w:before="101" w:line="242" w:lineRule="auto"/>
              <w:ind w:left="210" w:right="191"/>
              <w:jc w:val="center"/>
              <w:rPr>
                <w:rFonts w:ascii="宋体" w:hAnsi="宋体" w:eastAsia="宋体"/>
                <w:sz w:val="21"/>
                <w:lang w:eastAsia="en-US"/>
              </w:rPr>
            </w:pPr>
            <w:r>
              <w:rPr>
                <w:rFonts w:hint="eastAsia" w:ascii="宋体" w:hAnsi="宋体" w:eastAsia="宋体"/>
                <w:sz w:val="21"/>
                <w:lang w:eastAsia="en-US"/>
              </w:rPr>
              <w:t>产出成本</w:t>
            </w:r>
          </w:p>
        </w:tc>
        <w:tc>
          <w:tcPr>
            <w:tcW w:w="341" w:type="pct"/>
            <w:tcBorders>
              <w:top w:val="single" w:color="000000" w:sz="4" w:space="0"/>
              <w:left w:val="single" w:color="000000" w:sz="4" w:space="0"/>
              <w:right w:val="single" w:color="000000" w:sz="4" w:space="0"/>
            </w:tcBorders>
            <w:vAlign w:val="center"/>
          </w:tcPr>
          <w:p>
            <w:pPr>
              <w:pStyle w:val="20"/>
              <w:ind w:left="171"/>
              <w:jc w:val="center"/>
              <w:rPr>
                <w:rFonts w:ascii="宋体" w:hAnsi="宋体" w:eastAsia="宋体"/>
                <w:sz w:val="21"/>
                <w:lang w:eastAsia="en-US"/>
              </w:rPr>
            </w:pPr>
            <w:r>
              <w:rPr>
                <w:rFonts w:hint="eastAsia" w:ascii="宋体" w:hAnsi="宋体" w:eastAsia="宋体"/>
                <w:sz w:val="21"/>
                <w:lang w:eastAsia="en-US"/>
              </w:rPr>
              <w:t>2</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成本控制</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2</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项目建设成本是否超预算。如未完工项目，则按当期是否存在工程量追加等情况进行预估计算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29" w:type="pct"/>
            <w:vMerge w:val="restart"/>
            <w:tcBorders>
              <w:left w:val="single" w:color="000000" w:sz="4" w:space="0"/>
              <w:right w:val="single" w:color="000000" w:sz="4" w:space="0"/>
            </w:tcBorders>
            <w:vAlign w:val="center"/>
          </w:tcPr>
          <w:p>
            <w:pPr>
              <w:pStyle w:val="20"/>
              <w:ind w:left="138"/>
              <w:jc w:val="center"/>
              <w:rPr>
                <w:rFonts w:ascii="宋体" w:hAnsi="宋体" w:eastAsia="宋体"/>
                <w:sz w:val="20"/>
                <w:lang w:eastAsia="en-US"/>
              </w:rPr>
            </w:pPr>
            <w:r>
              <w:rPr>
                <w:rFonts w:hint="eastAsia" w:ascii="宋体" w:hAnsi="宋体" w:eastAsia="宋体"/>
                <w:sz w:val="21"/>
                <w:lang w:eastAsia="en-US"/>
              </w:rPr>
              <w:t>效益</w:t>
            </w:r>
          </w:p>
        </w:tc>
        <w:tc>
          <w:tcPr>
            <w:tcW w:w="427" w:type="pct"/>
            <w:vMerge w:val="restart"/>
            <w:tcBorders>
              <w:left w:val="single" w:color="000000" w:sz="4" w:space="0"/>
              <w:right w:val="single" w:color="000000" w:sz="4" w:space="0"/>
            </w:tcBorders>
            <w:vAlign w:val="center"/>
          </w:tcPr>
          <w:p>
            <w:pPr>
              <w:pStyle w:val="20"/>
              <w:ind w:left="124"/>
              <w:jc w:val="center"/>
              <w:rPr>
                <w:rFonts w:ascii="宋体" w:hAnsi="宋体" w:eastAsia="宋体"/>
                <w:sz w:val="20"/>
                <w:lang w:eastAsia="en-US"/>
              </w:rPr>
            </w:pPr>
            <w:r>
              <w:rPr>
                <w:rFonts w:hint="eastAsia" w:ascii="宋体" w:hAnsi="宋体" w:eastAsia="宋体"/>
                <w:sz w:val="21"/>
                <w:lang w:eastAsia="en-US"/>
              </w:rPr>
              <w:t>25</w:t>
            </w:r>
          </w:p>
        </w:tc>
        <w:tc>
          <w:tcPr>
            <w:tcW w:w="426" w:type="pct"/>
            <w:vMerge w:val="restart"/>
            <w:tcBorders>
              <w:left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en-US"/>
              </w:rPr>
            </w:pPr>
            <w:r>
              <w:rPr>
                <w:rFonts w:hint="eastAsia" w:ascii="宋体" w:hAnsi="宋体" w:eastAsia="宋体"/>
                <w:sz w:val="21"/>
                <w:lang w:eastAsia="en-US"/>
              </w:rPr>
              <w:t>社会效益</w:t>
            </w:r>
          </w:p>
        </w:tc>
        <w:tc>
          <w:tcPr>
            <w:tcW w:w="341" w:type="pct"/>
            <w:vMerge w:val="restart"/>
            <w:tcBorders>
              <w:left w:val="single" w:color="000000" w:sz="4" w:space="0"/>
              <w:right w:val="single" w:color="000000" w:sz="4" w:space="0"/>
            </w:tcBorders>
            <w:vAlign w:val="center"/>
          </w:tcPr>
          <w:p>
            <w:pPr>
              <w:pStyle w:val="20"/>
              <w:spacing w:before="1"/>
              <w:ind w:left="3"/>
              <w:jc w:val="center"/>
              <w:rPr>
                <w:rFonts w:ascii="宋体" w:hAnsi="宋体" w:eastAsia="宋体"/>
                <w:sz w:val="21"/>
                <w:lang w:eastAsia="zh-CN"/>
              </w:rPr>
            </w:pPr>
            <w:r>
              <w:rPr>
                <w:rFonts w:hint="eastAsia" w:ascii="宋体" w:hAnsi="宋体" w:eastAsia="宋体"/>
                <w:sz w:val="21"/>
                <w:lang w:eastAsia="zh-CN"/>
              </w:rPr>
              <w:t>10</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农村户用厕所抽粪难、清运难问题改善情况</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2</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农村户用厕所抽粪难、清运难问题是否有所改善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429" w:type="pct"/>
            <w:vMerge w:val="continue"/>
            <w:tcBorders>
              <w:left w:val="single" w:color="000000" w:sz="4" w:space="0"/>
              <w:right w:val="single" w:color="000000" w:sz="4" w:space="0"/>
            </w:tcBorders>
            <w:vAlign w:val="center"/>
          </w:tcPr>
          <w:p>
            <w:pPr>
              <w:pStyle w:val="20"/>
              <w:ind w:left="138"/>
              <w:jc w:val="center"/>
              <w:rPr>
                <w:rFonts w:ascii="宋体" w:hAnsi="宋体" w:eastAsia="宋体"/>
                <w:sz w:val="21"/>
                <w:lang w:eastAsia="zh-CN"/>
              </w:rPr>
            </w:pPr>
          </w:p>
        </w:tc>
        <w:tc>
          <w:tcPr>
            <w:tcW w:w="427" w:type="pct"/>
            <w:vMerge w:val="continue"/>
            <w:tcBorders>
              <w:left w:val="single" w:color="000000" w:sz="4" w:space="0"/>
              <w:right w:val="single" w:color="000000" w:sz="4" w:space="0"/>
            </w:tcBorders>
            <w:vAlign w:val="center"/>
          </w:tcPr>
          <w:p>
            <w:pPr>
              <w:pStyle w:val="20"/>
              <w:ind w:left="124"/>
              <w:jc w:val="center"/>
              <w:rPr>
                <w:rFonts w:ascii="宋体" w:hAnsi="宋体" w:eastAsia="宋体"/>
                <w:sz w:val="21"/>
                <w:lang w:eastAsia="zh-CN"/>
              </w:rPr>
            </w:pPr>
          </w:p>
        </w:tc>
        <w:tc>
          <w:tcPr>
            <w:tcW w:w="426" w:type="pct"/>
            <w:vMerge w:val="continue"/>
            <w:tcBorders>
              <w:left w:val="single" w:color="000000" w:sz="4" w:space="0"/>
              <w:right w:val="single" w:color="000000" w:sz="4" w:space="0"/>
            </w:tcBorders>
            <w:vAlign w:val="center"/>
          </w:tcPr>
          <w:p>
            <w:pPr>
              <w:pStyle w:val="20"/>
              <w:spacing w:line="242" w:lineRule="auto"/>
              <w:ind w:left="210" w:right="191"/>
              <w:jc w:val="center"/>
              <w:rPr>
                <w:rFonts w:ascii="宋体" w:hAnsi="宋体" w:eastAsia="宋体"/>
                <w:sz w:val="21"/>
                <w:lang w:eastAsia="zh-CN"/>
              </w:rPr>
            </w:pPr>
          </w:p>
        </w:tc>
        <w:tc>
          <w:tcPr>
            <w:tcW w:w="341" w:type="pct"/>
            <w:vMerge w:val="continue"/>
            <w:tcBorders>
              <w:left w:val="single" w:color="000000" w:sz="4" w:space="0"/>
              <w:right w:val="single" w:color="000000" w:sz="4" w:space="0"/>
            </w:tcBorders>
            <w:vAlign w:val="center"/>
          </w:tcPr>
          <w:p>
            <w:pPr>
              <w:pStyle w:val="20"/>
              <w:spacing w:before="1"/>
              <w:ind w:left="3"/>
              <w:jc w:val="center"/>
              <w:rPr>
                <w:rFonts w:ascii="宋体" w:hAnsi="宋体" w:eastAsia="宋体"/>
                <w:sz w:val="21"/>
                <w:lang w:eastAsia="zh-CN"/>
              </w:rPr>
            </w:pPr>
          </w:p>
        </w:tc>
        <w:tc>
          <w:tcPr>
            <w:tcW w:w="852"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增加就业岗位</w:t>
            </w:r>
          </w:p>
        </w:tc>
        <w:tc>
          <w:tcPr>
            <w:tcW w:w="341"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4</w:t>
            </w:r>
          </w:p>
        </w:tc>
        <w:tc>
          <w:tcPr>
            <w:tcW w:w="218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项目实施增加就业岗位数量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restart"/>
            <w:tcBorders>
              <w:top w:val="single" w:color="000000" w:sz="4" w:space="0"/>
              <w:left w:val="single" w:color="000000" w:sz="4" w:space="0"/>
              <w:right w:val="single" w:color="000000" w:sz="4" w:space="0"/>
            </w:tcBorders>
            <w:vAlign w:val="center"/>
          </w:tcPr>
          <w:p>
            <w:pPr>
              <w:pStyle w:val="20"/>
              <w:spacing w:before="102"/>
              <w:ind w:left="210" w:right="191"/>
              <w:jc w:val="center"/>
              <w:rPr>
                <w:rFonts w:ascii="宋体" w:hAnsi="宋体" w:eastAsia="宋体"/>
                <w:sz w:val="21"/>
                <w:lang w:eastAsia="zh-CN"/>
              </w:rPr>
            </w:pPr>
            <w:r>
              <w:rPr>
                <w:rFonts w:hint="eastAsia" w:ascii="宋体" w:hAnsi="宋体" w:eastAsia="宋体"/>
                <w:sz w:val="21"/>
                <w:lang w:eastAsia="zh-CN"/>
              </w:rPr>
              <w:t>生态效益</w:t>
            </w:r>
          </w:p>
        </w:tc>
        <w:tc>
          <w:tcPr>
            <w:tcW w:w="341" w:type="pct"/>
            <w:vMerge w:val="restart"/>
            <w:tcBorders>
              <w:top w:val="single" w:color="000000" w:sz="4" w:space="0"/>
              <w:left w:val="single" w:color="000000" w:sz="4" w:space="0"/>
              <w:right w:val="single" w:color="000000" w:sz="4" w:space="0"/>
            </w:tcBorders>
            <w:vAlign w:val="center"/>
          </w:tcPr>
          <w:p>
            <w:pPr>
              <w:pStyle w:val="20"/>
              <w:jc w:val="center"/>
              <w:rPr>
                <w:rFonts w:ascii="宋体" w:hAnsi="宋体" w:eastAsia="宋体"/>
                <w:sz w:val="21"/>
                <w:lang w:eastAsia="zh-CN"/>
              </w:rPr>
            </w:pPr>
            <w:r>
              <w:rPr>
                <w:rFonts w:hint="eastAsia" w:ascii="宋体" w:hAnsi="宋体" w:eastAsia="宋体"/>
                <w:sz w:val="21"/>
                <w:lang w:eastAsia="zh-CN"/>
              </w:rPr>
              <w:t>9</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实现污粪无害化处理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3</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项目实施实现污粪无害化处理情况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vMerge w:val="continue"/>
            <w:tcBorders>
              <w:left w:val="single" w:color="000000" w:sz="4" w:space="0"/>
              <w:right w:val="single" w:color="000000" w:sz="4" w:space="0"/>
            </w:tcBorders>
            <w:vAlign w:val="center"/>
          </w:tcPr>
          <w:p>
            <w:pPr>
              <w:pStyle w:val="20"/>
              <w:spacing w:before="102"/>
              <w:ind w:left="210" w:right="191"/>
              <w:jc w:val="center"/>
              <w:rPr>
                <w:rFonts w:ascii="宋体" w:hAnsi="宋体" w:eastAsia="宋体"/>
                <w:sz w:val="21"/>
                <w:lang w:eastAsia="zh-CN"/>
              </w:rPr>
            </w:pPr>
          </w:p>
        </w:tc>
        <w:tc>
          <w:tcPr>
            <w:tcW w:w="341" w:type="pct"/>
            <w:vMerge w:val="continue"/>
            <w:tcBorders>
              <w:left w:val="single" w:color="000000" w:sz="4" w:space="0"/>
              <w:right w:val="single" w:color="000000" w:sz="4" w:space="0"/>
            </w:tcBorders>
            <w:vAlign w:val="center"/>
          </w:tcPr>
          <w:p>
            <w:pPr>
              <w:pStyle w:val="20"/>
              <w:spacing w:before="12"/>
              <w:jc w:val="center"/>
              <w:rPr>
                <w:rFonts w:ascii="宋体" w:hAnsi="宋体" w:eastAsia="宋体"/>
                <w:sz w:val="28"/>
                <w:lang w:eastAsia="zh-CN"/>
              </w:rPr>
            </w:pPr>
          </w:p>
        </w:tc>
        <w:tc>
          <w:tcPr>
            <w:tcW w:w="852"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提升资源回收利用率</w:t>
            </w:r>
          </w:p>
        </w:tc>
        <w:tc>
          <w:tcPr>
            <w:tcW w:w="341"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3</w:t>
            </w:r>
          </w:p>
        </w:tc>
        <w:tc>
          <w:tcPr>
            <w:tcW w:w="218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项目实施对提升资源回收利用率影响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429"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lang w:eastAsia="zh-CN"/>
              </w:rPr>
            </w:pPr>
          </w:p>
        </w:tc>
        <w:tc>
          <w:tcPr>
            <w:tcW w:w="427"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lang w:eastAsia="zh-CN"/>
              </w:rPr>
            </w:pPr>
          </w:p>
        </w:tc>
        <w:tc>
          <w:tcPr>
            <w:tcW w:w="426" w:type="pct"/>
            <w:vMerge w:val="continue"/>
            <w:tcBorders>
              <w:left w:val="single" w:color="000000" w:sz="4" w:space="0"/>
              <w:right w:val="single" w:color="000000" w:sz="4" w:space="0"/>
            </w:tcBorders>
            <w:vAlign w:val="center"/>
          </w:tcPr>
          <w:p>
            <w:pPr>
              <w:pStyle w:val="20"/>
              <w:spacing w:before="102"/>
              <w:ind w:left="210" w:right="191"/>
              <w:jc w:val="center"/>
              <w:rPr>
                <w:rFonts w:ascii="宋体" w:hAnsi="宋体" w:eastAsia="宋体"/>
                <w:sz w:val="21"/>
                <w:lang w:eastAsia="zh-CN"/>
              </w:rPr>
            </w:pPr>
          </w:p>
        </w:tc>
        <w:tc>
          <w:tcPr>
            <w:tcW w:w="341" w:type="pct"/>
            <w:vMerge w:val="continue"/>
            <w:tcBorders>
              <w:left w:val="single" w:color="000000" w:sz="4" w:space="0"/>
              <w:right w:val="single" w:color="000000" w:sz="4" w:space="0"/>
            </w:tcBorders>
            <w:vAlign w:val="center"/>
          </w:tcPr>
          <w:p>
            <w:pPr>
              <w:pStyle w:val="20"/>
              <w:spacing w:before="12"/>
              <w:jc w:val="center"/>
              <w:rPr>
                <w:rFonts w:ascii="宋体" w:hAnsi="宋体" w:eastAsia="宋体"/>
                <w:sz w:val="28"/>
                <w:lang w:eastAsia="zh-CN"/>
              </w:rPr>
            </w:pPr>
          </w:p>
        </w:tc>
        <w:tc>
          <w:tcPr>
            <w:tcW w:w="852"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农村环境提升程度</w:t>
            </w:r>
          </w:p>
        </w:tc>
        <w:tc>
          <w:tcPr>
            <w:tcW w:w="341" w:type="pct"/>
            <w:tcBorders>
              <w:top w:val="single" w:color="000000" w:sz="4" w:space="0"/>
              <w:left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3</w:t>
            </w:r>
          </w:p>
        </w:tc>
        <w:tc>
          <w:tcPr>
            <w:tcW w:w="2184" w:type="pct"/>
            <w:tcBorders>
              <w:top w:val="single" w:color="000000" w:sz="4" w:space="0"/>
              <w:left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项目实施对农村环境提升程度的影响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429"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7" w:type="pct"/>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sz w:val="21"/>
                <w:lang w:eastAsia="zh-CN"/>
              </w:rPr>
            </w:pPr>
          </w:p>
        </w:tc>
        <w:tc>
          <w:tcPr>
            <w:tcW w:w="426"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210" w:right="191"/>
              <w:jc w:val="center"/>
              <w:rPr>
                <w:rFonts w:ascii="宋体" w:hAnsi="宋体" w:eastAsia="宋体"/>
                <w:sz w:val="21"/>
                <w:lang w:eastAsia="en-US"/>
              </w:rPr>
            </w:pPr>
            <w:r>
              <w:rPr>
                <w:rFonts w:hint="eastAsia" w:ascii="宋体" w:hAnsi="宋体" w:eastAsia="宋体"/>
                <w:sz w:val="21"/>
                <w:lang w:eastAsia="en-US"/>
              </w:rPr>
              <w:t>满意度</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lang w:eastAsia="zh-CN"/>
              </w:rPr>
            </w:pPr>
            <w:r>
              <w:rPr>
                <w:rFonts w:hint="eastAsia" w:ascii="宋体" w:hAnsi="宋体" w:eastAsia="宋体"/>
                <w:sz w:val="21"/>
                <w:lang w:eastAsia="zh-CN"/>
              </w:rPr>
              <w:t>6</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公众满意度</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lang w:eastAsia="zh-CN"/>
              </w:rPr>
            </w:pPr>
            <w:r>
              <w:rPr>
                <w:rFonts w:hint="eastAsia" w:ascii="宋体" w:hAnsi="宋体" w:eastAsia="宋体"/>
                <w:sz w:val="21"/>
                <w:lang w:eastAsia="zh-CN"/>
              </w:rPr>
              <w:t>6</w:t>
            </w:r>
          </w:p>
        </w:tc>
        <w:tc>
          <w:tcPr>
            <w:tcW w:w="218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lang w:eastAsia="zh-CN"/>
              </w:rPr>
            </w:pPr>
            <w:r>
              <w:rPr>
                <w:rFonts w:hint="eastAsia" w:ascii="宋体" w:hAnsi="宋体" w:eastAsia="宋体"/>
                <w:sz w:val="21"/>
                <w:lang w:eastAsia="zh-CN"/>
              </w:rPr>
              <w:t>实施区域受益人群对改善环境质量满意度</w:t>
            </w:r>
          </w:p>
        </w:tc>
      </w:tr>
    </w:tbl>
    <w:p>
      <w:pPr>
        <w:pStyle w:val="3"/>
        <w:rPr>
          <w:rFonts w:asciiTheme="minorEastAsia" w:hAnsiTheme="minorEastAsia" w:eastAsiaTheme="minorEastAsia" w:cstheme="minorBidi"/>
          <w:kern w:val="44"/>
          <w:sz w:val="30"/>
          <w:szCs w:val="30"/>
        </w:rPr>
      </w:pPr>
      <w:bookmarkStart w:id="10" w:name="_Toc121748710"/>
      <w:r>
        <w:rPr>
          <w:rFonts w:hint="eastAsia" w:asciiTheme="minorEastAsia" w:hAnsiTheme="minorEastAsia" w:eastAsiaTheme="minorEastAsia" w:cstheme="minorBidi"/>
          <w:kern w:val="44"/>
          <w:sz w:val="30"/>
          <w:szCs w:val="30"/>
        </w:rPr>
        <w:t>（六）绩效评价标准及评价等级</w:t>
      </w:r>
      <w:bookmarkEnd w:id="10"/>
    </w:p>
    <w:p>
      <w:pPr>
        <w:spacing w:beforeLines="50" w:afterLines="50" w:line="360" w:lineRule="auto"/>
        <w:ind w:left="105" w:leftChars="50" w:right="105" w:rightChars="50" w:firstLine="600" w:firstLineChars="200"/>
        <w:rPr>
          <w:sz w:val="30"/>
          <w:szCs w:val="30"/>
        </w:rPr>
      </w:pPr>
      <w:r>
        <w:rPr>
          <w:rFonts w:hint="eastAsia"/>
          <w:sz w:val="30"/>
          <w:szCs w:val="30"/>
        </w:rPr>
        <w:t>本次绩效评价结果采取评分和评级相结合的方式，评分标准以计划标准和行业标准为主，同时依据实际情况参照其他相关标准。</w:t>
      </w:r>
    </w:p>
    <w:p>
      <w:pPr>
        <w:spacing w:beforeLines="50" w:afterLines="50" w:line="360" w:lineRule="auto"/>
        <w:ind w:left="105" w:leftChars="50" w:right="105" w:rightChars="50" w:firstLine="600" w:firstLineChars="200"/>
        <w:rPr>
          <w:sz w:val="30"/>
          <w:szCs w:val="30"/>
        </w:rPr>
      </w:pPr>
      <w:r>
        <w:rPr>
          <w:rFonts w:hint="eastAsia"/>
          <w:sz w:val="30"/>
          <w:szCs w:val="30"/>
        </w:rPr>
        <w:t>绩效评价采取定量和定性相结合的比较方法，总分由各项指标的得分汇总计算形成。总分为100分。绩效评价结果分为优、良、中、差4个等级，其中90(含)-100分为“优”、80(含)-90分为“良”、60(含)-80分为“中”、60分以下为“差”。</w:t>
      </w:r>
    </w:p>
    <w:p>
      <w:pPr>
        <w:pStyle w:val="2"/>
      </w:pPr>
      <w:bookmarkStart w:id="11" w:name="_Toc121748711"/>
      <w:r>
        <w:rPr>
          <w:rFonts w:hint="eastAsia"/>
        </w:rPr>
        <w:t>三、绩效评价分析</w:t>
      </w:r>
      <w:bookmarkEnd w:id="11"/>
    </w:p>
    <w:p>
      <w:pPr>
        <w:pStyle w:val="3"/>
        <w:rPr>
          <w:rFonts w:asciiTheme="minorEastAsia" w:hAnsiTheme="minorEastAsia"/>
          <w:sz w:val="30"/>
          <w:szCs w:val="30"/>
        </w:rPr>
      </w:pPr>
      <w:bookmarkStart w:id="12" w:name="_Toc121748712"/>
      <w:r>
        <w:rPr>
          <w:rFonts w:hint="eastAsia"/>
          <w:sz w:val="30"/>
          <w:szCs w:val="30"/>
        </w:rPr>
        <w:t>（一）</w:t>
      </w:r>
      <w:r>
        <w:rPr>
          <w:rFonts w:hint="eastAsia" w:asciiTheme="minorEastAsia" w:hAnsiTheme="minorEastAsia"/>
          <w:sz w:val="30"/>
          <w:szCs w:val="30"/>
        </w:rPr>
        <w:t>项目决策情况</w:t>
      </w:r>
      <w:bookmarkEnd w:id="12"/>
    </w:p>
    <w:p>
      <w:pPr>
        <w:spacing w:beforeLines="50" w:afterLines="50" w:line="360" w:lineRule="auto"/>
        <w:ind w:left="105" w:leftChars="50" w:right="105" w:rightChars="50" w:firstLine="600" w:firstLineChars="200"/>
        <w:rPr>
          <w:sz w:val="30"/>
          <w:szCs w:val="30"/>
        </w:rPr>
      </w:pPr>
      <w:r>
        <w:rPr>
          <w:rFonts w:hint="eastAsia"/>
          <w:sz w:val="30"/>
          <w:szCs w:val="30"/>
        </w:rPr>
        <w:t>本项目决策下设“项目立项”、“绩效目标”、“资金投入”三个二级指标，权重15分，综合得分14.2分。单项得分率为94.7%。各项三级指标得分情况见下表3.1：</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表3.1  农村户用无害化卫生厕所吸污车项目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绩效评价决策指标得分表</w:t>
      </w:r>
    </w:p>
    <w:tbl>
      <w:tblPr>
        <w:tblStyle w:val="21"/>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9"/>
        <w:gridCol w:w="424"/>
        <w:gridCol w:w="564"/>
        <w:gridCol w:w="423"/>
        <w:gridCol w:w="1143"/>
        <w:gridCol w:w="4069"/>
        <w:gridCol w:w="609"/>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3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43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256" w:type="pct"/>
            <w:vMerge w:val="restart"/>
            <w:tcBorders>
              <w:top w:val="single" w:color="000000" w:sz="4" w:space="0"/>
              <w:left w:val="single" w:color="000000" w:sz="4" w:space="0"/>
              <w:right w:val="single" w:color="000000" w:sz="4" w:space="0"/>
            </w:tcBorders>
            <w:vAlign w:val="center"/>
          </w:tcPr>
          <w:p>
            <w:pPr>
              <w:pStyle w:val="20"/>
              <w:ind w:left="138"/>
              <w:jc w:val="center"/>
              <w:rPr>
                <w:rFonts w:ascii="宋体" w:hAnsi="宋体" w:eastAsia="宋体"/>
                <w:sz w:val="21"/>
                <w:szCs w:val="21"/>
                <w:lang w:eastAsia="en-US"/>
              </w:rPr>
            </w:pPr>
            <w:r>
              <w:rPr>
                <w:rFonts w:hint="eastAsia" w:ascii="宋体" w:hAnsi="宋体" w:eastAsia="宋体"/>
                <w:sz w:val="21"/>
                <w:szCs w:val="21"/>
                <w:lang w:eastAsia="en-US"/>
              </w:rPr>
              <w:t>决策</w:t>
            </w:r>
          </w:p>
        </w:tc>
        <w:tc>
          <w:tcPr>
            <w:tcW w:w="253" w:type="pct"/>
            <w:vMerge w:val="restart"/>
            <w:tcBorders>
              <w:top w:val="single" w:color="000000" w:sz="4" w:space="0"/>
              <w:left w:val="single" w:color="000000" w:sz="4" w:space="0"/>
              <w:right w:val="single" w:color="000000" w:sz="4" w:space="0"/>
            </w:tcBorders>
            <w:vAlign w:val="center"/>
          </w:tcPr>
          <w:p>
            <w:pPr>
              <w:pStyle w:val="20"/>
              <w:ind w:left="124"/>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337" w:type="pct"/>
            <w:vMerge w:val="restart"/>
            <w:tcBorders>
              <w:top w:val="single" w:color="000000" w:sz="4" w:space="0"/>
              <w:left w:val="single" w:color="000000" w:sz="4" w:space="0"/>
              <w:right w:val="single" w:color="000000" w:sz="4" w:space="0"/>
            </w:tcBorders>
            <w:vAlign w:val="center"/>
          </w:tcPr>
          <w:p>
            <w:pPr>
              <w:pStyle w:val="20"/>
              <w:spacing w:before="97"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项目立项</w:t>
            </w:r>
          </w:p>
        </w:tc>
        <w:tc>
          <w:tcPr>
            <w:tcW w:w="253" w:type="pct"/>
            <w:vMerge w:val="restart"/>
            <w:tcBorders>
              <w:top w:val="single" w:color="000000" w:sz="4" w:space="0"/>
              <w:left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5</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立项依据充分性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1、立项合法合规(1分)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2、项目立项与部门职责范围相</w:t>
            </w:r>
            <w:r>
              <w:rPr>
                <w:rFonts w:hint="eastAsia" w:ascii="宋体" w:hAnsi="宋体" w:eastAsia="宋体"/>
                <w:sz w:val="21"/>
                <w:szCs w:val="21"/>
                <w:lang w:eastAsia="zh-CN"/>
              </w:rPr>
              <w:t>符</w:t>
            </w:r>
            <w:r>
              <w:rPr>
                <w:rFonts w:ascii="宋体" w:hAnsi="宋体" w:eastAsia="宋体"/>
                <w:sz w:val="21"/>
                <w:szCs w:val="21"/>
                <w:lang w:eastAsia="zh-CN"/>
              </w:rPr>
              <w:t>(0.5分)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3、项目属于公共财政支持范围(0.5分)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2</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256" w:type="pct"/>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253" w:type="pct"/>
            <w:vMerge w:val="continue"/>
            <w:tcBorders>
              <w:left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337"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253" w:type="pct"/>
            <w:vMerge w:val="continue"/>
            <w:tcBorders>
              <w:left w:val="single" w:color="000000" w:sz="4" w:space="0"/>
              <w:bottom w:val="single" w:color="000000" w:sz="4" w:space="0"/>
              <w:right w:val="single" w:color="000000" w:sz="4" w:space="0"/>
            </w:tcBorders>
            <w:vAlign w:val="center"/>
          </w:tcPr>
          <w:p>
            <w:pPr>
              <w:pStyle w:val="20"/>
              <w:jc w:val="center"/>
              <w:rPr>
                <w:rFonts w:ascii="宋体" w:hAnsi="宋体" w:eastAsia="宋体"/>
                <w:sz w:val="21"/>
                <w:szCs w:val="21"/>
                <w:lang w:eastAsia="en-US"/>
              </w:rPr>
            </w:pP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立项程序规范性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1、项目按规定程序申请设立(1分)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2、审批文件、材料符合要求范性(1分)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3、事前经过评估、集体决策(1分)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绩效目标</w:t>
            </w:r>
          </w:p>
        </w:tc>
        <w:tc>
          <w:tcPr>
            <w:tcW w:w="253"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6</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绩效目标合理性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1、项目有绩效目标(0.5分)</w:t>
            </w:r>
          </w:p>
          <w:p>
            <w:pPr>
              <w:pStyle w:val="20"/>
              <w:spacing w:before="102"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2、绩效目标与工作内容相关(0.5分)</w:t>
            </w:r>
          </w:p>
          <w:p>
            <w:pPr>
              <w:pStyle w:val="20"/>
              <w:spacing w:before="102" w:line="242" w:lineRule="auto"/>
              <w:ind w:right="118" w:firstLine="105" w:firstLineChars="50"/>
              <w:jc w:val="both"/>
              <w:rPr>
                <w:rFonts w:ascii="宋体" w:hAnsi="宋体" w:eastAsia="宋体"/>
                <w:sz w:val="21"/>
                <w:szCs w:val="21"/>
                <w:lang w:eastAsia="zh-CN"/>
              </w:rPr>
            </w:pPr>
            <w:r>
              <w:rPr>
                <w:rFonts w:ascii="宋体" w:hAnsi="宋体" w:eastAsia="宋体"/>
                <w:sz w:val="21"/>
                <w:szCs w:val="21"/>
                <w:lang w:eastAsia="zh-CN"/>
              </w:rPr>
              <w:t>3、预期产出和效果符合正常水平(2分)。若项目无绩效标，该指标不得分。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7" w:right="118"/>
              <w:jc w:val="center"/>
              <w:rPr>
                <w:rFonts w:ascii="宋体" w:hAnsi="宋体" w:eastAsia="宋体"/>
                <w:sz w:val="21"/>
                <w:szCs w:val="21"/>
                <w:lang w:eastAsia="zh-CN"/>
              </w:rPr>
            </w:pPr>
            <w:r>
              <w:rPr>
                <w:rFonts w:hint="eastAsia" w:ascii="宋体" w:hAnsi="宋体" w:eastAsia="宋体"/>
                <w:sz w:val="21"/>
                <w:szCs w:val="21"/>
                <w:lang w:eastAsia="zh-C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firstLine="105" w:firstLineChars="50"/>
              <w:jc w:val="center"/>
              <w:rPr>
                <w:rFonts w:ascii="宋体" w:hAnsi="宋体" w:eastAsia="宋体"/>
                <w:sz w:val="21"/>
                <w:szCs w:val="21"/>
                <w:lang w:eastAsia="en-US"/>
              </w:rPr>
            </w:pPr>
            <w:r>
              <w:rPr>
                <w:rFonts w:hint="eastAsia" w:ascii="宋体" w:hAnsi="宋体" w:eastAsia="宋体"/>
                <w:sz w:val="21"/>
                <w:szCs w:val="21"/>
                <w:lang w:eastAsia="en-US"/>
              </w:rPr>
              <w:t>绩效指标明确性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1、绩效目标细化(1分)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2、指标值清晰可衡量(1分)</w:t>
            </w:r>
          </w:p>
          <w:p>
            <w:pPr>
              <w:pStyle w:val="20"/>
              <w:spacing w:before="97" w:line="242" w:lineRule="auto"/>
              <w:ind w:left="233" w:right="118" w:hanging="106"/>
              <w:jc w:val="both"/>
              <w:rPr>
                <w:rFonts w:ascii="宋体" w:hAnsi="宋体" w:eastAsia="宋体"/>
                <w:sz w:val="21"/>
                <w:szCs w:val="21"/>
                <w:lang w:eastAsia="zh-CN"/>
              </w:rPr>
            </w:pPr>
            <w:r>
              <w:rPr>
                <w:rFonts w:ascii="宋体" w:hAnsi="宋体" w:eastAsia="宋体"/>
                <w:sz w:val="21"/>
                <w:szCs w:val="21"/>
                <w:lang w:eastAsia="zh-CN"/>
              </w:rPr>
              <w:t>3、指标与计划数相对应(1分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zh-CN"/>
              </w:rPr>
            </w:pPr>
            <w:r>
              <w:rPr>
                <w:rFonts w:hint="eastAsia" w:ascii="宋体" w:hAnsi="宋体" w:eastAsia="宋体"/>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资金投入</w:t>
            </w:r>
          </w:p>
        </w:tc>
        <w:tc>
          <w:tcPr>
            <w:tcW w:w="253"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3"/>
              <w:jc w:val="center"/>
              <w:rPr>
                <w:rFonts w:ascii="宋体" w:hAnsi="宋体" w:eastAsia="宋体"/>
                <w:sz w:val="21"/>
                <w:szCs w:val="21"/>
                <w:lang w:eastAsia="en-US"/>
              </w:rPr>
            </w:pPr>
            <w:r>
              <w:rPr>
                <w:rFonts w:hint="eastAsia" w:ascii="宋体" w:hAnsi="宋体" w:eastAsia="宋体"/>
                <w:sz w:val="21"/>
                <w:szCs w:val="21"/>
                <w:lang w:eastAsia="en-US"/>
              </w:rPr>
              <w:t>4</w:t>
            </w: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233" w:right="118" w:hanging="106"/>
              <w:jc w:val="center"/>
              <w:rPr>
                <w:rFonts w:ascii="宋体" w:hAnsi="宋体" w:eastAsia="宋体"/>
                <w:sz w:val="21"/>
                <w:szCs w:val="21"/>
                <w:lang w:eastAsia="en-US"/>
              </w:rPr>
            </w:pPr>
            <w:r>
              <w:rPr>
                <w:rFonts w:hint="eastAsia" w:ascii="宋体" w:hAnsi="宋体" w:eastAsia="宋体"/>
                <w:sz w:val="21"/>
                <w:szCs w:val="21"/>
                <w:lang w:eastAsia="en-US"/>
              </w:rPr>
              <w:t>预算编制科学性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102"/>
              <w:ind w:left="127" w:right="118"/>
              <w:jc w:val="both"/>
              <w:rPr>
                <w:rFonts w:ascii="宋体" w:hAnsi="宋体" w:eastAsia="宋体"/>
                <w:sz w:val="21"/>
                <w:szCs w:val="21"/>
                <w:lang w:eastAsia="zh-CN"/>
              </w:rPr>
            </w:pPr>
            <w:r>
              <w:rPr>
                <w:rFonts w:ascii="宋体" w:hAnsi="宋体" w:eastAsia="宋体"/>
                <w:sz w:val="21"/>
                <w:szCs w:val="21"/>
                <w:lang w:eastAsia="zh-CN"/>
              </w:rPr>
              <w:t>1、预算编制是否经过科学论证;(1分)</w:t>
            </w:r>
          </w:p>
          <w:p>
            <w:pPr>
              <w:pStyle w:val="20"/>
              <w:spacing w:before="102"/>
              <w:ind w:left="127" w:right="118"/>
              <w:jc w:val="both"/>
              <w:rPr>
                <w:rFonts w:ascii="宋体" w:hAnsi="宋体" w:eastAsia="宋体"/>
                <w:sz w:val="21"/>
                <w:szCs w:val="21"/>
                <w:lang w:eastAsia="zh-CN"/>
              </w:rPr>
            </w:pPr>
            <w:r>
              <w:rPr>
                <w:rFonts w:ascii="宋体" w:hAnsi="宋体" w:eastAsia="宋体"/>
                <w:sz w:val="21"/>
                <w:szCs w:val="21"/>
                <w:lang w:eastAsia="zh-CN"/>
              </w:rPr>
              <w:t>2、预算内容与项目内容是否匹</w:t>
            </w:r>
            <w:r>
              <w:rPr>
                <w:rFonts w:hint="eastAsia" w:ascii="宋体" w:hAnsi="宋体" w:eastAsia="宋体"/>
                <w:sz w:val="21"/>
                <w:szCs w:val="21"/>
                <w:lang w:eastAsia="zh-CN"/>
              </w:rPr>
              <w:t>配</w:t>
            </w:r>
            <w:r>
              <w:rPr>
                <w:rFonts w:ascii="宋体" w:hAnsi="宋体" w:eastAsia="宋体"/>
                <w:sz w:val="21"/>
                <w:szCs w:val="21"/>
                <w:lang w:eastAsia="zh-CN"/>
              </w:rPr>
              <w:t>;(0.5分)</w:t>
            </w:r>
          </w:p>
          <w:p>
            <w:pPr>
              <w:pStyle w:val="20"/>
              <w:spacing w:before="102"/>
              <w:ind w:left="127" w:right="118"/>
              <w:jc w:val="both"/>
              <w:rPr>
                <w:rFonts w:ascii="宋体" w:hAnsi="宋体" w:eastAsia="宋体"/>
                <w:sz w:val="21"/>
                <w:szCs w:val="21"/>
                <w:lang w:eastAsia="en-US"/>
              </w:rPr>
            </w:pPr>
            <w:r>
              <w:rPr>
                <w:rFonts w:ascii="宋体" w:hAnsi="宋体" w:eastAsia="宋体"/>
                <w:sz w:val="21"/>
                <w:szCs w:val="21"/>
                <w:lang w:eastAsia="zh-CN"/>
              </w:rPr>
              <w:t>3、预算额度测算依据是否充分。</w:t>
            </w:r>
            <w:r>
              <w:rPr>
                <w:rFonts w:ascii="宋体" w:hAnsi="宋体" w:eastAsia="宋体"/>
                <w:sz w:val="21"/>
                <w:szCs w:val="21"/>
                <w:lang w:eastAsia="en-US"/>
              </w:rPr>
              <w:t>(0.5分)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7" w:right="118"/>
              <w:jc w:val="center"/>
              <w:rPr>
                <w:rFonts w:ascii="宋体" w:hAnsi="宋体" w:eastAsia="宋体"/>
                <w:sz w:val="21"/>
                <w:szCs w:val="21"/>
                <w:lang w:eastAsia="zh-CN"/>
              </w:rPr>
            </w:pPr>
            <w:r>
              <w:rPr>
                <w:rFonts w:hint="eastAsia" w:ascii="宋体" w:hAnsi="宋体" w:eastAsia="宋体"/>
                <w:sz w:val="21"/>
                <w:szCs w:val="21"/>
                <w:lang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256"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left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683"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资金分配合理性</w:t>
            </w:r>
          </w:p>
        </w:tc>
        <w:tc>
          <w:tcPr>
            <w:tcW w:w="2430" w:type="pct"/>
            <w:tcBorders>
              <w:top w:val="single" w:color="000000" w:sz="4" w:space="0"/>
              <w:left w:val="single" w:color="000000" w:sz="4" w:space="0"/>
              <w:bottom w:val="single" w:color="000000" w:sz="4" w:space="0"/>
              <w:right w:val="single" w:color="000000" w:sz="4" w:space="0"/>
            </w:tcBorders>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1、预算资金分配依据是否充分</w:t>
            </w:r>
            <w:r>
              <w:rPr>
                <w:rFonts w:ascii="宋体" w:hAnsi="宋体" w:eastAsia="宋体"/>
                <w:sz w:val="21"/>
                <w:szCs w:val="21"/>
                <w:lang w:eastAsia="zh-CN"/>
              </w:rPr>
              <w:t>;(1分)</w:t>
            </w:r>
          </w:p>
          <w:p>
            <w:pPr>
              <w:pStyle w:val="20"/>
              <w:spacing w:before="101"/>
              <w:ind w:left="127" w:right="118"/>
              <w:jc w:val="both"/>
              <w:rPr>
                <w:rFonts w:ascii="宋体" w:hAnsi="宋体" w:eastAsia="宋体"/>
                <w:sz w:val="21"/>
                <w:szCs w:val="21"/>
                <w:lang w:eastAsia="en-US"/>
              </w:rPr>
            </w:pPr>
            <w:r>
              <w:rPr>
                <w:rFonts w:ascii="宋体" w:hAnsi="宋体" w:eastAsia="宋体"/>
                <w:sz w:val="21"/>
                <w:szCs w:val="21"/>
                <w:lang w:eastAsia="zh-CN"/>
              </w:rPr>
              <w:t>2、资金分配额度是否合理。</w:t>
            </w:r>
            <w:r>
              <w:rPr>
                <w:rFonts w:ascii="宋体" w:hAnsi="宋体" w:eastAsia="宋体"/>
                <w:sz w:val="21"/>
                <w:szCs w:val="21"/>
                <w:lang w:eastAsia="en-US"/>
              </w:rPr>
              <w:t>(1分)</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213" w:type="pct"/>
            <w:gridSpan w:val="6"/>
            <w:tcBorders>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64"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23"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14.2</w:t>
            </w:r>
          </w:p>
        </w:tc>
      </w:tr>
    </w:tbl>
    <w:p>
      <w:pPr>
        <w:spacing w:beforeLines="50" w:afterLines="50" w:line="360" w:lineRule="auto"/>
        <w:ind w:left="105" w:leftChars="50" w:right="105" w:rightChars="50" w:firstLine="600" w:firstLineChars="200"/>
        <w:rPr>
          <w:sz w:val="30"/>
          <w:szCs w:val="30"/>
        </w:rPr>
      </w:pPr>
      <w:r>
        <w:rPr>
          <w:rFonts w:hint="eastAsia"/>
          <w:sz w:val="30"/>
          <w:szCs w:val="30"/>
        </w:rPr>
        <w:t>决策指标部分</w:t>
      </w:r>
      <w:r>
        <w:rPr>
          <w:rFonts w:hint="eastAsia"/>
          <w:b/>
          <w:sz w:val="30"/>
          <w:szCs w:val="30"/>
        </w:rPr>
        <w:t>主要得分点</w:t>
      </w:r>
      <w:r>
        <w:rPr>
          <w:rFonts w:hint="eastAsia"/>
          <w:sz w:val="30"/>
          <w:szCs w:val="30"/>
        </w:rPr>
        <w:t>：根据三财预【2019】1010号文件，三门峡市拨付陕州区农村户厕改造奖补资金共460万元，本项目于2020年3月10日申请开展采购项目评审和公开招标工作，经改善农村人居环境领导小组研究，同意利用上级资金采购一批吸污车，项目立项依据充分、规范，资金分配合理。</w:t>
      </w:r>
    </w:p>
    <w:p>
      <w:pPr>
        <w:spacing w:beforeLines="50" w:afterLines="50" w:line="360" w:lineRule="auto"/>
        <w:ind w:left="105" w:leftChars="50" w:right="105" w:rightChars="50" w:firstLine="600" w:firstLineChars="200"/>
        <w:rPr>
          <w:sz w:val="30"/>
          <w:szCs w:val="30"/>
        </w:rPr>
      </w:pPr>
      <w:r>
        <w:rPr>
          <w:rFonts w:hint="eastAsia"/>
          <w:sz w:val="30"/>
          <w:szCs w:val="30"/>
        </w:rPr>
        <w:t>项目内容主要包括采购吸污车162辆，通过吸污车采购解决13个乡镇户用无害化卫生厕所抽粪难、清运难的问题，从而提高村镇人居环境，绩效目标明确，清晰可衡量。</w:t>
      </w:r>
    </w:p>
    <w:p>
      <w:pPr>
        <w:pStyle w:val="3"/>
        <w:rPr>
          <w:rFonts w:asciiTheme="minorEastAsia" w:hAnsiTheme="minorEastAsia"/>
          <w:sz w:val="30"/>
          <w:szCs w:val="30"/>
        </w:rPr>
      </w:pPr>
      <w:bookmarkStart w:id="13" w:name="_Toc121748713"/>
      <w:r>
        <w:rPr>
          <w:rFonts w:hint="eastAsia"/>
          <w:sz w:val="30"/>
          <w:szCs w:val="30"/>
        </w:rPr>
        <w:t>（二）</w:t>
      </w:r>
      <w:r>
        <w:rPr>
          <w:rFonts w:hint="eastAsia" w:asciiTheme="minorEastAsia" w:hAnsiTheme="minorEastAsia"/>
          <w:sz w:val="30"/>
          <w:szCs w:val="30"/>
        </w:rPr>
        <w:t>项目过程情况</w:t>
      </w:r>
      <w:bookmarkEnd w:id="13"/>
    </w:p>
    <w:p>
      <w:pPr>
        <w:spacing w:beforeLines="50" w:afterLines="50" w:line="360" w:lineRule="auto"/>
        <w:ind w:left="105" w:leftChars="50" w:right="105" w:rightChars="50" w:firstLine="600" w:firstLineChars="200"/>
        <w:rPr>
          <w:sz w:val="30"/>
          <w:szCs w:val="30"/>
        </w:rPr>
      </w:pPr>
      <w:r>
        <w:rPr>
          <w:rFonts w:hint="eastAsia"/>
          <w:sz w:val="30"/>
          <w:szCs w:val="30"/>
        </w:rPr>
        <w:t>本项目过程下设“资金管理”、“组织实施”两个二级指标，权重25分，综合得分</w:t>
      </w:r>
      <w:r>
        <w:rPr>
          <w:rFonts w:hint="eastAsia"/>
          <w:sz w:val="30"/>
          <w:szCs w:val="30"/>
          <w:lang w:val="en-US" w:eastAsia="zh-CN"/>
        </w:rPr>
        <w:t>23</w:t>
      </w:r>
      <w:r>
        <w:rPr>
          <w:rFonts w:hint="eastAsia"/>
          <w:sz w:val="30"/>
          <w:szCs w:val="30"/>
        </w:rPr>
        <w:t>分。单项得分率为</w:t>
      </w:r>
      <w:r>
        <w:rPr>
          <w:rFonts w:hint="eastAsia"/>
          <w:sz w:val="30"/>
          <w:szCs w:val="30"/>
          <w:lang w:val="en-US" w:eastAsia="zh-CN"/>
        </w:rPr>
        <w:t>92</w:t>
      </w:r>
      <w:r>
        <w:rPr>
          <w:rFonts w:hint="eastAsia"/>
          <w:sz w:val="30"/>
          <w:szCs w:val="30"/>
        </w:rPr>
        <w:t>%。各项三级指标得分情况见下表：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表4  农村户用无害化卫生厕所吸污车项目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绩效评价过程指标得分表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426"/>
        <w:gridCol w:w="564"/>
        <w:gridCol w:w="422"/>
        <w:gridCol w:w="719"/>
        <w:gridCol w:w="4394"/>
        <w:gridCol w:w="567"/>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38" w:right="123"/>
              <w:jc w:val="center"/>
              <w:rPr>
                <w:rFonts w:ascii="宋体" w:hAnsi="宋体" w:eastAsia="宋体"/>
                <w:b/>
                <w:sz w:val="21"/>
                <w:szCs w:val="21"/>
                <w:lang w:eastAsia="en-US"/>
              </w:rPr>
            </w:pPr>
            <w:r>
              <w:rPr>
                <w:rFonts w:hint="eastAsia" w:ascii="宋体" w:hAnsi="宋体" w:eastAsia="宋体"/>
                <w:b/>
                <w:sz w:val="21"/>
                <w:szCs w:val="21"/>
                <w:lang w:eastAsia="en-US"/>
              </w:rPr>
              <w:t>一级指标</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205" w:right="195"/>
              <w:jc w:val="center"/>
              <w:rPr>
                <w:rFonts w:ascii="宋体" w:hAnsi="宋体" w:eastAsia="宋体"/>
                <w:b/>
                <w:sz w:val="21"/>
                <w:szCs w:val="21"/>
                <w:lang w:eastAsia="en-US"/>
              </w:rPr>
            </w:pPr>
            <w:r>
              <w:rPr>
                <w:rFonts w:hint="eastAsia" w:ascii="宋体" w:hAnsi="宋体" w:eastAsia="宋体"/>
                <w:b/>
                <w:sz w:val="21"/>
                <w:szCs w:val="21"/>
                <w:lang w:eastAsia="en-US"/>
              </w:rPr>
              <w:t>二级指标</w:t>
            </w:r>
          </w:p>
        </w:tc>
        <w:tc>
          <w:tcPr>
            <w:tcW w:w="254"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宋体" w:hAnsi="宋体" w:eastAsia="宋体"/>
                <w:b/>
                <w:sz w:val="21"/>
                <w:szCs w:val="21"/>
                <w:lang w:eastAsia="en-US"/>
              </w:rPr>
            </w:pPr>
            <w:r>
              <w:rPr>
                <w:rFonts w:hint="eastAsia" w:ascii="宋体" w:hAnsi="宋体" w:eastAsia="宋体"/>
                <w:b/>
                <w:sz w:val="21"/>
                <w:szCs w:val="21"/>
                <w:lang w:eastAsia="en-US"/>
              </w:rPr>
              <w:t>三级指标</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sz w:val="21"/>
                <w:szCs w:val="21"/>
                <w:lang w:eastAsia="en-US"/>
              </w:rPr>
            </w:pPr>
            <w:r>
              <w:rPr>
                <w:rFonts w:hint="eastAsia" w:ascii="宋体" w:hAnsi="宋体" w:eastAsia="宋体"/>
                <w:b/>
                <w:sz w:val="21"/>
                <w:szCs w:val="21"/>
                <w:lang w:eastAsia="en-US"/>
              </w:rPr>
              <w:t>评价标准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宋体" w:hAnsi="宋体" w:eastAsia="宋体"/>
                <w:b/>
                <w:sz w:val="21"/>
                <w:szCs w:val="21"/>
                <w:lang w:eastAsia="en-US"/>
              </w:rPr>
            </w:pPr>
            <w:r>
              <w:rPr>
                <w:rFonts w:hint="eastAsia" w:ascii="宋体" w:hAnsi="宋体" w:eastAsia="宋体"/>
                <w:b/>
                <w:sz w:val="21"/>
                <w:szCs w:val="21"/>
                <w:lang w:eastAsia="en-US"/>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38"/>
              <w:jc w:val="center"/>
              <w:rPr>
                <w:rFonts w:ascii="宋体" w:hAnsi="宋体" w:eastAsia="宋体"/>
                <w:sz w:val="21"/>
                <w:szCs w:val="21"/>
                <w:lang w:eastAsia="en-US"/>
              </w:rPr>
            </w:pPr>
            <w:r>
              <w:rPr>
                <w:rFonts w:hint="eastAsia" w:ascii="宋体" w:hAnsi="宋体" w:eastAsia="宋体"/>
                <w:sz w:val="21"/>
                <w:szCs w:val="21"/>
                <w:lang w:eastAsia="en-US"/>
              </w:rPr>
              <w:t>过程</w:t>
            </w:r>
          </w:p>
        </w:tc>
        <w:tc>
          <w:tcPr>
            <w:tcW w:w="256"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24"/>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资金管理</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szCs w:val="21"/>
                <w:lang w:eastAsia="en-US"/>
              </w:rPr>
            </w:pPr>
            <w:r>
              <w:rPr>
                <w:rFonts w:hint="eastAsia" w:ascii="宋体" w:hAnsi="宋体" w:eastAsia="宋体"/>
                <w:sz w:val="21"/>
                <w:szCs w:val="21"/>
                <w:lang w:eastAsia="en-US"/>
              </w:rPr>
              <w:t>15</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ind w:left="101" w:right="99"/>
              <w:jc w:val="center"/>
              <w:rPr>
                <w:rFonts w:ascii="宋体" w:hAnsi="宋体" w:eastAsia="宋体"/>
                <w:sz w:val="21"/>
                <w:szCs w:val="21"/>
                <w:lang w:eastAsia="en-US"/>
              </w:rPr>
            </w:pPr>
            <w:r>
              <w:rPr>
                <w:rFonts w:hint="eastAsia" w:ascii="宋体" w:hAnsi="宋体" w:eastAsia="宋体"/>
                <w:sz w:val="21"/>
                <w:szCs w:val="21"/>
                <w:lang w:eastAsia="en-US"/>
              </w:rPr>
              <w:t>资金到位率</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到位率≤</w:t>
            </w:r>
            <w:r>
              <w:rPr>
                <w:rFonts w:ascii="宋体" w:hAnsi="宋体" w:eastAsia="宋体"/>
                <w:sz w:val="21"/>
                <w:szCs w:val="21"/>
                <w:lang w:eastAsia="zh-CN"/>
              </w:rPr>
              <w:t>100％，且未对项目开展造成不良影响，得分等于本指标权重分值×到位率;到位率＜100％，且对项目开展造成不良影</w:t>
            </w:r>
            <w:r>
              <w:rPr>
                <w:rFonts w:hint="eastAsia" w:ascii="宋体" w:hAnsi="宋体" w:eastAsia="宋体"/>
                <w:sz w:val="21"/>
                <w:szCs w:val="21"/>
                <w:lang w:eastAsia="zh-CN"/>
              </w:rPr>
              <w:t>响，除按照指标分值到位率计算外，还应酌情扣分。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3</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5"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
              <w:ind w:left="101" w:right="99"/>
              <w:jc w:val="center"/>
              <w:rPr>
                <w:rFonts w:ascii="宋体" w:hAnsi="宋体" w:eastAsia="宋体"/>
                <w:sz w:val="21"/>
                <w:szCs w:val="21"/>
                <w:lang w:eastAsia="en-US"/>
              </w:rPr>
            </w:pPr>
            <w:r>
              <w:rPr>
                <w:rFonts w:hint="eastAsia" w:ascii="宋体" w:hAnsi="宋体" w:eastAsia="宋体"/>
                <w:sz w:val="21"/>
                <w:szCs w:val="21"/>
                <w:lang w:eastAsia="en-US"/>
              </w:rPr>
              <w:t>预算执行率</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hint="eastAsia" w:ascii="宋体" w:hAnsi="宋体" w:eastAsia="宋体"/>
                <w:sz w:val="21"/>
                <w:szCs w:val="21"/>
                <w:lang w:eastAsia="zh-CN"/>
              </w:rPr>
              <w:t>执行率</w:t>
            </w:r>
            <w:r>
              <w:rPr>
                <w:rFonts w:ascii="宋体" w:hAnsi="宋体" w:eastAsia="宋体"/>
                <w:sz w:val="21"/>
                <w:szCs w:val="21"/>
                <w:lang w:eastAsia="zh-CN"/>
              </w:rPr>
              <w:t>100％，且未对项目开展造成不良影响，得分等于本指标权重分值到位率;执行率</w:t>
            </w:r>
            <w:r>
              <w:rPr>
                <w:rFonts w:hint="eastAsia" w:ascii="宋体" w:hAnsi="宋体" w:eastAsia="宋体"/>
                <w:sz w:val="21"/>
                <w:szCs w:val="21"/>
                <w:lang w:eastAsia="zh-CN"/>
              </w:rPr>
              <w:t>＜</w:t>
            </w:r>
            <w:r>
              <w:rPr>
                <w:rFonts w:ascii="宋体" w:hAnsi="宋体" w:eastAsia="宋体"/>
                <w:sz w:val="21"/>
                <w:szCs w:val="21"/>
                <w:lang w:eastAsia="zh-CN"/>
              </w:rPr>
              <w:t>100％，且对项目开展造成不良影响，除按照指标分值执行率计算外，还应酌情扣分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资金使用合规性</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1、是否符合国家财经法规和财</w:t>
            </w:r>
            <w:r>
              <w:rPr>
                <w:rFonts w:hint="eastAsia" w:ascii="宋体" w:hAnsi="宋体" w:eastAsia="宋体"/>
                <w:sz w:val="21"/>
                <w:szCs w:val="21"/>
                <w:lang w:eastAsia="zh-CN"/>
              </w:rPr>
              <w:t>务管理制度以及有关专项资金管理办法的规定</w:t>
            </w:r>
            <w:r>
              <w:rPr>
                <w:rFonts w:ascii="宋体" w:hAnsi="宋体" w:eastAsia="宋体"/>
                <w:sz w:val="21"/>
                <w:szCs w:val="21"/>
                <w:lang w:eastAsia="zh-CN"/>
              </w:rPr>
              <w:t>(1分)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2、资金的拨付是否有完整的审批程序和手续(1分)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3、是否符合项目预算批复或合同规定的用途(2分)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4、是否存在截留、挤占、挪用、虚列支出等情况(2分)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6</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21"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210" w:right="191"/>
              <w:jc w:val="center"/>
              <w:rPr>
                <w:rFonts w:ascii="宋体" w:hAnsi="宋体" w:eastAsia="宋体"/>
                <w:sz w:val="21"/>
                <w:szCs w:val="21"/>
                <w:lang w:eastAsia="en-US"/>
              </w:rPr>
            </w:pPr>
            <w:r>
              <w:rPr>
                <w:rFonts w:hint="eastAsia" w:ascii="宋体" w:hAnsi="宋体" w:eastAsia="宋体"/>
                <w:sz w:val="21"/>
                <w:szCs w:val="21"/>
                <w:lang w:eastAsia="en-US"/>
              </w:rPr>
              <w:t>组织实施</w:t>
            </w:r>
          </w:p>
        </w:tc>
        <w:tc>
          <w:tcPr>
            <w:tcW w:w="254" w:type="pct"/>
            <w:vMerge w:val="restart"/>
            <w:tcBorders>
              <w:top w:val="single" w:color="000000" w:sz="4" w:space="0"/>
              <w:left w:val="single" w:color="000000" w:sz="4" w:space="0"/>
              <w:bottom w:val="single" w:color="000000" w:sz="4" w:space="0"/>
              <w:right w:val="single" w:color="000000" w:sz="4" w:space="0"/>
            </w:tcBorders>
            <w:vAlign w:val="center"/>
          </w:tcPr>
          <w:p>
            <w:pPr>
              <w:pStyle w:val="20"/>
              <w:ind w:left="118"/>
              <w:jc w:val="center"/>
              <w:rPr>
                <w:rFonts w:ascii="宋体" w:hAnsi="宋体" w:eastAsia="宋体"/>
                <w:sz w:val="21"/>
                <w:szCs w:val="21"/>
                <w:lang w:eastAsia="en-US"/>
              </w:rPr>
            </w:pPr>
            <w:r>
              <w:rPr>
                <w:rFonts w:hint="eastAsia" w:ascii="宋体" w:hAnsi="宋体" w:eastAsia="宋体"/>
                <w:sz w:val="21"/>
                <w:szCs w:val="21"/>
                <w:lang w:eastAsia="en-US"/>
              </w:rPr>
              <w:t>10</w:t>
            </w: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管理制度健全性</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1、是否已制定或具有相应的财务和业务管理制度(2分)</w:t>
            </w:r>
          </w:p>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2、财务和业务管理制度是否合法、合规、完整(3分)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left="127" w:right="118"/>
              <w:jc w:val="center"/>
              <w:rPr>
                <w:rFonts w:ascii="宋体" w:hAnsi="宋体" w:eastAsia="宋体"/>
                <w:sz w:val="21"/>
                <w:szCs w:val="21"/>
                <w:lang w:eastAsia="zh-CN"/>
              </w:rPr>
            </w:pPr>
            <w:r>
              <w:rPr>
                <w:rFonts w:hint="eastAsia" w:ascii="宋体" w:hAnsi="宋体" w:eastAsia="宋体"/>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9" w:hRule="atLeast"/>
        </w:trPr>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33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254"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宋体" w:eastAsia="宋体"/>
                <w:kern w:val="0"/>
                <w:szCs w:val="21"/>
                <w:lang w:eastAsia="en-US"/>
              </w:rPr>
            </w:pPr>
          </w:p>
        </w:tc>
        <w:tc>
          <w:tcPr>
            <w:tcW w:w="43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制度执行有效性</w:t>
            </w:r>
          </w:p>
        </w:tc>
        <w:tc>
          <w:tcPr>
            <w:tcW w:w="264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1、是否遵守相关法律法规和相关管理规定(1分)</w:t>
            </w:r>
          </w:p>
          <w:p>
            <w:pPr>
              <w:pStyle w:val="20"/>
              <w:spacing w:before="97" w:line="242" w:lineRule="auto"/>
              <w:ind w:left="127" w:right="118"/>
              <w:jc w:val="both"/>
              <w:rPr>
                <w:rFonts w:ascii="宋体" w:hAnsi="宋体" w:eastAsia="宋体"/>
                <w:sz w:val="21"/>
                <w:szCs w:val="21"/>
                <w:lang w:eastAsia="zh-CN"/>
              </w:rPr>
            </w:pPr>
            <w:r>
              <w:rPr>
                <w:rFonts w:ascii="宋体" w:hAnsi="宋体" w:eastAsia="宋体"/>
                <w:sz w:val="21"/>
                <w:szCs w:val="21"/>
                <w:lang w:eastAsia="zh-CN"/>
              </w:rPr>
              <w:t>2、项目调整及支出调整手续是否完备(2分)</w:t>
            </w:r>
          </w:p>
          <w:p>
            <w:pPr>
              <w:pStyle w:val="20"/>
              <w:spacing w:before="101"/>
              <w:ind w:left="127" w:right="118"/>
              <w:jc w:val="both"/>
              <w:rPr>
                <w:rFonts w:ascii="宋体" w:hAnsi="宋体" w:eastAsia="宋体"/>
                <w:sz w:val="21"/>
                <w:szCs w:val="21"/>
                <w:lang w:eastAsia="zh-CN"/>
              </w:rPr>
            </w:pPr>
            <w:r>
              <w:rPr>
                <w:rFonts w:ascii="宋体" w:hAnsi="宋体" w:eastAsia="宋体"/>
                <w:sz w:val="21"/>
                <w:szCs w:val="21"/>
                <w:lang w:eastAsia="zh-CN"/>
              </w:rPr>
              <w:t>3、项目合同书、检查记录等资料</w:t>
            </w:r>
            <w:r>
              <w:rPr>
                <w:rFonts w:hint="eastAsia" w:ascii="宋体" w:hAnsi="宋体" w:eastAsia="宋体"/>
                <w:sz w:val="21"/>
                <w:szCs w:val="21"/>
                <w:lang w:eastAsia="zh-CN"/>
              </w:rPr>
              <w:t>是否齐全并及时归档（2分）</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zh-CN"/>
              </w:rPr>
            </w:pPr>
            <w:r>
              <w:rPr>
                <w:rFonts w:hint="eastAsia" w:ascii="宋体" w:hAnsi="宋体" w:eastAsia="宋体"/>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3" w:hRule="atLeast"/>
        </w:trPr>
        <w:tc>
          <w:tcPr>
            <w:tcW w:w="4179" w:type="pct"/>
            <w:gridSpan w:val="6"/>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合   计</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宋体" w:hAnsi="宋体" w:eastAsia="宋体"/>
                <w:sz w:val="21"/>
                <w:szCs w:val="21"/>
                <w:lang w:eastAsia="en-US"/>
              </w:rPr>
            </w:pPr>
            <w:r>
              <w:rPr>
                <w:rFonts w:hint="eastAsia" w:ascii="宋体" w:hAnsi="宋体" w:eastAsia="宋体"/>
                <w:sz w:val="21"/>
                <w:szCs w:val="21"/>
                <w:lang w:eastAsia="en-US"/>
              </w:rPr>
              <w:t>25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23</w:t>
            </w:r>
          </w:p>
        </w:tc>
      </w:tr>
    </w:tbl>
    <w:p>
      <w:pPr>
        <w:spacing w:beforeLines="50" w:afterLines="50" w:line="360" w:lineRule="auto"/>
        <w:ind w:left="105" w:leftChars="50" w:right="105" w:rightChars="50" w:firstLine="600" w:firstLineChars="200"/>
        <w:rPr>
          <w:sz w:val="30"/>
          <w:szCs w:val="30"/>
        </w:rPr>
      </w:pPr>
      <w:r>
        <w:rPr>
          <w:rFonts w:hint="eastAsia"/>
          <w:sz w:val="30"/>
          <w:szCs w:val="30"/>
        </w:rPr>
        <w:t>过程指标部分</w:t>
      </w:r>
      <w:r>
        <w:rPr>
          <w:rFonts w:hint="eastAsia"/>
          <w:b/>
          <w:sz w:val="30"/>
          <w:szCs w:val="30"/>
        </w:rPr>
        <w:t>主要得分点</w:t>
      </w:r>
      <w:r>
        <w:rPr>
          <w:rFonts w:hint="eastAsia"/>
          <w:sz w:val="30"/>
          <w:szCs w:val="30"/>
        </w:rPr>
        <w:t>：根据《关于下达2019年财政农村户用厕所改造第二批奖补资金的通知》（三财预【2019】1010号）文件批示，陕州区共拨付460万元用于农村户厕改造，执行资金459.968万元，其中向第一标段成交供应商许昌金海机车制造有限公司共支付款项143.948万元，向第二标段成交供应商山东帝宏专用汽车制造有限公司共支付款项158.46万元，向第三标段成交供应商山东五征集团有限公司共支付款项157.56万元。项目采购资金分五批完成拨付：</w:t>
      </w:r>
    </w:p>
    <w:p>
      <w:pPr>
        <w:spacing w:beforeLines="50" w:afterLines="50" w:line="360" w:lineRule="auto"/>
        <w:ind w:left="105" w:leftChars="50" w:right="105" w:rightChars="50" w:firstLine="600" w:firstLineChars="200"/>
        <w:rPr>
          <w:sz w:val="30"/>
          <w:szCs w:val="30"/>
        </w:rPr>
      </w:pPr>
      <w:r>
        <w:rPr>
          <w:rFonts w:hint="eastAsia"/>
          <w:sz w:val="30"/>
          <w:szCs w:val="30"/>
        </w:rPr>
        <w:t>三陕财预【2020】1538号文件下达资金100万元，全部用于支付第二标段成交供应商山东帝宏专用汽车制造有限公司；</w:t>
      </w:r>
    </w:p>
    <w:p>
      <w:pPr>
        <w:spacing w:beforeLines="50" w:afterLines="50" w:line="360" w:lineRule="auto"/>
        <w:ind w:left="105" w:leftChars="50" w:right="105" w:rightChars="50" w:firstLine="600" w:firstLineChars="200"/>
        <w:rPr>
          <w:sz w:val="30"/>
          <w:szCs w:val="30"/>
        </w:rPr>
      </w:pPr>
      <w:r>
        <w:rPr>
          <w:rFonts w:hint="eastAsia"/>
          <w:sz w:val="30"/>
          <w:szCs w:val="30"/>
        </w:rPr>
        <w:t>三陕财预【2021】385号文件下达资金200万元，分别支付第一标段成交供应商许昌金海机车制造有限公司100万元，第三标段成交供应商山东五征集团有限公司100万元；</w:t>
      </w:r>
    </w:p>
    <w:p>
      <w:pPr>
        <w:spacing w:beforeLines="50" w:afterLines="50" w:line="360" w:lineRule="auto"/>
        <w:ind w:left="105" w:leftChars="50" w:right="105" w:rightChars="50" w:firstLine="600" w:firstLineChars="200"/>
        <w:rPr>
          <w:sz w:val="30"/>
          <w:szCs w:val="30"/>
        </w:rPr>
      </w:pPr>
      <w:r>
        <w:rPr>
          <w:rFonts w:hint="eastAsia"/>
          <w:sz w:val="30"/>
          <w:szCs w:val="30"/>
        </w:rPr>
        <w:t>三陕财预【2021】714号文件下达资金40万元，全部用于支付第二标段成交供应商山东帝宏专用汽车制造有限公司；</w:t>
      </w:r>
    </w:p>
    <w:p>
      <w:pPr>
        <w:spacing w:beforeLines="50" w:afterLines="50" w:line="360" w:lineRule="auto"/>
        <w:ind w:left="105" w:leftChars="50" w:right="105" w:rightChars="50" w:firstLine="600" w:firstLineChars="200"/>
        <w:rPr>
          <w:sz w:val="30"/>
          <w:szCs w:val="30"/>
        </w:rPr>
      </w:pPr>
      <w:r>
        <w:rPr>
          <w:rFonts w:hint="eastAsia"/>
          <w:sz w:val="30"/>
          <w:szCs w:val="30"/>
        </w:rPr>
        <w:t>三陕财预【2021】936号文件下达资金50万元，全部用于支付第三标段成交供应商山东五征集团有限公司；</w:t>
      </w:r>
    </w:p>
    <w:p>
      <w:pPr>
        <w:spacing w:beforeLines="50" w:afterLines="50" w:line="360" w:lineRule="auto"/>
        <w:ind w:left="105" w:leftChars="50" w:right="105" w:rightChars="50" w:firstLine="600" w:firstLineChars="200"/>
        <w:rPr>
          <w:sz w:val="30"/>
          <w:szCs w:val="30"/>
        </w:rPr>
      </w:pPr>
      <w:r>
        <w:rPr>
          <w:rFonts w:hint="eastAsia"/>
          <w:sz w:val="30"/>
          <w:szCs w:val="30"/>
        </w:rPr>
        <w:t>三陕财预【2021】1355号文件下达资金69.968万元，分别支付第一标段成交供应商许昌金海机车制造有限公司43.948万元，第二标段成交供应商山东帝宏专用汽车制造有限公司18.46万元，第三标段成交供应商山东五征集团有限公司7.56万元；</w:t>
      </w:r>
    </w:p>
    <w:p>
      <w:pPr>
        <w:spacing w:beforeLines="50" w:afterLines="50" w:line="360" w:lineRule="auto"/>
        <w:ind w:left="105" w:leftChars="50" w:right="105" w:rightChars="50" w:firstLine="600" w:firstLineChars="200"/>
        <w:rPr>
          <w:sz w:val="30"/>
          <w:szCs w:val="30"/>
        </w:rPr>
      </w:pPr>
      <w:r>
        <w:rPr>
          <w:rFonts w:hint="eastAsia"/>
          <w:sz w:val="30"/>
          <w:szCs w:val="30"/>
        </w:rPr>
        <w:t>资金到位率100%，资金执行率100%，执行金额与成交结果一致，具备完善的财务管理制度，且资金使用程序合规，严格按照财务制度执行。</w:t>
      </w:r>
    </w:p>
    <w:p>
      <w:pPr>
        <w:pStyle w:val="3"/>
        <w:rPr>
          <w:rFonts w:asciiTheme="minorEastAsia" w:hAnsiTheme="minorEastAsia"/>
          <w:sz w:val="30"/>
          <w:szCs w:val="30"/>
        </w:rPr>
      </w:pPr>
      <w:bookmarkStart w:id="14" w:name="_Toc121748714"/>
      <w:r>
        <w:rPr>
          <w:rFonts w:hint="eastAsia"/>
          <w:sz w:val="30"/>
          <w:szCs w:val="30"/>
        </w:rPr>
        <w:t>（三）</w:t>
      </w:r>
      <w:r>
        <w:rPr>
          <w:rFonts w:hint="eastAsia" w:asciiTheme="minorEastAsia" w:hAnsiTheme="minorEastAsia"/>
          <w:sz w:val="30"/>
          <w:szCs w:val="30"/>
        </w:rPr>
        <w:t>项目产出情况</w:t>
      </w:r>
      <w:bookmarkEnd w:id="14"/>
    </w:p>
    <w:p>
      <w:pPr>
        <w:spacing w:beforeLines="50" w:afterLines="50" w:line="360" w:lineRule="auto"/>
        <w:ind w:left="105" w:leftChars="50" w:right="105" w:rightChars="50" w:firstLine="600" w:firstLineChars="200"/>
        <w:rPr>
          <w:sz w:val="30"/>
          <w:szCs w:val="30"/>
        </w:rPr>
      </w:pPr>
      <w:r>
        <w:rPr>
          <w:rFonts w:hint="eastAsia"/>
          <w:sz w:val="30"/>
          <w:szCs w:val="30"/>
        </w:rPr>
        <w:t>本项目产出下设“产出数量”、“产出质量”、“产出时效”、“产出成本”四个二级指标，权重35分，综合得分35分。单项得分率为100%。各项三级指标得分情况见下表：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表5  农村户用无害化卫生厕所吸污车项目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绩效评价产出指标得分表</w:t>
      </w:r>
    </w:p>
    <w:tbl>
      <w:tblPr>
        <w:tblStyle w:val="21"/>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
        <w:gridCol w:w="407"/>
        <w:gridCol w:w="480"/>
        <w:gridCol w:w="567"/>
        <w:gridCol w:w="1416"/>
        <w:gridCol w:w="3830"/>
        <w:gridCol w:w="567"/>
        <w:gridCol w:w="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320"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287"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18" w:right="113"/>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sz w:val="18"/>
                <w:lang w:eastAsia="en-US"/>
              </w:rPr>
            </w:pPr>
            <w:r>
              <w:rPr>
                <w:rFonts w:hint="eastAsia" w:asciiTheme="minorEastAsia" w:hAnsiTheme="minorEastAsia" w:eastAsiaTheme="minorEastAsia"/>
                <w:b/>
                <w:sz w:val="21"/>
                <w:lang w:eastAsia="en-US"/>
              </w:rPr>
              <w:t>评价标准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both"/>
              <w:rPr>
                <w:rFonts w:asciiTheme="minorEastAsia" w:hAnsiTheme="minorEastAsia" w:eastAsiaTheme="minorEastAsia"/>
                <w:b/>
                <w:sz w:val="21"/>
                <w:lang w:eastAsia="en-US"/>
              </w:rPr>
            </w:pPr>
            <w:r>
              <w:rPr>
                <w:rFonts w:hint="eastAsia" w:asciiTheme="minorEastAsia" w:hAnsiTheme="minorEastAsia" w:eastAsiaTheme="minorEastAsia"/>
                <w:b/>
                <w:sz w:val="21"/>
                <w:lang w:eastAsia="zh-CN"/>
              </w:rPr>
              <w:t>分值</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ind w:left="121" w:right="11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 w:hRule="atLeast"/>
        </w:trPr>
        <w:tc>
          <w:tcPr>
            <w:tcW w:w="320" w:type="pct"/>
            <w:vMerge w:val="restart"/>
            <w:tcBorders>
              <w:top w:val="single" w:color="000000" w:sz="4" w:space="0"/>
              <w:left w:val="single" w:color="000000" w:sz="4" w:space="0"/>
              <w:right w:val="single" w:color="000000" w:sz="4" w:space="0"/>
            </w:tcBorders>
            <w:vAlign w:val="center"/>
          </w:tcPr>
          <w:p>
            <w:pPr>
              <w:pStyle w:val="20"/>
              <w:ind w:left="138"/>
              <w:jc w:val="center"/>
              <w:rPr>
                <w:rFonts w:asciiTheme="minorEastAsia" w:hAnsiTheme="minorEastAsia" w:eastAsiaTheme="minorEastAsia"/>
                <w:sz w:val="21"/>
                <w:lang w:eastAsia="zh-CN"/>
              </w:rPr>
            </w:pPr>
          </w:p>
          <w:p>
            <w:pPr>
              <w:pStyle w:val="20"/>
              <w:ind w:left="13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w:t>
            </w:r>
          </w:p>
        </w:tc>
        <w:tc>
          <w:tcPr>
            <w:tcW w:w="243" w:type="pct"/>
            <w:vMerge w:val="restart"/>
            <w:tcBorders>
              <w:top w:val="single" w:color="000000" w:sz="4" w:space="0"/>
              <w:left w:val="single" w:color="000000" w:sz="4" w:space="0"/>
              <w:right w:val="single" w:color="000000" w:sz="4" w:space="0"/>
            </w:tcBorders>
            <w:vAlign w:val="center"/>
          </w:tcPr>
          <w:p>
            <w:pPr>
              <w:pStyle w:val="20"/>
              <w:ind w:left="124"/>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35</w:t>
            </w:r>
          </w:p>
        </w:tc>
        <w:tc>
          <w:tcPr>
            <w:tcW w:w="287" w:type="pct"/>
            <w:vMerge w:val="restart"/>
            <w:tcBorders>
              <w:top w:val="single" w:color="000000" w:sz="4" w:space="0"/>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产出数量</w:t>
            </w:r>
          </w:p>
        </w:tc>
        <w:tc>
          <w:tcPr>
            <w:tcW w:w="339" w:type="pct"/>
            <w:vMerge w:val="restart"/>
            <w:tcBorders>
              <w:top w:val="single" w:color="000000" w:sz="4" w:space="0"/>
              <w:left w:val="single" w:color="000000" w:sz="4" w:space="0"/>
              <w:right w:val="single" w:color="000000" w:sz="4" w:space="0"/>
            </w:tcBorders>
            <w:vAlign w:val="center"/>
          </w:tcPr>
          <w:p>
            <w:pPr>
              <w:pStyle w:val="20"/>
              <w:spacing w:before="102"/>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18</w:t>
            </w: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采购吸污车数量</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spacing w:before="102"/>
              <w:ind w:left="124" w:right="10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项目计划采购吸污车162辆，达到该数量本项得满分，未达到酌情减分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2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43"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87" w:type="pct"/>
            <w:vMerge w:val="continue"/>
            <w:tcBorders>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zh-CN"/>
              </w:rPr>
            </w:pPr>
          </w:p>
        </w:tc>
        <w:tc>
          <w:tcPr>
            <w:tcW w:w="339" w:type="pct"/>
            <w:vMerge w:val="continue"/>
            <w:tcBorders>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zh-CN"/>
              </w:rPr>
            </w:pP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项目实施覆盖乡镇数量</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吸污车计划投入13个乡镇，达到该目标本项得满分，未达到酌情减分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trPr>
        <w:tc>
          <w:tcPr>
            <w:tcW w:w="32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43"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87" w:type="pct"/>
            <w:tcBorders>
              <w:top w:val="single" w:color="000000" w:sz="4" w:space="0"/>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产出质量</w:t>
            </w:r>
          </w:p>
        </w:tc>
        <w:tc>
          <w:tcPr>
            <w:tcW w:w="339" w:type="pct"/>
            <w:tcBorders>
              <w:top w:val="single" w:color="000000" w:sz="4" w:space="0"/>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9</w:t>
            </w: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吸污车验收合格率</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吸污车验收合格率达到100%该项得满分，反之酌情减分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1" w:hRule="atLeast"/>
        </w:trPr>
        <w:tc>
          <w:tcPr>
            <w:tcW w:w="32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43"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87" w:type="pct"/>
            <w:vMerge w:val="restart"/>
            <w:tcBorders>
              <w:top w:val="single" w:color="000000" w:sz="4" w:space="0"/>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产出时效</w:t>
            </w:r>
          </w:p>
        </w:tc>
        <w:tc>
          <w:tcPr>
            <w:tcW w:w="339" w:type="pct"/>
            <w:vMerge w:val="restart"/>
            <w:tcBorders>
              <w:top w:val="single" w:color="000000" w:sz="4" w:space="0"/>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6</w:t>
            </w: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采购计划周期</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按计划时间完成采购工作该项得满分，延期一个月扣一分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32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43"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87"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39"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车辆交接周期</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按计划时间完成吸污车交接工作该项得满分，延期一个月扣一分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8" w:hRule="atLeast"/>
        </w:trPr>
        <w:tc>
          <w:tcPr>
            <w:tcW w:w="32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43"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87" w:type="pct"/>
            <w:tcBorders>
              <w:left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产 出 成 本</w:t>
            </w:r>
          </w:p>
        </w:tc>
        <w:tc>
          <w:tcPr>
            <w:tcW w:w="339" w:type="pct"/>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w:t>
            </w: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成本控制</w:t>
            </w:r>
          </w:p>
        </w:tc>
        <w:tc>
          <w:tcPr>
            <w:tcW w:w="228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采购成本≤申报数据该项得满分，反之该项不得分</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atLeast"/>
        </w:trPr>
        <w:tc>
          <w:tcPr>
            <w:tcW w:w="4323" w:type="pct"/>
            <w:gridSpan w:val="6"/>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339"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35</w:t>
            </w:r>
          </w:p>
        </w:tc>
        <w:tc>
          <w:tcPr>
            <w:tcW w:w="338"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35</w:t>
            </w:r>
          </w:p>
        </w:tc>
      </w:tr>
    </w:tbl>
    <w:p>
      <w:pPr>
        <w:spacing w:beforeLines="50" w:afterLines="50" w:line="360" w:lineRule="auto"/>
        <w:ind w:left="105" w:leftChars="50" w:right="105" w:rightChars="50" w:firstLine="600" w:firstLineChars="200"/>
        <w:jc w:val="center"/>
        <w:rPr>
          <w:sz w:val="30"/>
          <w:szCs w:val="30"/>
        </w:rPr>
      </w:pPr>
    </w:p>
    <w:p>
      <w:pPr>
        <w:spacing w:beforeLines="50" w:afterLines="50" w:line="360" w:lineRule="auto"/>
        <w:ind w:left="105" w:leftChars="50" w:right="105" w:rightChars="50" w:firstLine="600" w:firstLineChars="200"/>
        <w:rPr>
          <w:sz w:val="30"/>
          <w:szCs w:val="30"/>
        </w:rPr>
      </w:pPr>
      <w:r>
        <w:rPr>
          <w:rFonts w:hint="eastAsia"/>
          <w:sz w:val="30"/>
          <w:szCs w:val="30"/>
        </w:rPr>
        <w:t>产出指标部分</w:t>
      </w:r>
      <w:r>
        <w:rPr>
          <w:rFonts w:hint="eastAsia"/>
          <w:b/>
          <w:sz w:val="30"/>
          <w:szCs w:val="30"/>
        </w:rPr>
        <w:t>主要得分点</w:t>
      </w:r>
      <w:r>
        <w:rPr>
          <w:rFonts w:hint="eastAsia"/>
          <w:sz w:val="30"/>
          <w:szCs w:val="30"/>
        </w:rPr>
        <w:t>：本项目共采购吸污车162辆，其中1.5立方量吸污车53台，2.0立方量吸污车57台，2.5立方量吸污车52台，分别移交大营镇、原店镇、张湾乡、张汴乡、西张村镇、菜园乡、张茅乡、王家后乡、硖石乡、观音堂镇、西李村乡、宫前乡、店子乡13个乡镇管理使用，符合既定的吸污车采购数量和乡镇投入数量。本项目严格按照采购计划进行招标，采购资料完善，且能够按照成交合同的约定时间完成车辆交接、车辆验收，验收资料完善。在既定的成本预算和时间计划内完成采购与移交工作。</w:t>
      </w:r>
    </w:p>
    <w:p>
      <w:pPr>
        <w:pStyle w:val="3"/>
        <w:rPr>
          <w:rFonts w:asciiTheme="minorEastAsia" w:hAnsiTheme="minorEastAsia"/>
          <w:sz w:val="30"/>
          <w:szCs w:val="30"/>
        </w:rPr>
      </w:pPr>
      <w:bookmarkStart w:id="15" w:name="_Toc121748715"/>
      <w:r>
        <w:rPr>
          <w:rFonts w:hint="eastAsia"/>
          <w:sz w:val="30"/>
          <w:szCs w:val="30"/>
        </w:rPr>
        <w:t>（四）</w:t>
      </w:r>
      <w:r>
        <w:rPr>
          <w:rFonts w:hint="eastAsia" w:asciiTheme="minorEastAsia" w:hAnsiTheme="minorEastAsia"/>
          <w:sz w:val="30"/>
          <w:szCs w:val="30"/>
        </w:rPr>
        <w:t>项目效益情况</w:t>
      </w:r>
      <w:bookmarkEnd w:id="15"/>
    </w:p>
    <w:p>
      <w:pPr>
        <w:spacing w:beforeLines="50" w:afterLines="50" w:line="360" w:lineRule="auto"/>
        <w:ind w:left="105" w:leftChars="50" w:right="105" w:rightChars="50" w:firstLine="600" w:firstLineChars="200"/>
        <w:rPr>
          <w:sz w:val="30"/>
          <w:szCs w:val="30"/>
        </w:rPr>
      </w:pPr>
      <w:r>
        <w:rPr>
          <w:rFonts w:hint="eastAsia"/>
          <w:sz w:val="30"/>
          <w:szCs w:val="30"/>
        </w:rPr>
        <w:t>本项目效益下设“社会效益”、“生态效益”、“满意度”三个二级指标，权重25分，综合得分18.6分。单项得分率为74.4%。各项三级指标得分情况见下表：</w:t>
      </w:r>
    </w:p>
    <w:p>
      <w:pPr>
        <w:spacing w:beforeLines="50" w:afterLines="50" w:line="360" w:lineRule="auto"/>
        <w:ind w:left="105" w:leftChars="50" w:right="105" w:rightChars="50" w:firstLine="600" w:firstLineChars="200"/>
        <w:jc w:val="center"/>
        <w:rPr>
          <w:sz w:val="30"/>
          <w:szCs w:val="30"/>
        </w:rPr>
      </w:pPr>
      <w:r>
        <w:rPr>
          <w:rFonts w:hint="eastAsia"/>
          <w:sz w:val="30"/>
          <w:szCs w:val="30"/>
        </w:rPr>
        <w:t>表6  农村户用无害化卫生厕所吸污车项目</w:t>
      </w:r>
    </w:p>
    <w:p>
      <w:pPr>
        <w:spacing w:beforeLines="50" w:afterLines="50" w:line="360" w:lineRule="auto"/>
        <w:ind w:left="105" w:leftChars="50" w:right="105" w:rightChars="50" w:firstLine="600" w:firstLineChars="200"/>
        <w:jc w:val="center"/>
        <w:rPr>
          <w:sz w:val="30"/>
          <w:szCs w:val="30"/>
        </w:rPr>
      </w:pPr>
      <w:r>
        <w:rPr>
          <w:rFonts w:hint="eastAsia"/>
          <w:sz w:val="30"/>
          <w:szCs w:val="30"/>
        </w:rPr>
        <w:t>绩效评价效益指标得分表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7"/>
        <w:gridCol w:w="482"/>
        <w:gridCol w:w="567"/>
        <w:gridCol w:w="567"/>
        <w:gridCol w:w="1417"/>
        <w:gridCol w:w="426"/>
        <w:gridCol w:w="2977"/>
        <w:gridCol w:w="565"/>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310"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一级指标</w:t>
            </w:r>
          </w:p>
        </w:tc>
        <w:tc>
          <w:tcPr>
            <w:tcW w:w="290"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二级指标</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三级指标</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1790" w:type="pct"/>
            <w:tcBorders>
              <w:top w:val="single" w:color="000000" w:sz="4" w:space="0"/>
              <w:left w:val="single" w:color="000000" w:sz="4" w:space="0"/>
              <w:bottom w:val="single" w:color="000000" w:sz="4" w:space="0"/>
              <w:right w:val="single" w:color="000000" w:sz="4" w:space="0"/>
            </w:tcBorders>
            <w:vAlign w:val="center"/>
          </w:tcPr>
          <w:p>
            <w:pPr>
              <w:pStyle w:val="20"/>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评价标准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ind w:left="124" w:right="108"/>
              <w:jc w:val="center"/>
              <w:rPr>
                <w:rFonts w:asciiTheme="minorEastAsia" w:hAnsiTheme="minorEastAsia" w:eastAsiaTheme="minorEastAsia"/>
                <w:b/>
                <w:sz w:val="21"/>
                <w:lang w:eastAsia="en-US"/>
              </w:rPr>
            </w:pPr>
            <w:r>
              <w:rPr>
                <w:rFonts w:hint="eastAsia" w:asciiTheme="minorEastAsia" w:hAnsiTheme="minorEastAsia" w:eastAsiaTheme="minorEastAsia"/>
                <w:b/>
                <w:sz w:val="21"/>
                <w:lang w:eastAsia="en-US"/>
              </w:rPr>
              <w:t>分值</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ind w:left="124" w:right="108"/>
              <w:jc w:val="center"/>
              <w:rPr>
                <w:rFonts w:asciiTheme="minorEastAsia" w:hAnsiTheme="minorEastAsia" w:eastAsiaTheme="minorEastAsia"/>
                <w:b/>
                <w:sz w:val="21"/>
                <w:lang w:eastAsia="zh-CN"/>
              </w:rPr>
            </w:pPr>
            <w:r>
              <w:rPr>
                <w:rFonts w:hint="eastAsia" w:asciiTheme="minorEastAsia" w:hAnsiTheme="minorEastAsia" w:eastAsiaTheme="minorEastAsia"/>
                <w:b/>
                <w:sz w:val="21"/>
                <w:lang w:eastAsia="zh-CN"/>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310" w:type="pct"/>
            <w:vMerge w:val="restart"/>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效益</w:t>
            </w:r>
          </w:p>
        </w:tc>
        <w:tc>
          <w:tcPr>
            <w:tcW w:w="290" w:type="pct"/>
            <w:vMerge w:val="restart"/>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25</w:t>
            </w:r>
          </w:p>
        </w:tc>
        <w:tc>
          <w:tcPr>
            <w:tcW w:w="341" w:type="pct"/>
            <w:tcBorders>
              <w:left w:val="single" w:color="000000" w:sz="4" w:space="0"/>
              <w:right w:val="single" w:color="000000" w:sz="4" w:space="0"/>
            </w:tcBorders>
            <w:vAlign w:val="center"/>
          </w:tcPr>
          <w:p>
            <w:pPr>
              <w:pStyle w:val="20"/>
              <w:spacing w:before="101" w:line="242" w:lineRule="auto"/>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社会效益</w:t>
            </w:r>
          </w:p>
        </w:tc>
        <w:tc>
          <w:tcPr>
            <w:tcW w:w="341" w:type="pct"/>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8</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农村户用厕所抽粪难、清运难问题改善情况</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5</w:t>
            </w:r>
          </w:p>
        </w:tc>
        <w:tc>
          <w:tcPr>
            <w:tcW w:w="179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27" w:right="118" w:firstLine="105"/>
              <w:jc w:val="both"/>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农村户用厕所抽粪难、清运难问题改善情况显著该项得满分，反之酌情减分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line="242" w:lineRule="auto"/>
              <w:ind w:left="127" w:right="118" w:firstLine="105"/>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31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9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41" w:type="pct"/>
            <w:vMerge w:val="restart"/>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生态效益</w:t>
            </w:r>
          </w:p>
        </w:tc>
        <w:tc>
          <w:tcPr>
            <w:tcW w:w="341" w:type="pct"/>
            <w:vMerge w:val="restart"/>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12</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实现污粪无害化处理</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179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项目实施对解决污粪无害化处理问题效果显著该项得满分，反之酌情减分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trPr>
        <w:tc>
          <w:tcPr>
            <w:tcW w:w="31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9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41"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提升资源回收利用率</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179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项目实施对自然资源回收利用率有显著提升该项得满分，反之该项不得分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31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9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41" w:type="pct"/>
            <w:vMerge w:val="continue"/>
            <w:tcBorders>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41" w:type="pct"/>
            <w:vMerge w:val="continue"/>
            <w:tcBorders>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农村环境提升程度</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179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rPr>
                <w:rFonts w:asciiTheme="minorEastAsia" w:hAnsiTheme="minorEastAsia" w:eastAsiaTheme="minorEastAsia"/>
                <w:sz w:val="21"/>
                <w:lang w:eastAsia="zh-CN"/>
              </w:rPr>
            </w:pPr>
            <w:r>
              <w:rPr>
                <w:rFonts w:hint="eastAsia" w:asciiTheme="minorEastAsia" w:hAnsiTheme="minorEastAsia" w:eastAsiaTheme="minorEastAsia"/>
                <w:sz w:val="21"/>
                <w:lang w:eastAsia="zh-CN"/>
              </w:rPr>
              <w:t>项目实施对提升农村环境整体有显著影响该项得满分，反之酌情减分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31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290" w:type="pct"/>
            <w:vMerge w:val="continue"/>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满意度</w:t>
            </w:r>
          </w:p>
        </w:tc>
        <w:tc>
          <w:tcPr>
            <w:tcW w:w="341"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w:t>
            </w:r>
          </w:p>
        </w:tc>
        <w:tc>
          <w:tcPr>
            <w:tcW w:w="852"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en-US"/>
              </w:rPr>
            </w:pPr>
            <w:r>
              <w:rPr>
                <w:rFonts w:hint="eastAsia" w:asciiTheme="minorEastAsia" w:hAnsiTheme="minorEastAsia" w:eastAsiaTheme="minorEastAsia"/>
                <w:sz w:val="21"/>
                <w:lang w:eastAsia="en-US"/>
              </w:rPr>
              <w:t>公众满意度</w:t>
            </w:r>
          </w:p>
        </w:tc>
        <w:tc>
          <w:tcPr>
            <w:tcW w:w="256"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w:t>
            </w:r>
          </w:p>
        </w:tc>
        <w:tc>
          <w:tcPr>
            <w:tcW w:w="179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满意度</w:t>
            </w:r>
            <w:r>
              <w:rPr>
                <w:rFonts w:asciiTheme="minorEastAsia" w:hAnsiTheme="minorEastAsia" w:eastAsiaTheme="minorEastAsia"/>
                <w:sz w:val="21"/>
                <w:lang w:eastAsia="zh-CN"/>
              </w:rPr>
              <w:t>=(满意*100％ +一般*60％+不满意*20％)满意度≥90％得满分，90％＞满意度≥60％按满意度*本项标准分值计算，满意度60％以下不得分</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4180" w:type="pct"/>
            <w:gridSpan w:val="7"/>
            <w:tcBorders>
              <w:left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合   计</w:t>
            </w:r>
          </w:p>
        </w:tc>
        <w:tc>
          <w:tcPr>
            <w:tcW w:w="34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25</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20"/>
              <w:spacing w:before="101"/>
              <w:ind w:left="127" w:right="118"/>
              <w:jc w:val="center"/>
              <w:rPr>
                <w:rFonts w:asciiTheme="minorEastAsia" w:hAnsiTheme="minorEastAsia" w:eastAsiaTheme="minorEastAsia"/>
                <w:sz w:val="21"/>
                <w:lang w:eastAsia="zh-CN"/>
              </w:rPr>
            </w:pPr>
            <w:r>
              <w:rPr>
                <w:rFonts w:hint="eastAsia" w:asciiTheme="minorEastAsia" w:hAnsiTheme="minorEastAsia" w:eastAsiaTheme="minorEastAsia"/>
                <w:sz w:val="21"/>
                <w:lang w:eastAsia="zh-CN"/>
              </w:rPr>
              <w:t>18.6</w:t>
            </w:r>
          </w:p>
        </w:tc>
      </w:tr>
    </w:tbl>
    <w:p>
      <w:pPr>
        <w:spacing w:beforeLines="50" w:afterLines="50" w:line="360" w:lineRule="auto"/>
        <w:ind w:left="105" w:leftChars="50" w:right="105" w:rightChars="50" w:firstLine="600" w:firstLineChars="200"/>
        <w:jc w:val="center"/>
        <w:rPr>
          <w:sz w:val="30"/>
          <w:szCs w:val="30"/>
        </w:rPr>
      </w:pPr>
    </w:p>
    <w:p>
      <w:pPr>
        <w:spacing w:beforeLines="50" w:afterLines="50" w:line="360" w:lineRule="auto"/>
        <w:ind w:left="105" w:leftChars="50" w:right="105" w:rightChars="50" w:firstLine="600" w:firstLineChars="200"/>
        <w:rPr>
          <w:sz w:val="30"/>
          <w:szCs w:val="30"/>
        </w:rPr>
      </w:pPr>
      <w:r>
        <w:rPr>
          <w:rFonts w:hint="eastAsia"/>
          <w:sz w:val="30"/>
          <w:szCs w:val="30"/>
        </w:rPr>
        <w:t>效益指标部分</w:t>
      </w:r>
      <w:r>
        <w:rPr>
          <w:rFonts w:hint="eastAsia"/>
          <w:b/>
          <w:sz w:val="30"/>
          <w:szCs w:val="30"/>
        </w:rPr>
        <w:t>主要得分点</w:t>
      </w:r>
      <w:r>
        <w:rPr>
          <w:rFonts w:hint="eastAsia"/>
          <w:sz w:val="30"/>
          <w:szCs w:val="30"/>
        </w:rPr>
        <w:t>：开展厕所粪污治理，将厕所粪污、畜禽养殖废弃物一并处理并资源化利用是改善农村人居环境的重要环节，本项目的实施在一定程度上改善了农村户用厕所抽粪难、清运难的问题，实现了农村厕所污粪无害化处理和资源化利用，社会效益和生态效益明显，不仅使村容村貌显著提升，脏乱差问题得到有效的改善，也极大地改善了居民的生产生活环境，提高了居民的健康生活水平。</w:t>
      </w:r>
      <w:r>
        <w:rPr>
          <w:sz w:val="30"/>
          <w:szCs w:val="30"/>
        </w:rPr>
        <w:t xml:space="preserve"> </w:t>
      </w:r>
    </w:p>
    <w:p>
      <w:pPr>
        <w:spacing w:beforeLines="50" w:afterLines="50" w:line="360" w:lineRule="auto"/>
        <w:ind w:left="105" w:leftChars="50" w:right="105" w:rightChars="50" w:firstLine="600" w:firstLineChars="200"/>
        <w:rPr>
          <w:sz w:val="30"/>
          <w:szCs w:val="30"/>
        </w:rPr>
      </w:pPr>
      <w:r>
        <w:rPr>
          <w:rFonts w:hint="eastAsia"/>
          <w:sz w:val="30"/>
          <w:szCs w:val="30"/>
        </w:rPr>
        <w:t>效益指标部分</w:t>
      </w:r>
      <w:r>
        <w:rPr>
          <w:rFonts w:hint="eastAsia"/>
          <w:b/>
          <w:sz w:val="30"/>
          <w:szCs w:val="30"/>
        </w:rPr>
        <w:t>主要扣分点</w:t>
      </w:r>
      <w:r>
        <w:rPr>
          <w:rFonts w:hint="eastAsia"/>
          <w:sz w:val="30"/>
          <w:szCs w:val="30"/>
        </w:rPr>
        <w:t>：工作组在问卷调查过程中，了解到个别村户户厕依然存在抽粪、清运不及时的现象，粪便无法得到及时处理。</w:t>
      </w:r>
    </w:p>
    <w:p>
      <w:pPr>
        <w:pStyle w:val="2"/>
      </w:pPr>
      <w:bookmarkStart w:id="16" w:name="_Toc121748716"/>
      <w:r>
        <w:rPr>
          <w:rFonts w:hint="eastAsia"/>
        </w:rPr>
        <w:t>四、综合绩效评价情况及评价结论</w:t>
      </w:r>
      <w:bookmarkEnd w:id="16"/>
    </w:p>
    <w:p>
      <w:pPr>
        <w:pStyle w:val="2"/>
      </w:pPr>
      <w:bookmarkStart w:id="17" w:name="_Toc121748717"/>
      <w:r>
        <w:rPr>
          <w:rFonts w:hint="eastAsia"/>
        </w:rPr>
        <w:t>（一）综合绩效评价情况</w:t>
      </w:r>
      <w:bookmarkEnd w:id="17"/>
    </w:p>
    <w:p>
      <w:pPr>
        <w:spacing w:beforeLines="50" w:afterLines="50" w:line="360" w:lineRule="auto"/>
        <w:ind w:left="105" w:leftChars="50" w:right="105" w:rightChars="50" w:firstLine="600" w:firstLineChars="200"/>
        <w:rPr>
          <w:rFonts w:asciiTheme="minorEastAsia" w:hAnsiTheme="minorEastAsia"/>
          <w:color w:val="FF0000"/>
          <w:sz w:val="30"/>
          <w:szCs w:val="30"/>
        </w:rPr>
      </w:pPr>
      <w:r>
        <w:rPr>
          <w:rFonts w:hint="eastAsia" w:asciiTheme="minorEastAsia" w:hAnsiTheme="minorEastAsia"/>
          <w:sz w:val="30"/>
          <w:szCs w:val="30"/>
        </w:rPr>
        <w:t>总体看，农村户用无害化卫生厕所吸污车项目完成绩效目标情况良好，项目资料完善，资金使用合规，资金拨付率高，且项目的实施对农村人居环境的改善情况基本达到了预期的效果，但也存在治理效果不彻底，缺少后续管护方案等问题。</w:t>
      </w:r>
    </w:p>
    <w:p>
      <w:pPr>
        <w:pStyle w:val="3"/>
        <w:rPr>
          <w:rFonts w:asciiTheme="minorEastAsia" w:hAnsiTheme="minorEastAsia"/>
          <w:sz w:val="30"/>
          <w:szCs w:val="30"/>
        </w:rPr>
      </w:pPr>
      <w:bookmarkStart w:id="18" w:name="_Toc121748718"/>
      <w:r>
        <w:rPr>
          <w:rFonts w:hint="eastAsia" w:asciiTheme="minorEastAsia" w:hAnsiTheme="minorEastAsia"/>
          <w:sz w:val="30"/>
          <w:szCs w:val="30"/>
        </w:rPr>
        <w:t>（二）总体评价结论</w:t>
      </w:r>
      <w:bookmarkEnd w:id="18"/>
    </w:p>
    <w:p>
      <w:pPr>
        <w:spacing w:beforeLines="50" w:afterLines="50" w:line="360" w:lineRule="auto"/>
        <w:ind w:left="105" w:leftChars="50" w:right="105" w:rightChars="50" w:firstLine="600" w:firstLineChars="200"/>
        <w:rPr>
          <w:rFonts w:asciiTheme="minorEastAsia" w:hAnsiTheme="minorEastAsia"/>
          <w:sz w:val="30"/>
          <w:szCs w:val="30"/>
        </w:rPr>
      </w:pPr>
      <w:r>
        <w:rPr>
          <w:rFonts w:hint="eastAsia" w:asciiTheme="minorEastAsia" w:hAnsiTheme="minorEastAsia"/>
          <w:sz w:val="30"/>
          <w:szCs w:val="30"/>
        </w:rPr>
        <w:t>依据绩效评价指标体系，经基础数据采集、分析、访谈等过程，评价组对农村户用无害化卫生厕所吸污车项目进行客观评价。项目总体得分为</w:t>
      </w:r>
      <w:r>
        <w:rPr>
          <w:rFonts w:hint="eastAsia" w:asciiTheme="minorEastAsia" w:hAnsiTheme="minorEastAsia"/>
          <w:sz w:val="30"/>
          <w:szCs w:val="30"/>
          <w:lang w:val="en-US" w:eastAsia="zh-CN"/>
        </w:rPr>
        <w:t>90.8</w:t>
      </w:r>
      <w:r>
        <w:rPr>
          <w:rFonts w:hint="eastAsia" w:asciiTheme="minorEastAsia" w:hAnsiTheme="minorEastAsia"/>
          <w:sz w:val="30"/>
          <w:szCs w:val="30"/>
        </w:rPr>
        <w:t>分，按照财政部《项目支出绩效评价管理办法》(财预202010号)明确的评价等级设置，该项目评价等级为“</w:t>
      </w:r>
      <w:r>
        <w:rPr>
          <w:rFonts w:hint="eastAsia" w:asciiTheme="minorEastAsia" w:hAnsiTheme="minorEastAsia"/>
          <w:sz w:val="30"/>
          <w:szCs w:val="30"/>
          <w:lang w:eastAsia="zh-CN"/>
        </w:rPr>
        <w:t>优</w:t>
      </w:r>
      <w:r>
        <w:rPr>
          <w:rFonts w:hint="eastAsia" w:asciiTheme="minorEastAsia" w:hAnsiTheme="minorEastAsia"/>
          <w:sz w:val="30"/>
          <w:szCs w:val="30"/>
        </w:rPr>
        <w:t>”。具体得分情况见下表：</w:t>
      </w:r>
    </w:p>
    <w:p>
      <w:pPr>
        <w:spacing w:beforeLines="50" w:afterLines="50" w:line="360" w:lineRule="auto"/>
        <w:ind w:left="105" w:leftChars="50" w:right="105" w:rightChars="50" w:firstLine="602" w:firstLineChars="200"/>
        <w:jc w:val="center"/>
        <w:rPr>
          <w:rFonts w:asciiTheme="minorEastAsia" w:hAnsiTheme="minorEastAsia"/>
          <w:b/>
          <w:sz w:val="30"/>
          <w:szCs w:val="30"/>
        </w:rPr>
      </w:pPr>
      <w:r>
        <w:rPr>
          <w:rFonts w:hint="eastAsia" w:asciiTheme="minorEastAsia" w:hAnsiTheme="minorEastAsia"/>
          <w:b/>
          <w:sz w:val="30"/>
          <w:szCs w:val="30"/>
        </w:rPr>
        <w:t>表2   农村户用无害化卫生厕所吸污车项目</w:t>
      </w:r>
    </w:p>
    <w:p>
      <w:pPr>
        <w:spacing w:beforeLines="50" w:afterLines="50" w:line="360" w:lineRule="auto"/>
        <w:ind w:right="105" w:rightChars="50"/>
        <w:jc w:val="center"/>
        <w:rPr>
          <w:rFonts w:asciiTheme="minorEastAsia" w:hAnsiTheme="minorEastAsia"/>
          <w:b/>
          <w:sz w:val="30"/>
          <w:szCs w:val="30"/>
        </w:rPr>
      </w:pPr>
      <w:r>
        <w:rPr>
          <w:rFonts w:hint="eastAsia" w:asciiTheme="minorEastAsia" w:hAnsiTheme="minorEastAsia"/>
          <w:b/>
          <w:sz w:val="30"/>
          <w:szCs w:val="30"/>
        </w:rPr>
        <w:t>绩效评价得分表</w:t>
      </w:r>
    </w:p>
    <w:tbl>
      <w:tblPr>
        <w:tblStyle w:val="21"/>
        <w:tblW w:w="83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851"/>
        <w:gridCol w:w="1559"/>
        <w:gridCol w:w="2552"/>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23"/>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一级指标</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08"/>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分值</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95"/>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二级指标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三级指标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0"/>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标准分值</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0"/>
              <w:jc w:val="center"/>
              <w:rPr>
                <w:rFonts w:asciiTheme="minorEastAsia" w:hAnsiTheme="minorEastAsia" w:eastAsiaTheme="minorEastAsia"/>
                <w:b/>
                <w:sz w:val="21"/>
                <w:szCs w:val="21"/>
                <w:lang w:eastAsia="en-US"/>
              </w:rPr>
            </w:pPr>
            <w:r>
              <w:rPr>
                <w:rFonts w:hint="eastAsia" w:asciiTheme="minorEastAsia" w:hAnsiTheme="minorEastAsia" w:eastAsiaTheme="minorEastAsia"/>
                <w:b/>
                <w:sz w:val="21"/>
                <w:szCs w:val="21"/>
                <w:lang w:eastAsia="en-US"/>
              </w:rPr>
              <w:t>实际得分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决策</w:t>
            </w:r>
          </w:p>
        </w:tc>
        <w:tc>
          <w:tcPr>
            <w:tcW w:w="851" w:type="dxa"/>
            <w:vMerge w:val="restart"/>
            <w:tcBorders>
              <w:top w:val="single" w:color="000000" w:sz="4" w:space="0"/>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15</w:t>
            </w:r>
          </w:p>
        </w:tc>
        <w:tc>
          <w:tcPr>
            <w:tcW w:w="1559" w:type="dxa"/>
            <w:vMerge w:val="restart"/>
            <w:tcBorders>
              <w:top w:val="single" w:color="000000" w:sz="4" w:space="0"/>
              <w:left w:val="single" w:color="000000" w:sz="4" w:space="0"/>
              <w:right w:val="single" w:color="000000" w:sz="4" w:space="0"/>
            </w:tcBorders>
            <w:vAlign w:val="center"/>
          </w:tcPr>
          <w:p>
            <w:pPr>
              <w:pStyle w:val="20"/>
              <w:spacing w:before="97"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项目立项</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立项依据充分性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p>
        </w:tc>
        <w:tc>
          <w:tcPr>
            <w:tcW w:w="851" w:type="dxa"/>
            <w:vMerge w:val="continue"/>
            <w:tcBorders>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p>
        </w:tc>
        <w:tc>
          <w:tcPr>
            <w:tcW w:w="1559" w:type="dxa"/>
            <w:vMerge w:val="continue"/>
            <w:tcBorders>
              <w:left w:val="single" w:color="000000" w:sz="4" w:space="0"/>
              <w:bottom w:val="single" w:color="000000" w:sz="4" w:space="0"/>
              <w:right w:val="single" w:color="000000" w:sz="4" w:space="0"/>
            </w:tcBorders>
            <w:vAlign w:val="center"/>
          </w:tcPr>
          <w:p>
            <w:pPr>
              <w:pStyle w:val="20"/>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立项程序规范性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绩效目标</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绩效目标合理性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绩效指标明确性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资金投入</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预算编制科学性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资金分配合理性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过程</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25</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资金管理</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ind w:right="99"/>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资金到位率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asciiTheme="minorEastAsia" w:hAnsiTheme="minorEastAsia" w:eastAsiaTheme="minorEastAsia"/>
                <w:sz w:val="21"/>
                <w:szCs w:val="21"/>
                <w:lang w:eastAsia="en-US"/>
              </w:rPr>
            </w:pPr>
          </w:p>
          <w:p>
            <w:pPr>
              <w:pStyle w:val="20"/>
              <w:spacing w:before="1"/>
              <w:ind w:right="99"/>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预算执行率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资金使用合规性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pStyle w:val="20"/>
              <w:spacing w:before="1"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组织实施</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管理制度健全性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制度执行有效性</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top w:val="single" w:color="000000" w:sz="4" w:space="0"/>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w:t>
            </w:r>
          </w:p>
        </w:tc>
        <w:tc>
          <w:tcPr>
            <w:tcW w:w="851" w:type="dxa"/>
            <w:vMerge w:val="restart"/>
            <w:tcBorders>
              <w:top w:val="single" w:color="000000" w:sz="4" w:space="0"/>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35</w:t>
            </w: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产出数量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lang w:eastAsia="zh-CN"/>
              </w:rPr>
              <w:t>采购吸污车数量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1"/>
              <w:ind w:right="11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项目实施覆盖乡镇数量</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产出质量</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4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lang w:eastAsia="en-US"/>
              </w:rPr>
              <w:t>吸污车验收合格率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both"/>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right w:val="single" w:color="000000" w:sz="4" w:space="0"/>
            </w:tcBorders>
            <w:vAlign w:val="center"/>
          </w:tcPr>
          <w:p>
            <w:pPr>
              <w:pStyle w:val="20"/>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产出时效</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en-US"/>
              </w:rPr>
              <w:t>采购计划周期</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ind w:left="42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97"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en-US"/>
              </w:rPr>
              <w:t>车辆交接周期</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1"/>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851" w:type="dxa"/>
            <w:vMerge w:val="continue"/>
            <w:tcBorders>
              <w:left w:val="single" w:color="000000" w:sz="4" w:space="0"/>
              <w:bottom w:val="single" w:color="000000" w:sz="4" w:space="0"/>
              <w:right w:val="single" w:color="000000" w:sz="4" w:space="0"/>
            </w:tcBorders>
            <w:vAlign w:val="center"/>
          </w:tcPr>
          <w:p>
            <w:pPr>
              <w:autoSpaceDE w:val="0"/>
              <w:autoSpaceDN w:val="0"/>
              <w:jc w:val="center"/>
              <w:rPr>
                <w:rFonts w:asciiTheme="minorEastAsia" w:hAnsiTheme="minorEastAsia" w:eastAsiaTheme="minorEastAsia"/>
                <w:szCs w:val="21"/>
                <w:lang w:eastAsia="en-US"/>
              </w:rPr>
            </w:pPr>
          </w:p>
        </w:tc>
        <w:tc>
          <w:tcPr>
            <w:tcW w:w="1559" w:type="dxa"/>
            <w:tcBorders>
              <w:top w:val="single" w:color="000000" w:sz="4" w:space="0"/>
              <w:left w:val="single" w:color="000000" w:sz="4" w:space="0"/>
              <w:right w:val="single" w:color="000000" w:sz="4" w:space="0"/>
            </w:tcBorders>
            <w:vAlign w:val="center"/>
          </w:tcPr>
          <w:p>
            <w:pPr>
              <w:pStyle w:val="20"/>
              <w:spacing w:before="101"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产出成本</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ind w:right="99"/>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成本控制</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restart"/>
            <w:tcBorders>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效益</w:t>
            </w:r>
          </w:p>
        </w:tc>
        <w:tc>
          <w:tcPr>
            <w:tcW w:w="851" w:type="dxa"/>
            <w:vMerge w:val="restart"/>
            <w:tcBorders>
              <w:left w:val="single" w:color="000000" w:sz="4" w:space="0"/>
              <w:right w:val="single" w:color="000000" w:sz="4" w:space="0"/>
            </w:tcBorders>
            <w:vAlign w:val="center"/>
          </w:tcPr>
          <w:p>
            <w:pPr>
              <w:pStyle w:val="20"/>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25</w:t>
            </w:r>
          </w:p>
        </w:tc>
        <w:tc>
          <w:tcPr>
            <w:tcW w:w="1559" w:type="dxa"/>
            <w:tcBorders>
              <w:left w:val="single" w:color="000000" w:sz="4" w:space="0"/>
              <w:right w:val="single" w:color="000000" w:sz="4" w:space="0"/>
            </w:tcBorders>
            <w:vAlign w:val="center"/>
          </w:tcPr>
          <w:p>
            <w:pPr>
              <w:pStyle w:val="20"/>
              <w:spacing w:line="242" w:lineRule="auto"/>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社会效益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ind w:right="99"/>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zh-CN"/>
              </w:rPr>
              <w:t>农村户用厕所抽粪难、清运难问题改善情况</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8</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spacing w:before="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vMerge w:val="restart"/>
            <w:tcBorders>
              <w:top w:val="single" w:color="000000" w:sz="4" w:space="0"/>
              <w:left w:val="single" w:color="000000" w:sz="4" w:space="0"/>
              <w:right w:val="single" w:color="000000" w:sz="4" w:space="0"/>
            </w:tcBorders>
            <w:vAlign w:val="center"/>
          </w:tcPr>
          <w:p>
            <w:pPr>
              <w:pStyle w:val="20"/>
              <w:spacing w:before="102"/>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生态效益</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48"/>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lang w:eastAsia="en-US"/>
              </w:rPr>
              <w:t>实现污粪无害化处理</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en-US"/>
              </w:rPr>
              <w:t>提升资源回收利用率</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vMerge w:val="continue"/>
            <w:tcBorders>
              <w:left w:val="single" w:color="000000" w:sz="4" w:space="0"/>
              <w:right w:val="single" w:color="000000" w:sz="4" w:space="0"/>
            </w:tcBorders>
            <w:vAlign w:val="center"/>
          </w:tcPr>
          <w:p>
            <w:pPr>
              <w:pStyle w:val="20"/>
              <w:spacing w:before="102"/>
              <w:ind w:left="420" w:right="191"/>
              <w:jc w:val="both"/>
              <w:rPr>
                <w:rFonts w:asciiTheme="minorEastAsia" w:hAnsiTheme="minorEastAsia" w:eastAsiaTheme="minorEastAsia"/>
                <w:sz w:val="21"/>
                <w:szCs w:val="21"/>
                <w:lang w:eastAsia="en-US"/>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20"/>
              <w:spacing w:before="102" w:line="242" w:lineRule="auto"/>
              <w:ind w:right="148"/>
              <w:jc w:val="center"/>
              <w:rPr>
                <w:rFonts w:asciiTheme="minorEastAsia" w:hAnsiTheme="minorEastAsia" w:eastAsiaTheme="minorEastAsia"/>
                <w:sz w:val="21"/>
                <w:szCs w:val="21"/>
                <w:lang w:eastAsia="en-US"/>
              </w:rPr>
            </w:pPr>
            <w:r>
              <w:rPr>
                <w:rFonts w:hint="eastAsia" w:asciiTheme="minorEastAsia" w:hAnsiTheme="minorEastAsia" w:eastAsiaTheme="minorEastAsia"/>
                <w:sz w:val="21"/>
                <w:lang w:eastAsia="en-US"/>
              </w:rPr>
              <w:t>农村环境提升程度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139"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851" w:type="dxa"/>
            <w:vMerge w:val="continue"/>
            <w:tcBorders>
              <w:left w:val="single" w:color="000000" w:sz="4" w:space="0"/>
              <w:right w:val="single" w:color="000000" w:sz="4" w:space="0"/>
            </w:tcBorders>
            <w:vAlign w:val="center"/>
          </w:tcPr>
          <w:p>
            <w:pPr>
              <w:autoSpaceDE w:val="0"/>
              <w:autoSpaceDN w:val="0"/>
              <w:rPr>
                <w:rFonts w:asciiTheme="minorEastAsia" w:hAnsiTheme="minorEastAsia" w:eastAsiaTheme="minorEastAsia"/>
                <w:szCs w:val="21"/>
                <w:lang w:eastAsia="en-US"/>
              </w:rPr>
            </w:pPr>
          </w:p>
        </w:tc>
        <w:tc>
          <w:tcPr>
            <w:tcW w:w="1559" w:type="dxa"/>
            <w:tcBorders>
              <w:top w:val="single" w:color="000000" w:sz="4" w:space="0"/>
              <w:left w:val="single" w:color="000000" w:sz="4" w:space="0"/>
              <w:right w:val="single" w:color="000000" w:sz="4" w:space="0"/>
            </w:tcBorders>
            <w:vAlign w:val="center"/>
          </w:tcPr>
          <w:p>
            <w:pPr>
              <w:pStyle w:val="20"/>
              <w:spacing w:before="102"/>
              <w:ind w:left="420" w:right="191"/>
              <w:jc w:val="both"/>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满意度</w:t>
            </w:r>
          </w:p>
        </w:tc>
        <w:tc>
          <w:tcPr>
            <w:tcW w:w="2552" w:type="dxa"/>
            <w:tcBorders>
              <w:top w:val="single" w:color="000000" w:sz="4" w:space="0"/>
              <w:left w:val="single" w:color="000000" w:sz="4" w:space="0"/>
              <w:right w:val="single" w:color="000000" w:sz="4" w:space="0"/>
            </w:tcBorders>
            <w:vAlign w:val="center"/>
          </w:tcPr>
          <w:p>
            <w:pPr>
              <w:pStyle w:val="20"/>
              <w:spacing w:before="5"/>
              <w:jc w:val="center"/>
              <w:rPr>
                <w:rFonts w:asciiTheme="minorEastAsia" w:hAnsiTheme="minorEastAsia" w:eastAsiaTheme="minorEastAsia"/>
                <w:szCs w:val="24"/>
                <w:lang w:eastAsia="en-US"/>
              </w:rPr>
            </w:pPr>
            <w:r>
              <w:rPr>
                <w:rFonts w:hint="eastAsia" w:asciiTheme="minorEastAsia" w:hAnsiTheme="minorEastAsia" w:eastAsiaTheme="minorEastAsia"/>
                <w:sz w:val="21"/>
                <w:lang w:eastAsia="en-US"/>
              </w:rPr>
              <w:t>公众满意度</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trPr>
        <w:tc>
          <w:tcPr>
            <w:tcW w:w="6101" w:type="dxa"/>
            <w:gridSpan w:val="4"/>
            <w:tcBorders>
              <w:left w:val="single" w:color="000000" w:sz="4" w:space="0"/>
              <w:right w:val="single" w:color="000000" w:sz="4" w:space="0"/>
            </w:tcBorders>
            <w:vAlign w:val="center"/>
          </w:tcPr>
          <w:p>
            <w:pPr>
              <w:pStyle w:val="20"/>
              <w:spacing w:before="5"/>
              <w:jc w:val="center"/>
              <w:rPr>
                <w:rFonts w:asciiTheme="minorEastAsia" w:hAnsiTheme="minorEastAsia" w:eastAsiaTheme="minorEastAsia"/>
                <w:szCs w:val="24"/>
                <w:lang w:eastAsia="en-US"/>
              </w:rPr>
            </w:pPr>
            <w:r>
              <w:rPr>
                <w:rFonts w:hint="eastAsia" w:asciiTheme="minorEastAsia" w:hAnsiTheme="minorEastAsia" w:eastAsiaTheme="minorEastAsia"/>
                <w:szCs w:val="24"/>
                <w:lang w:eastAsia="en-US"/>
              </w:rPr>
              <w:t>合计</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firstLine="105" w:firstLineChars="50"/>
              <w:rPr>
                <w:rFonts w:asciiTheme="minorEastAsia" w:hAnsiTheme="minorEastAsia" w:eastAsiaTheme="minorEastAsia"/>
                <w:sz w:val="21"/>
                <w:szCs w:val="21"/>
                <w:lang w:eastAsia="en-US"/>
              </w:rPr>
            </w:pPr>
            <w:r>
              <w:rPr>
                <w:rFonts w:hint="eastAsia" w:asciiTheme="minorEastAsia" w:hAnsiTheme="minorEastAsia" w:eastAsiaTheme="minorEastAsia"/>
                <w:sz w:val="21"/>
                <w:szCs w:val="21"/>
                <w:lang w:eastAsia="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20"/>
              <w:ind w:left="42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90.8</w:t>
            </w:r>
          </w:p>
        </w:tc>
      </w:tr>
    </w:tbl>
    <w:p>
      <w:pPr>
        <w:pStyle w:val="2"/>
      </w:pPr>
      <w:bookmarkStart w:id="19" w:name="_Toc121748719"/>
      <w:r>
        <w:rPr>
          <w:rFonts w:hint="eastAsia"/>
        </w:rPr>
        <w:t>五、主要经验及做法</w:t>
      </w:r>
      <w:bookmarkEnd w:id="19"/>
    </w:p>
    <w:p>
      <w:pPr>
        <w:spacing w:beforeLines="50" w:afterLines="50" w:line="360" w:lineRule="auto"/>
        <w:ind w:left="105" w:leftChars="50" w:right="105" w:rightChars="50" w:firstLine="600" w:firstLineChars="200"/>
        <w:rPr>
          <w:sz w:val="30"/>
          <w:szCs w:val="30"/>
        </w:rPr>
      </w:pPr>
      <w:r>
        <w:rPr>
          <w:rFonts w:hint="eastAsia"/>
          <w:sz w:val="30"/>
          <w:szCs w:val="30"/>
        </w:rPr>
        <w:t>农村户用无害化卫生厕所吸污车项目实施旨在改善农村人居环境，提高农村居民生活质量，主要经验及做法如下：</w:t>
      </w:r>
    </w:p>
    <w:p>
      <w:pPr>
        <w:pStyle w:val="14"/>
        <w:numPr>
          <w:ilvl w:val="0"/>
          <w:numId w:val="2"/>
        </w:numPr>
        <w:ind w:firstLineChars="0"/>
        <w:rPr>
          <w:b/>
          <w:sz w:val="30"/>
          <w:szCs w:val="30"/>
        </w:rPr>
      </w:pPr>
      <w:r>
        <w:rPr>
          <w:rFonts w:hint="eastAsia"/>
          <w:b/>
          <w:sz w:val="30"/>
          <w:szCs w:val="30"/>
        </w:rPr>
        <w:t>项目实施过程效率高。</w:t>
      </w:r>
      <w:r>
        <w:rPr>
          <w:rFonts w:hint="eastAsia"/>
          <w:sz w:val="30"/>
          <w:szCs w:val="30"/>
        </w:rPr>
        <w:t>项目申报程序合规，吸污车采购，交接与验收能够严格按照采购计划执行，供货时间符合合同约定且合格率达到验收标准。本项目涉及13个乡镇，及时的完成采购与交接工作，确保了各乡镇户用厕所环境得到及时改善，乡镇人居环境整体有了显著提高。</w:t>
      </w:r>
    </w:p>
    <w:p>
      <w:pPr>
        <w:pStyle w:val="14"/>
        <w:numPr>
          <w:ilvl w:val="0"/>
          <w:numId w:val="2"/>
        </w:numPr>
        <w:ind w:firstLineChars="0"/>
        <w:rPr>
          <w:b/>
          <w:sz w:val="30"/>
          <w:szCs w:val="30"/>
        </w:rPr>
      </w:pPr>
      <w:r>
        <w:rPr>
          <w:rFonts w:hint="eastAsia"/>
          <w:b/>
          <w:sz w:val="30"/>
          <w:szCs w:val="30"/>
        </w:rPr>
        <w:t>资金拨付率和执行率高</w:t>
      </w:r>
      <w:r>
        <w:rPr>
          <w:rFonts w:hint="eastAsia"/>
          <w:sz w:val="30"/>
          <w:szCs w:val="30"/>
        </w:rPr>
        <w:t>。资金拨付及使用程序规范合理，资金拨付率和执行率均达到100%，资金按预期时间拨付和使用，充分保障了项目实施和进展，是发挥项目的社会效益和生态效益的重要保障。</w:t>
      </w:r>
    </w:p>
    <w:p>
      <w:pPr>
        <w:pStyle w:val="14"/>
        <w:numPr>
          <w:ilvl w:val="0"/>
          <w:numId w:val="2"/>
        </w:numPr>
        <w:ind w:firstLineChars="0"/>
        <w:rPr>
          <w:sz w:val="30"/>
          <w:szCs w:val="30"/>
        </w:rPr>
      </w:pPr>
      <w:r>
        <w:rPr>
          <w:rFonts w:hint="eastAsia"/>
          <w:b/>
          <w:sz w:val="30"/>
          <w:szCs w:val="30"/>
        </w:rPr>
        <w:t>社会效益和生态效益明显。</w:t>
      </w:r>
      <w:r>
        <w:rPr>
          <w:sz w:val="30"/>
          <w:szCs w:val="30"/>
        </w:rPr>
        <w:t>农村“厕所革命”是改善环境、防治疾病的治本之策，是一项得民心顺民意的民生工程</w:t>
      </w:r>
      <w:r>
        <w:rPr>
          <w:rFonts w:hint="eastAsia"/>
          <w:sz w:val="30"/>
          <w:szCs w:val="30"/>
        </w:rPr>
        <w:t>，吸污车的投入使用</w:t>
      </w:r>
      <w:r>
        <w:rPr>
          <w:sz w:val="30"/>
          <w:szCs w:val="30"/>
        </w:rPr>
        <w:t>不仅关乎农村卫生环境的改善，还影响着农村群众的获得感和幸福感</w:t>
      </w:r>
      <w:r>
        <w:rPr>
          <w:rFonts w:hint="eastAsia"/>
          <w:sz w:val="30"/>
          <w:szCs w:val="30"/>
        </w:rPr>
        <w:t>，</w:t>
      </w:r>
      <w:r>
        <w:rPr>
          <w:sz w:val="30"/>
          <w:szCs w:val="30"/>
        </w:rPr>
        <w:t>有效分解粪便，做好废污处理和有效利用。改善农村环境和卫生条件，提高农民身体健康水平。提高农村文明化程度，养成健康文明的生活习惯，树立新农村和新农人形象。</w:t>
      </w:r>
    </w:p>
    <w:p>
      <w:pPr>
        <w:pStyle w:val="2"/>
      </w:pPr>
      <w:bookmarkStart w:id="20" w:name="_Toc121748720"/>
      <w:r>
        <w:rPr>
          <w:rFonts w:hint="eastAsia"/>
        </w:rPr>
        <w:t>六、存在的问题及相关建议</w:t>
      </w:r>
      <w:bookmarkEnd w:id="20"/>
    </w:p>
    <w:p>
      <w:pPr>
        <w:rPr>
          <w:rFonts w:hint="eastAsia"/>
          <w:b/>
          <w:sz w:val="30"/>
          <w:szCs w:val="30"/>
          <w:shd w:val="clear" w:color="auto" w:fill="FFFFFF"/>
        </w:rPr>
      </w:pPr>
      <w:r>
        <w:rPr>
          <w:rFonts w:hint="eastAsia"/>
          <w:b/>
          <w:sz w:val="30"/>
          <w:szCs w:val="30"/>
          <w:shd w:val="clear" w:color="auto" w:fill="FFFFFF"/>
        </w:rPr>
        <w:t>1. 设备采购后的管护制度不够完善。</w:t>
      </w:r>
    </w:p>
    <w:p>
      <w:pPr>
        <w:rPr>
          <w:sz w:val="30"/>
          <w:szCs w:val="30"/>
          <w:shd w:val="clear" w:color="auto" w:fill="FFFFFF"/>
        </w:rPr>
      </w:pPr>
      <w:r>
        <w:rPr>
          <w:rFonts w:hint="eastAsia"/>
          <w:b/>
          <w:sz w:val="30"/>
          <w:szCs w:val="30"/>
          <w:shd w:val="clear" w:color="auto" w:fill="FFFFFF"/>
        </w:rPr>
        <w:t>相关建议：建立起覆盖各乡镇的农村厕所管护长效机制。</w:t>
      </w:r>
      <w:r>
        <w:rPr>
          <w:rFonts w:hint="eastAsia"/>
          <w:sz w:val="30"/>
          <w:szCs w:val="30"/>
          <w:shd w:val="clear" w:color="auto" w:fill="FFFFFF"/>
        </w:rPr>
        <w:t>参与项目实施的村庄都要加强对农户厕所的使用管理和维护，建立健全长期管护机制，确保农村改厕日常管理落实到位、避免污粪处理后的垃圾厕所乱扔，出现环境二次污染问题，做好建管衔接，确保后续维护、粪液抽运、利用有序到位，避免因管护不到位造成粪便清运不及时的现象。建立完善的管护制度和吸污车车辆使用制度，并要求各乡镇严格按照制度执行，必要时设立奖惩机制，使后续的管理与绩效、下年度资金拨付率相结合。</w:t>
      </w:r>
    </w:p>
    <w:p>
      <w:pPr>
        <w:rPr>
          <w:rFonts w:hint="eastAsia"/>
          <w:b/>
          <w:sz w:val="30"/>
          <w:szCs w:val="30"/>
          <w:shd w:val="clear" w:color="auto" w:fill="FFFFFF"/>
        </w:rPr>
      </w:pPr>
      <w:r>
        <w:rPr>
          <w:rFonts w:hint="eastAsia"/>
          <w:b/>
          <w:sz w:val="30"/>
          <w:szCs w:val="30"/>
          <w:shd w:val="clear" w:color="auto" w:fill="FFFFFF"/>
        </w:rPr>
        <w:t>2. 资源回收再利用相关工作需进一步加强。</w:t>
      </w:r>
    </w:p>
    <w:p>
      <w:pPr>
        <w:rPr>
          <w:b/>
          <w:sz w:val="30"/>
          <w:szCs w:val="30"/>
          <w:shd w:val="clear" w:color="auto" w:fill="FFFFFF"/>
        </w:rPr>
      </w:pPr>
      <w:r>
        <w:rPr>
          <w:rFonts w:hint="eastAsia"/>
          <w:b/>
          <w:sz w:val="30"/>
          <w:szCs w:val="30"/>
          <w:shd w:val="clear" w:color="auto" w:fill="FFFFFF"/>
        </w:rPr>
        <w:t>相关建议：搞好粪液粪渣处理再利用。</w:t>
      </w:r>
      <w:r>
        <w:rPr>
          <w:rFonts w:hint="eastAsia"/>
          <w:sz w:val="30"/>
          <w:szCs w:val="30"/>
          <w:shd w:val="clear" w:color="auto" w:fill="FFFFFF"/>
        </w:rPr>
        <w:t>大力推广先进实用的粪液粪渣综合利用模式和生产技术，鼓励采用多种合作模式提供系统解决方案，做好粪液粪渣后续利用和水肥一体化结合工作。</w:t>
      </w:r>
    </w:p>
    <w:p>
      <w:pPr>
        <w:rPr>
          <w:rFonts w:hint="eastAsia"/>
          <w:b/>
          <w:sz w:val="30"/>
          <w:szCs w:val="30"/>
          <w:shd w:val="clear" w:color="auto" w:fill="FFFFFF"/>
        </w:rPr>
      </w:pPr>
      <w:r>
        <w:rPr>
          <w:rFonts w:hint="eastAsia"/>
          <w:b/>
          <w:sz w:val="30"/>
          <w:szCs w:val="30"/>
          <w:shd w:val="clear" w:color="auto" w:fill="FFFFFF"/>
        </w:rPr>
        <w:t>3. 宣传工作有待加强。</w:t>
      </w:r>
    </w:p>
    <w:p>
      <w:pPr>
        <w:rPr>
          <w:sz w:val="30"/>
          <w:szCs w:val="30"/>
          <w:shd w:val="clear" w:color="auto" w:fill="FFFFFF"/>
        </w:rPr>
      </w:pPr>
      <w:r>
        <w:rPr>
          <w:rFonts w:hint="eastAsia"/>
          <w:b/>
          <w:sz w:val="30"/>
          <w:szCs w:val="30"/>
          <w:shd w:val="clear" w:color="auto" w:fill="FFFFFF"/>
        </w:rPr>
        <w:t>相关建议：加强宣传，形成社会共识。</w:t>
      </w:r>
      <w:r>
        <w:rPr>
          <w:rFonts w:hint="eastAsia"/>
          <w:sz w:val="30"/>
          <w:szCs w:val="30"/>
          <w:shd w:val="clear" w:color="auto" w:fill="FFFFFF"/>
        </w:rPr>
        <w:t>要通过广播电视、公益广告、入户走访等方式，大力宣传管护长效化对美化农村居住环境、改善农村生活方式、提高农民健康水平的重大意义，提高群众对污粪处理后后续管护的知晓度、参与度、认可度，</w:t>
      </w:r>
      <w:r>
        <w:rPr>
          <w:sz w:val="30"/>
          <w:szCs w:val="30"/>
          <w:shd w:val="clear" w:color="auto" w:fill="FFFFFF"/>
        </w:rPr>
        <w:t>积极发挥农户主体作用，让农民群众了解掌握更多卫生防疫、文明如厕、厕所运行维护常识，提高文明卫生意识，真正认识到</w:t>
      </w:r>
      <w:r>
        <w:rPr>
          <w:rFonts w:hint="eastAsia"/>
          <w:sz w:val="30"/>
          <w:szCs w:val="30"/>
          <w:shd w:val="clear" w:color="auto" w:fill="FFFFFF"/>
        </w:rPr>
        <w:t>村居生态环境的改善与每一个人息息相关。培养农民群众良好的生活卫生习惯，共同珍惜和维护自己的美好家园</w:t>
      </w:r>
      <w:r>
        <w:rPr>
          <w:rFonts w:hint="eastAsia" w:ascii="仿宋_GB2312" w:eastAsia="仿宋_GB2312"/>
          <w:color w:val="000000"/>
          <w:sz w:val="29"/>
          <w:szCs w:val="29"/>
          <w:shd w:val="clear" w:color="auto" w:fill="FFFFFF"/>
        </w:rPr>
        <w:t>。</w:t>
      </w:r>
    </w:p>
    <w:sectPr>
      <w:footerReference r:id="rId4" w:type="default"/>
      <w:type w:val="continuous"/>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0353131"/>
    </w:sdtPr>
    <w:sdtContent>
      <w:p>
        <w:pPr>
          <w:pStyle w:val="6"/>
          <w:jc w:val="center"/>
        </w:pPr>
        <w:r>
          <w:fldChar w:fldCharType="begin"/>
        </w:r>
        <w:r>
          <w:instrText xml:space="preserve">PAGE   \* MERGEFORMAT</w:instrText>
        </w:r>
        <w:r>
          <w:fldChar w:fldCharType="separate"/>
        </w:r>
        <w:r>
          <w:rPr>
            <w:lang w:val="zh-CN"/>
          </w:rPr>
          <w:t>25</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A0E30"/>
    <w:multiLevelType w:val="multilevel"/>
    <w:tmpl w:val="0A3A0E30"/>
    <w:lvl w:ilvl="0" w:tentative="0">
      <w:start w:val="1"/>
      <w:numFmt w:val="decimal"/>
      <w:lvlText w:val="%1."/>
      <w:lvlJc w:val="left"/>
      <w:pPr>
        <w:ind w:left="1065" w:hanging="360"/>
      </w:pPr>
      <w:rPr>
        <w:rFonts w:hint="default"/>
      </w:rPr>
    </w:lvl>
    <w:lvl w:ilvl="1" w:tentative="0">
      <w:start w:val="1"/>
      <w:numFmt w:val="lowerLetter"/>
      <w:lvlText w:val="%2)"/>
      <w:lvlJc w:val="left"/>
      <w:pPr>
        <w:ind w:left="1545" w:hanging="420"/>
      </w:pPr>
    </w:lvl>
    <w:lvl w:ilvl="2" w:tentative="0">
      <w:start w:val="1"/>
      <w:numFmt w:val="lowerRoman"/>
      <w:lvlText w:val="%3."/>
      <w:lvlJc w:val="right"/>
      <w:pPr>
        <w:ind w:left="1965" w:hanging="420"/>
      </w:pPr>
    </w:lvl>
    <w:lvl w:ilvl="3" w:tentative="0">
      <w:start w:val="1"/>
      <w:numFmt w:val="decimal"/>
      <w:lvlText w:val="%4."/>
      <w:lvlJc w:val="left"/>
      <w:pPr>
        <w:ind w:left="2385" w:hanging="420"/>
      </w:pPr>
    </w:lvl>
    <w:lvl w:ilvl="4" w:tentative="0">
      <w:start w:val="1"/>
      <w:numFmt w:val="lowerLetter"/>
      <w:lvlText w:val="%5)"/>
      <w:lvlJc w:val="left"/>
      <w:pPr>
        <w:ind w:left="2805" w:hanging="420"/>
      </w:pPr>
    </w:lvl>
    <w:lvl w:ilvl="5" w:tentative="0">
      <w:start w:val="1"/>
      <w:numFmt w:val="lowerRoman"/>
      <w:lvlText w:val="%6."/>
      <w:lvlJc w:val="right"/>
      <w:pPr>
        <w:ind w:left="3225" w:hanging="420"/>
      </w:pPr>
    </w:lvl>
    <w:lvl w:ilvl="6" w:tentative="0">
      <w:start w:val="1"/>
      <w:numFmt w:val="decimal"/>
      <w:lvlText w:val="%7."/>
      <w:lvlJc w:val="left"/>
      <w:pPr>
        <w:ind w:left="3645" w:hanging="420"/>
      </w:pPr>
    </w:lvl>
    <w:lvl w:ilvl="7" w:tentative="0">
      <w:start w:val="1"/>
      <w:numFmt w:val="lowerLetter"/>
      <w:lvlText w:val="%8)"/>
      <w:lvlJc w:val="left"/>
      <w:pPr>
        <w:ind w:left="4065" w:hanging="420"/>
      </w:pPr>
    </w:lvl>
    <w:lvl w:ilvl="8" w:tentative="0">
      <w:start w:val="1"/>
      <w:numFmt w:val="lowerRoman"/>
      <w:lvlText w:val="%9."/>
      <w:lvlJc w:val="right"/>
      <w:pPr>
        <w:ind w:left="4485" w:hanging="420"/>
      </w:pPr>
    </w:lvl>
  </w:abstractNum>
  <w:abstractNum w:abstractNumId="1">
    <w:nsid w:val="6596093A"/>
    <w:multiLevelType w:val="multilevel"/>
    <w:tmpl w:val="6596093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I1OWRhYmJhNWI2Y2JmMjljYjMxMDA3MmU1MTlkMTAifQ=="/>
  </w:docVars>
  <w:rsids>
    <w:rsidRoot w:val="001D2A78"/>
    <w:rsid w:val="00001AA3"/>
    <w:rsid w:val="00002419"/>
    <w:rsid w:val="000032A8"/>
    <w:rsid w:val="000038BE"/>
    <w:rsid w:val="00011704"/>
    <w:rsid w:val="000272CC"/>
    <w:rsid w:val="0005428C"/>
    <w:rsid w:val="00063143"/>
    <w:rsid w:val="00072792"/>
    <w:rsid w:val="000732B0"/>
    <w:rsid w:val="00076351"/>
    <w:rsid w:val="000B52BB"/>
    <w:rsid w:val="000B5571"/>
    <w:rsid w:val="000D417A"/>
    <w:rsid w:val="000F081B"/>
    <w:rsid w:val="00111C63"/>
    <w:rsid w:val="0011387C"/>
    <w:rsid w:val="00115190"/>
    <w:rsid w:val="00116FFF"/>
    <w:rsid w:val="00127CEC"/>
    <w:rsid w:val="0014002C"/>
    <w:rsid w:val="001713CB"/>
    <w:rsid w:val="001A1B60"/>
    <w:rsid w:val="001A598F"/>
    <w:rsid w:val="001B6E28"/>
    <w:rsid w:val="001D2A78"/>
    <w:rsid w:val="001E7306"/>
    <w:rsid w:val="001F380D"/>
    <w:rsid w:val="0021342B"/>
    <w:rsid w:val="0022050D"/>
    <w:rsid w:val="00225861"/>
    <w:rsid w:val="00230E70"/>
    <w:rsid w:val="00244CD5"/>
    <w:rsid w:val="002624CF"/>
    <w:rsid w:val="00265AE5"/>
    <w:rsid w:val="00281E6D"/>
    <w:rsid w:val="002932AF"/>
    <w:rsid w:val="002A6525"/>
    <w:rsid w:val="002B0484"/>
    <w:rsid w:val="002B5637"/>
    <w:rsid w:val="002B7FA2"/>
    <w:rsid w:val="002C3161"/>
    <w:rsid w:val="002C5EF8"/>
    <w:rsid w:val="002D0DED"/>
    <w:rsid w:val="002D6707"/>
    <w:rsid w:val="003101C5"/>
    <w:rsid w:val="0031224E"/>
    <w:rsid w:val="00314E13"/>
    <w:rsid w:val="00320B9F"/>
    <w:rsid w:val="0032333A"/>
    <w:rsid w:val="00323EF8"/>
    <w:rsid w:val="00340782"/>
    <w:rsid w:val="00364B69"/>
    <w:rsid w:val="003940D0"/>
    <w:rsid w:val="003A4CD0"/>
    <w:rsid w:val="003A5F85"/>
    <w:rsid w:val="003A6BD3"/>
    <w:rsid w:val="003A71F0"/>
    <w:rsid w:val="003B6249"/>
    <w:rsid w:val="003B6836"/>
    <w:rsid w:val="003C0BD1"/>
    <w:rsid w:val="003C6A87"/>
    <w:rsid w:val="003C6CF5"/>
    <w:rsid w:val="003D1F01"/>
    <w:rsid w:val="003E4AF0"/>
    <w:rsid w:val="00402D10"/>
    <w:rsid w:val="0043482B"/>
    <w:rsid w:val="00435CD7"/>
    <w:rsid w:val="00436D83"/>
    <w:rsid w:val="0045058C"/>
    <w:rsid w:val="00454729"/>
    <w:rsid w:val="00462D3A"/>
    <w:rsid w:val="00464139"/>
    <w:rsid w:val="004676BE"/>
    <w:rsid w:val="00485AE7"/>
    <w:rsid w:val="004906B4"/>
    <w:rsid w:val="00491665"/>
    <w:rsid w:val="004C7567"/>
    <w:rsid w:val="004D2C98"/>
    <w:rsid w:val="004D5558"/>
    <w:rsid w:val="004D76AA"/>
    <w:rsid w:val="004F0D91"/>
    <w:rsid w:val="004F1AE3"/>
    <w:rsid w:val="004F31EB"/>
    <w:rsid w:val="004F74E8"/>
    <w:rsid w:val="00503A29"/>
    <w:rsid w:val="00511F37"/>
    <w:rsid w:val="00547111"/>
    <w:rsid w:val="00584F1B"/>
    <w:rsid w:val="00586C47"/>
    <w:rsid w:val="0059294E"/>
    <w:rsid w:val="005943AD"/>
    <w:rsid w:val="005C1D7D"/>
    <w:rsid w:val="005D2CB3"/>
    <w:rsid w:val="00617546"/>
    <w:rsid w:val="00655BA6"/>
    <w:rsid w:val="00655D8A"/>
    <w:rsid w:val="006576B8"/>
    <w:rsid w:val="006768B9"/>
    <w:rsid w:val="006A427C"/>
    <w:rsid w:val="006B4100"/>
    <w:rsid w:val="006E72B3"/>
    <w:rsid w:val="00701FFF"/>
    <w:rsid w:val="0070201D"/>
    <w:rsid w:val="00703868"/>
    <w:rsid w:val="00706336"/>
    <w:rsid w:val="007302C2"/>
    <w:rsid w:val="00736271"/>
    <w:rsid w:val="007465D3"/>
    <w:rsid w:val="007578B5"/>
    <w:rsid w:val="00762BE4"/>
    <w:rsid w:val="00763060"/>
    <w:rsid w:val="0078217F"/>
    <w:rsid w:val="0078778E"/>
    <w:rsid w:val="0079595E"/>
    <w:rsid w:val="00796B07"/>
    <w:rsid w:val="007A1904"/>
    <w:rsid w:val="007A1F76"/>
    <w:rsid w:val="007B045B"/>
    <w:rsid w:val="007C3B23"/>
    <w:rsid w:val="007D0FAD"/>
    <w:rsid w:val="007E73CE"/>
    <w:rsid w:val="007F24A7"/>
    <w:rsid w:val="007F4B17"/>
    <w:rsid w:val="008002CD"/>
    <w:rsid w:val="00802BB2"/>
    <w:rsid w:val="00804447"/>
    <w:rsid w:val="00816C13"/>
    <w:rsid w:val="00820E76"/>
    <w:rsid w:val="00827D22"/>
    <w:rsid w:val="0083231F"/>
    <w:rsid w:val="00846411"/>
    <w:rsid w:val="00853E60"/>
    <w:rsid w:val="00857094"/>
    <w:rsid w:val="00860E12"/>
    <w:rsid w:val="008A26F0"/>
    <w:rsid w:val="008B0038"/>
    <w:rsid w:val="008B17DE"/>
    <w:rsid w:val="008B621B"/>
    <w:rsid w:val="008D113E"/>
    <w:rsid w:val="008D7D71"/>
    <w:rsid w:val="008E5072"/>
    <w:rsid w:val="008F0545"/>
    <w:rsid w:val="008F0EA9"/>
    <w:rsid w:val="0090137F"/>
    <w:rsid w:val="00906DBC"/>
    <w:rsid w:val="00944233"/>
    <w:rsid w:val="0095405E"/>
    <w:rsid w:val="009675EA"/>
    <w:rsid w:val="009809B1"/>
    <w:rsid w:val="009949AE"/>
    <w:rsid w:val="009A1A5E"/>
    <w:rsid w:val="009A5AD2"/>
    <w:rsid w:val="009A7297"/>
    <w:rsid w:val="009A7390"/>
    <w:rsid w:val="009B2AC1"/>
    <w:rsid w:val="009C33F5"/>
    <w:rsid w:val="009C511A"/>
    <w:rsid w:val="009C5D04"/>
    <w:rsid w:val="009D7737"/>
    <w:rsid w:val="009D7802"/>
    <w:rsid w:val="00A259EB"/>
    <w:rsid w:val="00A3073C"/>
    <w:rsid w:val="00A30A85"/>
    <w:rsid w:val="00A31BDC"/>
    <w:rsid w:val="00A507D2"/>
    <w:rsid w:val="00A53F90"/>
    <w:rsid w:val="00A93E59"/>
    <w:rsid w:val="00A96F32"/>
    <w:rsid w:val="00AA5367"/>
    <w:rsid w:val="00AD30F3"/>
    <w:rsid w:val="00AD5004"/>
    <w:rsid w:val="00AE1AF3"/>
    <w:rsid w:val="00AE5D7D"/>
    <w:rsid w:val="00AF2953"/>
    <w:rsid w:val="00AF2ABF"/>
    <w:rsid w:val="00AF771D"/>
    <w:rsid w:val="00B3663C"/>
    <w:rsid w:val="00B64084"/>
    <w:rsid w:val="00B73854"/>
    <w:rsid w:val="00B826F4"/>
    <w:rsid w:val="00B87332"/>
    <w:rsid w:val="00B91F36"/>
    <w:rsid w:val="00BA1D3C"/>
    <w:rsid w:val="00BA58D1"/>
    <w:rsid w:val="00BB1AF1"/>
    <w:rsid w:val="00BB1C1F"/>
    <w:rsid w:val="00BB2293"/>
    <w:rsid w:val="00BC306B"/>
    <w:rsid w:val="00BC5116"/>
    <w:rsid w:val="00BE414A"/>
    <w:rsid w:val="00BF1BD1"/>
    <w:rsid w:val="00BF7579"/>
    <w:rsid w:val="00C2250C"/>
    <w:rsid w:val="00C326FD"/>
    <w:rsid w:val="00C3569D"/>
    <w:rsid w:val="00C43F6D"/>
    <w:rsid w:val="00C456A2"/>
    <w:rsid w:val="00C67A9F"/>
    <w:rsid w:val="00C76FD1"/>
    <w:rsid w:val="00C807CE"/>
    <w:rsid w:val="00C80D08"/>
    <w:rsid w:val="00CA1558"/>
    <w:rsid w:val="00CA2251"/>
    <w:rsid w:val="00CA3F80"/>
    <w:rsid w:val="00CA5C55"/>
    <w:rsid w:val="00CB0631"/>
    <w:rsid w:val="00CB2101"/>
    <w:rsid w:val="00CC2F0B"/>
    <w:rsid w:val="00CC7516"/>
    <w:rsid w:val="00CE1C1B"/>
    <w:rsid w:val="00CF094B"/>
    <w:rsid w:val="00CF416A"/>
    <w:rsid w:val="00CF6895"/>
    <w:rsid w:val="00D15F90"/>
    <w:rsid w:val="00D16448"/>
    <w:rsid w:val="00D335A4"/>
    <w:rsid w:val="00D37FD8"/>
    <w:rsid w:val="00D53E10"/>
    <w:rsid w:val="00D572F2"/>
    <w:rsid w:val="00D679D3"/>
    <w:rsid w:val="00D809D1"/>
    <w:rsid w:val="00D91827"/>
    <w:rsid w:val="00DB370B"/>
    <w:rsid w:val="00DD4F86"/>
    <w:rsid w:val="00E00980"/>
    <w:rsid w:val="00E15355"/>
    <w:rsid w:val="00E176FB"/>
    <w:rsid w:val="00E320EA"/>
    <w:rsid w:val="00E32449"/>
    <w:rsid w:val="00E35852"/>
    <w:rsid w:val="00E44E28"/>
    <w:rsid w:val="00EB2011"/>
    <w:rsid w:val="00EB2469"/>
    <w:rsid w:val="00EB2739"/>
    <w:rsid w:val="00EB79D9"/>
    <w:rsid w:val="00EC533B"/>
    <w:rsid w:val="00ED3E09"/>
    <w:rsid w:val="00EE267D"/>
    <w:rsid w:val="00EF7B53"/>
    <w:rsid w:val="00F0654E"/>
    <w:rsid w:val="00F3146A"/>
    <w:rsid w:val="00F339E5"/>
    <w:rsid w:val="00F47AF2"/>
    <w:rsid w:val="00F65F49"/>
    <w:rsid w:val="00F67399"/>
    <w:rsid w:val="00F67489"/>
    <w:rsid w:val="00F823C2"/>
    <w:rsid w:val="00F90487"/>
    <w:rsid w:val="00F947B3"/>
    <w:rsid w:val="00FA6045"/>
    <w:rsid w:val="00FC1492"/>
    <w:rsid w:val="00FC22C4"/>
    <w:rsid w:val="00FD140D"/>
    <w:rsid w:val="00FF0C49"/>
    <w:rsid w:val="0A6D18E6"/>
    <w:rsid w:val="0CD805FA"/>
    <w:rsid w:val="0E626D57"/>
    <w:rsid w:val="11C23779"/>
    <w:rsid w:val="171A2FBE"/>
    <w:rsid w:val="22AB02AF"/>
    <w:rsid w:val="22F8522B"/>
    <w:rsid w:val="28295DAD"/>
    <w:rsid w:val="2863731C"/>
    <w:rsid w:val="2F0B1ECC"/>
    <w:rsid w:val="335512A2"/>
    <w:rsid w:val="33820193"/>
    <w:rsid w:val="346F5EF3"/>
    <w:rsid w:val="3D5858EC"/>
    <w:rsid w:val="3E94330A"/>
    <w:rsid w:val="3F363A9A"/>
    <w:rsid w:val="3F6F1937"/>
    <w:rsid w:val="41970E0B"/>
    <w:rsid w:val="42A969CC"/>
    <w:rsid w:val="43F95498"/>
    <w:rsid w:val="447910C8"/>
    <w:rsid w:val="4B334F3B"/>
    <w:rsid w:val="4BE94870"/>
    <w:rsid w:val="4D995158"/>
    <w:rsid w:val="4DB05DE3"/>
    <w:rsid w:val="618E3D3B"/>
    <w:rsid w:val="6555162E"/>
    <w:rsid w:val="670533FF"/>
    <w:rsid w:val="6A886595"/>
    <w:rsid w:val="6ACE521E"/>
    <w:rsid w:val="6BC36A4B"/>
    <w:rsid w:val="6C61477D"/>
    <w:rsid w:val="74E071A7"/>
    <w:rsid w:val="79713A29"/>
    <w:rsid w:val="7A686F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sz w:val="30"/>
      <w:szCs w:val="30"/>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4"/>
    <w:semiHidden/>
    <w:unhideWhenUsed/>
    <w:qFormat/>
    <w:uiPriority w:val="1"/>
    <w:pPr>
      <w:autoSpaceDE w:val="0"/>
      <w:autoSpaceDN w:val="0"/>
      <w:jc w:val="left"/>
    </w:pPr>
    <w:rPr>
      <w:rFonts w:ascii="仿宋" w:hAnsi="仿宋" w:eastAsia="仿宋" w:cs="仿宋"/>
      <w:kern w:val="0"/>
      <w:sz w:val="28"/>
      <w:szCs w:val="28"/>
      <w:lang w:val="zh-CN" w:bidi="zh-CN"/>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rPr>
  </w:style>
  <w:style w:type="paragraph" w:styleId="14">
    <w:name w:val="List Paragraph"/>
    <w:basedOn w:val="1"/>
    <w:qFormat/>
    <w:uiPriority w:val="34"/>
    <w:pPr>
      <w:ind w:firstLine="420" w:firstLineChars="200"/>
    </w:p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批注框文本 Char"/>
    <w:basedOn w:val="12"/>
    <w:link w:val="5"/>
    <w:semiHidden/>
    <w:qFormat/>
    <w:uiPriority w:val="99"/>
    <w:rPr>
      <w:sz w:val="18"/>
      <w:szCs w:val="18"/>
    </w:rPr>
  </w:style>
  <w:style w:type="character" w:customStyle="1" w:styleId="18">
    <w:name w:val="标题 1 Char"/>
    <w:basedOn w:val="12"/>
    <w:link w:val="2"/>
    <w:qFormat/>
    <w:uiPriority w:val="9"/>
    <w:rPr>
      <w:b/>
      <w:kern w:val="2"/>
      <w:sz w:val="30"/>
      <w:szCs w:val="30"/>
    </w:rPr>
  </w:style>
  <w:style w:type="character" w:customStyle="1" w:styleId="19">
    <w:name w:val="标题 2 Char"/>
    <w:basedOn w:val="12"/>
    <w:link w:val="3"/>
    <w:qFormat/>
    <w:uiPriority w:val="9"/>
    <w:rPr>
      <w:rFonts w:asciiTheme="majorHAnsi" w:hAnsiTheme="majorHAnsi" w:eastAsiaTheme="majorEastAsia" w:cstheme="majorBidi"/>
      <w:b/>
      <w:bCs/>
      <w:sz w:val="32"/>
      <w:szCs w:val="32"/>
    </w:rPr>
  </w:style>
  <w:style w:type="paragraph" w:customStyle="1" w:styleId="20">
    <w:name w:val="Table Paragraph"/>
    <w:basedOn w:val="1"/>
    <w:qFormat/>
    <w:uiPriority w:val="1"/>
    <w:pPr>
      <w:autoSpaceDE w:val="0"/>
      <w:autoSpaceDN w:val="0"/>
      <w:jc w:val="left"/>
    </w:pPr>
    <w:rPr>
      <w:rFonts w:ascii="仿宋" w:hAnsi="仿宋" w:eastAsia="仿宋" w:cs="仿宋"/>
      <w:kern w:val="0"/>
      <w:sz w:val="22"/>
      <w:lang w:val="zh-CN" w:bidi="zh-CN"/>
    </w:rPr>
  </w:style>
  <w:style w:type="table" w:customStyle="1" w:styleId="21">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2">
    <w:name w:val="Table Normal1"/>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23">
    <w:name w:val="Table Normal2"/>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character" w:customStyle="1" w:styleId="24">
    <w:name w:val="正文文本 Char"/>
    <w:basedOn w:val="12"/>
    <w:link w:val="4"/>
    <w:semiHidden/>
    <w:qFormat/>
    <w:uiPriority w:val="1"/>
    <w:rPr>
      <w:rFonts w:ascii="仿宋" w:hAnsi="仿宋" w:eastAsia="仿宋" w:cs="仿宋"/>
      <w:sz w:val="28"/>
      <w:szCs w:val="28"/>
      <w:lang w:val="zh-CN" w:bidi="zh-CN"/>
    </w:rPr>
  </w:style>
  <w:style w:type="paragraph" w:customStyle="1" w:styleId="25">
    <w:name w:val="标题3"/>
    <w:basedOn w:val="1"/>
    <w:link w:val="26"/>
    <w:qFormat/>
    <w:uiPriority w:val="0"/>
    <w:pPr>
      <w:spacing w:line="360" w:lineRule="auto"/>
      <w:outlineLvl w:val="2"/>
    </w:pPr>
    <w:rPr>
      <w:rFonts w:ascii="仿宋" w:hAnsi="仿宋" w:eastAsia="仿宋"/>
      <w:b/>
      <w:kern w:val="0"/>
      <w:sz w:val="30"/>
      <w:szCs w:val="28"/>
    </w:rPr>
  </w:style>
  <w:style w:type="character" w:customStyle="1" w:styleId="26">
    <w:name w:val="标题3 Char"/>
    <w:link w:val="25"/>
    <w:qFormat/>
    <w:uiPriority w:val="0"/>
    <w:rPr>
      <w:rFonts w:ascii="仿宋" w:hAnsi="仿宋" w:eastAsia="仿宋"/>
      <w:b/>
      <w:sz w:val="30"/>
      <w:szCs w:val="28"/>
    </w:rPr>
  </w:style>
  <w:style w:type="paragraph" w:customStyle="1" w:styleId="27">
    <w:name w:val="图表标注"/>
    <w:basedOn w:val="1"/>
    <w:link w:val="28"/>
    <w:qFormat/>
    <w:uiPriority w:val="0"/>
    <w:pPr>
      <w:jc w:val="center"/>
    </w:pPr>
    <w:rPr>
      <w:rFonts w:ascii="仿宋" w:hAnsi="仿宋" w:eastAsia="仿宋"/>
      <w:b/>
      <w:kern w:val="0"/>
      <w:szCs w:val="24"/>
    </w:rPr>
  </w:style>
  <w:style w:type="character" w:customStyle="1" w:styleId="28">
    <w:name w:val="图表标注 Char"/>
    <w:link w:val="27"/>
    <w:qFormat/>
    <w:uiPriority w:val="0"/>
    <w:rPr>
      <w:rFonts w:ascii="仿宋" w:hAnsi="仿宋" w:eastAsia="仿宋"/>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image" Target="file:///C:\Users\Administrator\Documents\Tencent%252525252525252520Files\953369346\Image\C2C\%2525252525252525259IYW3%25252525252525257d40BV%2525252525252525606PQ%25252525252525257d0E6%252525252525252525HTJ.jp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F24EF-9597-4667-8B80-DB4250DA887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10408</Words>
  <Characters>10875</Characters>
  <Lines>94</Lines>
  <Paragraphs>26</Paragraphs>
  <TotalTime>479</TotalTime>
  <ScaleCrop>false</ScaleCrop>
  <LinksUpToDate>false</LinksUpToDate>
  <CharactersWithSpaces>11165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2021-10-19T07:22:00Z</dcterms:created>
  <dc:creator>国咨项目管理有限公司:田飞</dc:creator>
  <cp:lastModifiedBy>Administrator</cp:lastModifiedBy>
  <cp:lastPrinted>2022-12-12T06:46:00Z</cp:lastPrinted>
  <dcterms:modified xsi:type="dcterms:W3CDTF">2023-01-13T13:57:01Z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17B24352D39D4B6B8793AF9A300E1918</vt:lpwstr>
  </property>
</Properties>
</file>