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b/>
          <w:sz w:val="44"/>
          <w:szCs w:val="44"/>
        </w:rPr>
      </w:pPr>
    </w:p>
    <w:p>
      <w:pPr>
        <w:jc w:val="center"/>
        <w:rPr>
          <w:rFonts w:asciiTheme="majorEastAsia" w:hAnsiTheme="majorEastAsia" w:eastAsiaTheme="majorEastAsia"/>
          <w:b/>
          <w:sz w:val="52"/>
          <w:szCs w:val="52"/>
        </w:rPr>
      </w:pPr>
      <w:r>
        <w:rPr>
          <w:rFonts w:hint="eastAsia" w:asciiTheme="majorEastAsia" w:hAnsiTheme="majorEastAsia" w:eastAsiaTheme="majorEastAsia"/>
          <w:b/>
          <w:sz w:val="52"/>
          <w:szCs w:val="52"/>
        </w:rPr>
        <w:t>黄河流域历史遗留废弃矿山治理</w:t>
      </w:r>
    </w:p>
    <w:p>
      <w:pPr>
        <w:jc w:val="center"/>
        <w:rPr>
          <w:rFonts w:asciiTheme="majorEastAsia" w:hAnsiTheme="majorEastAsia" w:eastAsiaTheme="majorEastAsia"/>
          <w:b/>
          <w:sz w:val="52"/>
          <w:szCs w:val="52"/>
        </w:rPr>
      </w:pPr>
      <w:r>
        <w:rPr>
          <w:rFonts w:hint="eastAsia" w:asciiTheme="majorEastAsia" w:hAnsiTheme="majorEastAsia" w:eastAsiaTheme="majorEastAsia"/>
          <w:b/>
          <w:sz w:val="52"/>
          <w:szCs w:val="52"/>
        </w:rPr>
        <w:t>项目绩效评价报告</w:t>
      </w:r>
    </w:p>
    <w:p>
      <w:pPr>
        <w:jc w:val="center"/>
        <w:rPr>
          <w:rFonts w:ascii="黑体" w:hAnsi="黑体" w:eastAsia="黑体"/>
          <w:b/>
          <w:sz w:val="44"/>
          <w:szCs w:val="44"/>
        </w:rPr>
      </w:pPr>
    </w:p>
    <w:p>
      <w:pPr>
        <w:rPr>
          <w:rFonts w:ascii="黑体" w:hAnsi="黑体" w:eastAsia="黑体"/>
          <w:b/>
          <w:sz w:val="44"/>
          <w:szCs w:val="44"/>
        </w:rPr>
      </w:pPr>
    </w:p>
    <w:p>
      <w:pPr>
        <w:jc w:val="center"/>
        <w:rPr>
          <w:rFonts w:ascii="黑体" w:hAnsi="黑体" w:eastAsia="黑体"/>
          <w:b/>
          <w:sz w:val="44"/>
          <w:szCs w:val="44"/>
        </w:rPr>
      </w:pPr>
    </w:p>
    <w:p>
      <w:pPr>
        <w:jc w:val="center"/>
        <w:rPr>
          <w:rFonts w:ascii="黑体" w:hAnsi="黑体" w:eastAsia="黑体"/>
          <w:b/>
          <w:sz w:val="44"/>
          <w:szCs w:val="44"/>
        </w:rPr>
      </w:pPr>
    </w:p>
    <w:p>
      <w:pPr>
        <w:jc w:val="center"/>
        <w:rPr>
          <w:rFonts w:ascii="黑体" w:hAnsi="黑体" w:eastAsia="黑体"/>
          <w:b/>
          <w:sz w:val="44"/>
          <w:szCs w:val="44"/>
        </w:rPr>
      </w:pPr>
      <w:r>
        <w:rPr>
          <w:rFonts w:ascii="宋体" w:hAnsi="宋体" w:cs="新宋体"/>
          <w:kern w:val="0"/>
          <w:sz w:val="24"/>
        </w:rPr>
        <w:drawing>
          <wp:inline distT="0" distB="0" distL="0" distR="0">
            <wp:extent cx="2400300" cy="24003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a:xfrm>
                      <a:off x="0" y="0"/>
                      <a:ext cx="2400300" cy="2400300"/>
                    </a:xfrm>
                    <a:prstGeom prst="rect">
                      <a:avLst/>
                    </a:prstGeom>
                    <a:noFill/>
                    <a:ln>
                      <a:noFill/>
                    </a:ln>
                  </pic:spPr>
                </pic:pic>
              </a:graphicData>
            </a:graphic>
          </wp:inline>
        </w:drawing>
      </w:r>
    </w:p>
    <w:p>
      <w:pPr>
        <w:jc w:val="center"/>
        <w:rPr>
          <w:rFonts w:ascii="黑体" w:hAnsi="黑体" w:eastAsia="黑体"/>
          <w:b/>
          <w:sz w:val="44"/>
          <w:szCs w:val="44"/>
        </w:rPr>
      </w:pPr>
    </w:p>
    <w:p>
      <w:pPr>
        <w:jc w:val="center"/>
        <w:rPr>
          <w:rFonts w:ascii="黑体" w:hAnsi="黑体" w:eastAsia="黑体"/>
          <w:b/>
          <w:sz w:val="44"/>
          <w:szCs w:val="44"/>
        </w:rPr>
      </w:pPr>
    </w:p>
    <w:p>
      <w:pPr>
        <w:jc w:val="center"/>
        <w:rPr>
          <w:rFonts w:ascii="黑体" w:hAnsi="黑体" w:eastAsia="黑体"/>
          <w:b/>
          <w:sz w:val="44"/>
          <w:szCs w:val="44"/>
        </w:rPr>
      </w:pPr>
    </w:p>
    <w:p>
      <w:pPr>
        <w:rPr>
          <w:rFonts w:ascii="黑体" w:hAnsi="黑体" w:eastAsia="黑体"/>
          <w:b/>
          <w:sz w:val="44"/>
          <w:szCs w:val="44"/>
        </w:rPr>
      </w:pPr>
    </w:p>
    <w:p>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评价机构：国咨项目管理有限公司</w:t>
      </w:r>
    </w:p>
    <w:p>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日期：2022年12月09日</w:t>
      </w:r>
    </w:p>
    <w:p>
      <w:pPr>
        <w:jc w:val="center"/>
        <w:rPr>
          <w:rFonts w:asciiTheme="majorEastAsia" w:hAnsiTheme="majorEastAsia" w:eastAsiaTheme="majorEastAsia"/>
          <w:b/>
          <w:sz w:val="36"/>
          <w:szCs w:val="36"/>
        </w:rPr>
      </w:pPr>
    </w:p>
    <w:p>
      <w:pPr>
        <w:jc w:val="center"/>
        <w:rPr>
          <w:rFonts w:asciiTheme="majorEastAsia" w:hAnsiTheme="majorEastAsia" w:eastAsiaTheme="majorEastAsia"/>
          <w:b/>
          <w:sz w:val="52"/>
          <w:szCs w:val="52"/>
        </w:rPr>
      </w:pPr>
      <w:r>
        <w:rPr>
          <w:rFonts w:hint="eastAsia" w:asciiTheme="majorEastAsia" w:hAnsiTheme="majorEastAsia" w:eastAsiaTheme="majorEastAsia"/>
          <w:b/>
          <w:sz w:val="52"/>
          <w:szCs w:val="52"/>
        </w:rPr>
        <w:t>黄河流域历史遗留废弃矿山治理</w:t>
      </w:r>
    </w:p>
    <w:p>
      <w:pPr>
        <w:jc w:val="center"/>
        <w:rPr>
          <w:rFonts w:asciiTheme="majorEastAsia" w:hAnsiTheme="majorEastAsia" w:eastAsiaTheme="majorEastAsia"/>
          <w:b/>
          <w:sz w:val="52"/>
          <w:szCs w:val="52"/>
        </w:rPr>
      </w:pPr>
      <w:r>
        <w:rPr>
          <w:rFonts w:hint="eastAsia" w:asciiTheme="majorEastAsia" w:hAnsiTheme="majorEastAsia" w:eastAsiaTheme="majorEastAsia"/>
          <w:b/>
          <w:sz w:val="52"/>
          <w:szCs w:val="52"/>
        </w:rPr>
        <w:t>项目绩效评价报告</w:t>
      </w:r>
    </w:p>
    <w:p>
      <w:pPr>
        <w:jc w:val="center"/>
        <w:rPr>
          <w:rFonts w:ascii="黑体" w:hAnsi="黑体" w:eastAsia="黑体"/>
          <w:b/>
          <w:sz w:val="44"/>
          <w:szCs w:val="44"/>
        </w:rPr>
      </w:pPr>
    </w:p>
    <w:p>
      <w:pPr>
        <w:rPr>
          <w:rFonts w:ascii="黑体" w:hAnsi="黑体" w:eastAsia="黑体"/>
          <w:b/>
          <w:sz w:val="44"/>
          <w:szCs w:val="44"/>
        </w:rPr>
      </w:pPr>
    </w:p>
    <w:p>
      <w:pPr>
        <w:spacing w:before="156" w:beforeLines="50" w:after="156" w:afterLines="50" w:line="360" w:lineRule="auto"/>
        <w:ind w:left="105" w:leftChars="50" w:right="105" w:rightChars="50"/>
        <w:jc w:val="center"/>
        <w:rPr>
          <w:rFonts w:ascii="仿宋" w:hAnsi="仿宋" w:eastAsia="仿宋"/>
          <w:sz w:val="36"/>
          <w:szCs w:val="36"/>
        </w:rPr>
      </w:pPr>
      <w:r>
        <w:rPr>
          <w:rFonts w:hint="eastAsia" w:ascii="仿宋" w:hAnsi="仿宋" w:eastAsia="仿宋"/>
          <w:sz w:val="36"/>
          <w:szCs w:val="36"/>
        </w:rPr>
        <w:t>绩效评价工作组  张迪  李雅莉</w:t>
      </w:r>
    </w:p>
    <w:p>
      <w:pPr>
        <w:spacing w:before="156" w:beforeLines="50" w:after="156" w:afterLines="50" w:line="360" w:lineRule="auto"/>
        <w:ind w:left="105" w:leftChars="50" w:right="105" w:rightChars="50"/>
        <w:jc w:val="center"/>
        <w:rPr>
          <w:rFonts w:ascii="仿宋" w:hAnsi="仿宋" w:eastAsia="仿宋"/>
          <w:sz w:val="36"/>
          <w:szCs w:val="36"/>
        </w:rPr>
      </w:pPr>
      <w:r>
        <w:rPr>
          <w:rFonts w:hint="eastAsia" w:ascii="仿宋" w:hAnsi="仿宋" w:eastAsia="仿宋"/>
          <w:sz w:val="36"/>
          <w:szCs w:val="36"/>
        </w:rPr>
        <w:t xml:space="preserve">                张颖  谢吉波</w:t>
      </w:r>
    </w:p>
    <w:p>
      <w:pPr>
        <w:spacing w:before="156" w:beforeLines="50" w:after="156" w:afterLines="50" w:line="360" w:lineRule="auto"/>
        <w:ind w:left="105" w:leftChars="50" w:right="105" w:rightChars="50" w:firstLine="4320" w:firstLineChars="1200"/>
        <w:rPr>
          <w:rFonts w:ascii="仿宋" w:hAnsi="仿宋" w:eastAsia="仿宋"/>
          <w:sz w:val="36"/>
          <w:szCs w:val="36"/>
        </w:rPr>
      </w:pPr>
      <w:r>
        <w:rPr>
          <w:rFonts w:hint="eastAsia" w:ascii="仿宋" w:hAnsi="仿宋" w:eastAsia="仿宋"/>
          <w:sz w:val="36"/>
          <w:szCs w:val="36"/>
        </w:rPr>
        <w:t>冉若男</w:t>
      </w:r>
    </w:p>
    <w:p>
      <w:pPr>
        <w:spacing w:before="156" w:beforeLines="50" w:after="156" w:afterLines="50" w:line="360" w:lineRule="auto"/>
        <w:ind w:right="105" w:rightChars="50" w:firstLine="1620" w:firstLineChars="450"/>
        <w:rPr>
          <w:rFonts w:ascii="仿宋" w:hAnsi="仿宋" w:eastAsia="仿宋"/>
          <w:sz w:val="36"/>
          <w:szCs w:val="36"/>
        </w:rPr>
      </w:pPr>
      <w:r>
        <w:rPr>
          <w:rFonts w:hint="eastAsia" w:ascii="仿宋" w:hAnsi="仿宋" w:eastAsia="仿宋"/>
          <w:sz w:val="36"/>
          <w:szCs w:val="36"/>
        </w:rPr>
        <w:t>绩效评价专家组  杨林森  注册会计师</w:t>
      </w:r>
    </w:p>
    <w:p>
      <w:pPr>
        <w:spacing w:before="156" w:beforeLines="50" w:after="156" w:afterLines="50" w:line="360" w:lineRule="auto"/>
        <w:ind w:left="105" w:leftChars="50" w:right="105" w:rightChars="50"/>
        <w:jc w:val="center"/>
        <w:rPr>
          <w:rFonts w:ascii="仿宋" w:hAnsi="仿宋" w:eastAsia="仿宋"/>
          <w:sz w:val="36"/>
          <w:szCs w:val="36"/>
        </w:rPr>
      </w:pPr>
      <w:r>
        <w:rPr>
          <w:rFonts w:hint="eastAsia" w:ascii="仿宋" w:hAnsi="仿宋" w:eastAsia="仿宋"/>
          <w:sz w:val="36"/>
          <w:szCs w:val="36"/>
        </w:rPr>
        <w:t xml:space="preserve">                      曹毅    高级工程师               </w:t>
      </w:r>
    </w:p>
    <w:p>
      <w:pPr>
        <w:spacing w:before="156" w:beforeLines="50" w:after="156" w:afterLines="50" w:line="360" w:lineRule="auto"/>
        <w:ind w:left="105" w:leftChars="50" w:right="105" w:rightChars="50"/>
        <w:jc w:val="center"/>
        <w:rPr>
          <w:rFonts w:ascii="仿宋" w:hAnsi="仿宋" w:eastAsia="仿宋"/>
          <w:sz w:val="36"/>
          <w:szCs w:val="36"/>
        </w:rPr>
      </w:pPr>
      <w:r>
        <w:rPr>
          <w:rFonts w:hint="eastAsia" w:ascii="仿宋" w:hAnsi="仿宋" w:eastAsia="仿宋"/>
          <w:sz w:val="36"/>
          <w:szCs w:val="36"/>
        </w:rPr>
        <w:t xml:space="preserve">                      汪淑华  高级工程师</w:t>
      </w:r>
    </w:p>
    <w:p>
      <w:pPr>
        <w:spacing w:before="156" w:beforeLines="50" w:after="156" w:afterLines="50" w:line="360" w:lineRule="auto"/>
        <w:ind w:left="105" w:leftChars="50" w:right="105" w:rightChars="50"/>
        <w:jc w:val="center"/>
        <w:rPr>
          <w:rFonts w:hint="eastAsia" w:ascii="仿宋" w:hAnsi="仿宋" w:eastAsia="仿宋"/>
          <w:sz w:val="36"/>
          <w:szCs w:val="36"/>
          <w:lang w:val="en-US" w:eastAsia="zh-CN"/>
        </w:rPr>
      </w:pPr>
      <w:r>
        <w:rPr>
          <w:rFonts w:hint="eastAsia" w:ascii="仿宋" w:hAnsi="仿宋" w:eastAsia="仿宋"/>
          <w:sz w:val="36"/>
          <w:szCs w:val="36"/>
        </w:rPr>
        <w:t xml:space="preserve">   </w:t>
      </w:r>
      <w:r>
        <w:rPr>
          <w:rFonts w:hint="eastAsia" w:ascii="仿宋" w:hAnsi="仿宋" w:eastAsia="仿宋"/>
          <w:sz w:val="36"/>
          <w:szCs w:val="36"/>
          <w:lang w:val="en-US" w:eastAsia="zh-CN"/>
        </w:rPr>
        <w:t xml:space="preserve">                    </w:t>
      </w:r>
      <w:r>
        <w:rPr>
          <w:rFonts w:hint="eastAsia" w:ascii="仿宋" w:hAnsi="仿宋" w:eastAsia="仿宋"/>
          <w:sz w:val="36"/>
          <w:szCs w:val="36"/>
        </w:rPr>
        <w:t xml:space="preserve">韩江波  </w:t>
      </w:r>
      <w:r>
        <w:rPr>
          <w:rFonts w:hint="eastAsia" w:ascii="仿宋" w:hAnsi="仿宋" w:eastAsia="仿宋"/>
          <w:sz w:val="36"/>
          <w:szCs w:val="36"/>
          <w:lang w:val="en-US" w:eastAsia="zh-CN"/>
        </w:rPr>
        <w:t xml:space="preserve"> 高级工程师</w:t>
      </w:r>
    </w:p>
    <w:p>
      <w:pPr>
        <w:spacing w:before="156" w:beforeLines="50" w:after="156" w:afterLines="50" w:line="360" w:lineRule="auto"/>
        <w:ind w:left="105" w:leftChars="50" w:right="105" w:rightChars="50"/>
        <w:jc w:val="center"/>
        <w:rPr>
          <w:rFonts w:ascii="仿宋" w:hAnsi="仿宋" w:eastAsia="仿宋"/>
          <w:sz w:val="36"/>
          <w:szCs w:val="36"/>
        </w:rPr>
      </w:pPr>
      <w:r>
        <w:rPr>
          <w:rFonts w:hint="eastAsia" w:ascii="仿宋" w:hAnsi="仿宋" w:eastAsia="仿宋"/>
          <w:sz w:val="36"/>
          <w:szCs w:val="36"/>
          <w:lang w:val="en-US" w:eastAsia="zh-CN"/>
        </w:rPr>
        <w:t xml:space="preserve">                 刘振青  律师</w:t>
      </w:r>
      <w:r>
        <w:rPr>
          <w:rFonts w:hint="eastAsia" w:ascii="仿宋" w:hAnsi="仿宋" w:eastAsia="仿宋"/>
          <w:sz w:val="36"/>
          <w:szCs w:val="36"/>
        </w:rPr>
        <w:t xml:space="preserve">            </w:t>
      </w:r>
    </w:p>
    <w:p>
      <w:pPr>
        <w:spacing w:before="156" w:beforeLines="50" w:after="156" w:afterLines="50" w:line="360" w:lineRule="auto"/>
        <w:ind w:left="105" w:leftChars="50" w:right="105" w:rightChars="50" w:firstLine="3060" w:firstLineChars="850"/>
        <w:rPr>
          <w:rFonts w:ascii="仿宋" w:hAnsi="仿宋" w:eastAsia="仿宋"/>
          <w:sz w:val="36"/>
          <w:szCs w:val="36"/>
        </w:rPr>
      </w:pPr>
      <w:r>
        <w:rPr>
          <w:rFonts w:hint="eastAsia" w:ascii="仿宋" w:hAnsi="仿宋" w:eastAsia="仿宋"/>
          <w:sz w:val="36"/>
          <w:szCs w:val="36"/>
        </w:rPr>
        <w:t>编制人  张颖</w:t>
      </w:r>
    </w:p>
    <w:p>
      <w:pPr>
        <w:spacing w:before="156" w:beforeLines="50" w:after="156" w:afterLines="50" w:line="360" w:lineRule="auto"/>
        <w:ind w:left="105" w:leftChars="50" w:right="105" w:rightChars="50" w:firstLine="3060" w:firstLineChars="850"/>
        <w:rPr>
          <w:rFonts w:ascii="仿宋" w:hAnsi="仿宋" w:eastAsia="仿宋"/>
          <w:sz w:val="36"/>
          <w:szCs w:val="36"/>
        </w:rPr>
      </w:pPr>
      <w:r>
        <w:rPr>
          <w:rFonts w:hint="eastAsia" w:ascii="仿宋" w:hAnsi="仿宋" w:eastAsia="仿宋"/>
          <w:sz w:val="36"/>
          <w:szCs w:val="36"/>
        </w:rPr>
        <w:t>审核人  张迪</w:t>
      </w:r>
    </w:p>
    <w:p>
      <w:pPr>
        <w:spacing w:before="156" w:beforeLines="50" w:after="156" w:afterLines="50" w:line="360" w:lineRule="auto"/>
        <w:ind w:left="105" w:leftChars="50" w:right="105" w:rightChars="50"/>
        <w:jc w:val="center"/>
        <w:rPr>
          <w:rFonts w:ascii="黑体" w:hAnsi="黑体" w:eastAsia="黑体"/>
          <w:b/>
          <w:sz w:val="44"/>
          <w:szCs w:val="44"/>
        </w:rPr>
      </w:pPr>
    </w:p>
    <w:p>
      <w:pPr>
        <w:rPr>
          <w:rFonts w:ascii="黑体" w:hAnsi="黑体" w:eastAsia="黑体"/>
          <w:b/>
          <w:sz w:val="44"/>
          <w:szCs w:val="44"/>
        </w:rPr>
      </w:pPr>
    </w:p>
    <w:p>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评价机构：国咨项目管理有限公司</w:t>
      </w:r>
    </w:p>
    <w:p>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日期：2021年12月09日</w:t>
      </w:r>
    </w:p>
    <w:p>
      <w:pPr>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drawing>
          <wp:inline distT="0" distB="0" distL="0" distR="0">
            <wp:extent cx="5274310" cy="745871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7458741"/>
                    </a:xfrm>
                    <a:prstGeom prst="rect">
                      <a:avLst/>
                    </a:prstGeom>
                    <a:noFill/>
                    <a:ln>
                      <a:noFill/>
                    </a:ln>
                  </pic:spPr>
                </pic:pic>
              </a:graphicData>
            </a:graphic>
          </wp:inline>
        </w:drawing>
      </w: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摘  要</w:t>
      </w:r>
    </w:p>
    <w:p>
      <w:pPr>
        <w:spacing w:before="156" w:beforeLines="50" w:after="156" w:afterLines="50" w:line="360" w:lineRule="auto"/>
        <w:ind w:left="105" w:leftChars="50" w:right="105" w:rightChars="50" w:firstLine="600" w:firstLineChars="200"/>
        <w:jc w:val="left"/>
        <w:rPr>
          <w:rFonts w:asciiTheme="minorEastAsia" w:hAnsiTheme="minorEastAsia"/>
          <w:sz w:val="30"/>
          <w:szCs w:val="30"/>
        </w:rPr>
      </w:pPr>
      <w:r>
        <w:rPr>
          <w:rFonts w:hint="eastAsia" w:asciiTheme="minorEastAsia" w:hAnsiTheme="minorEastAsia"/>
          <w:sz w:val="30"/>
          <w:szCs w:val="30"/>
        </w:rPr>
        <w:t xml:space="preserve">为贯彻落实《中共中央 国务院关于全面实施预算绩效管理的意见》和《中共河南省委 河南省人民政府关于全面实施预算绩效管理的实施意见》等文件精神，加强财政资金绩效管理，提高资金使用效益，三门峡市陕州区财政局委托国咨项目管理有限公司，对黄河流域历史遗留废弃矿山治理项目进行绩效评价。 </w:t>
      </w:r>
    </w:p>
    <w:p>
      <w:pPr>
        <w:spacing w:before="156" w:beforeLines="50" w:after="156" w:afterLines="50" w:line="360" w:lineRule="auto"/>
        <w:ind w:left="105" w:leftChars="50" w:right="105" w:rightChars="50" w:firstLine="600" w:firstLineChars="200"/>
        <w:jc w:val="left"/>
        <w:rPr>
          <w:rFonts w:asciiTheme="minorEastAsia" w:hAnsiTheme="minorEastAsia"/>
          <w:sz w:val="30"/>
          <w:szCs w:val="30"/>
        </w:rPr>
      </w:pPr>
      <w:r>
        <w:rPr>
          <w:rFonts w:hint="eastAsia" w:asciiTheme="minorEastAsia" w:hAnsiTheme="minorEastAsia"/>
          <w:sz w:val="30"/>
          <w:szCs w:val="30"/>
        </w:rPr>
        <w:t>国咨项目管理有限公司通过构建评价指标体系、机构座谈、问卷调查等形式，对黄河流域历史遗留废弃矿山治理项目进行综合评价。评价结果表明:黄河流域历史遗留废弃矿山治理项目绩效评价综合得分80.3分，评价结果为“良”。评价过程中，发现该项目实施过程中会存在预算绩效管理意识不强、资金拨付不及时等问题，评价组从资金拨付率、加强废弃矿山环境的后续管护等方面提出优化建议。</w:t>
      </w:r>
    </w:p>
    <w:p>
      <w:pPr>
        <w:spacing w:before="156" w:beforeLines="50" w:after="156" w:afterLines="50" w:line="360" w:lineRule="auto"/>
        <w:ind w:left="105" w:leftChars="50" w:right="105" w:rightChars="50" w:firstLine="883" w:firstLineChars="200"/>
        <w:jc w:val="center"/>
        <w:rPr>
          <w:rFonts w:asciiTheme="majorEastAsia" w:hAnsiTheme="majorEastAsia" w:eastAsiaTheme="majorEastAsia"/>
          <w:b/>
          <w:sz w:val="44"/>
          <w:szCs w:val="44"/>
        </w:rPr>
      </w:pPr>
    </w:p>
    <w:p>
      <w:pPr>
        <w:spacing w:before="156" w:beforeLines="50" w:after="156" w:afterLines="50" w:line="360" w:lineRule="auto"/>
        <w:ind w:left="105" w:leftChars="50" w:right="105" w:rightChars="50" w:firstLine="883" w:firstLineChars="200"/>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32"/>
          <w:szCs w:val="32"/>
        </w:rPr>
      </w:pPr>
      <w:r>
        <w:rPr>
          <w:rFonts w:hint="eastAsia" w:asciiTheme="majorEastAsia" w:hAnsiTheme="majorEastAsia" w:eastAsiaTheme="majorEastAsia"/>
          <w:b/>
          <w:sz w:val="32"/>
          <w:szCs w:val="32"/>
        </w:rPr>
        <w:t>目 录</w:t>
      </w:r>
    </w:p>
    <w:p>
      <w:pPr>
        <w:pStyle w:val="10"/>
        <w:tabs>
          <w:tab w:val="right" w:leader="dot" w:pos="8296"/>
        </w:tabs>
        <w:ind w:left="0" w:leftChars="0"/>
        <w:rPr>
          <w:sz w:val="28"/>
          <w:szCs w:val="28"/>
        </w:rPr>
      </w:pPr>
      <w:r>
        <w:rPr>
          <w:rFonts w:asciiTheme="minorEastAsia" w:hAnsiTheme="minorEastAsia"/>
          <w:b/>
          <w:sz w:val="28"/>
          <w:szCs w:val="28"/>
        </w:rPr>
        <w:fldChar w:fldCharType="begin"/>
      </w:r>
      <w:r>
        <w:rPr>
          <w:rFonts w:hint="eastAsia" w:asciiTheme="minorEastAsia" w:hAnsiTheme="minorEastAsia"/>
          <w:b/>
          <w:sz w:val="28"/>
          <w:szCs w:val="28"/>
        </w:rPr>
        <w:instrText xml:space="preserve">TOC \o "1-3" \h \z \u</w:instrText>
      </w:r>
      <w:r>
        <w:rPr>
          <w:rFonts w:asciiTheme="minorEastAsia" w:hAnsiTheme="minorEastAsia"/>
          <w:b/>
          <w:sz w:val="28"/>
          <w:szCs w:val="28"/>
        </w:rPr>
        <w:fldChar w:fldCharType="separate"/>
      </w:r>
      <w:r>
        <w:fldChar w:fldCharType="begin"/>
      </w:r>
      <w:r>
        <w:instrText xml:space="preserve"> HYPERLINK \l "_Toc93918194" </w:instrText>
      </w:r>
      <w:r>
        <w:fldChar w:fldCharType="separate"/>
      </w:r>
      <w:r>
        <w:rPr>
          <w:rStyle w:val="14"/>
          <w:rFonts w:hint="eastAsia" w:asciiTheme="minorEastAsia" w:hAnsiTheme="minorEastAsia"/>
          <w:sz w:val="28"/>
          <w:szCs w:val="28"/>
        </w:rPr>
        <w:t>一、概述</w:t>
      </w:r>
      <w:r>
        <w:rPr>
          <w:sz w:val="28"/>
          <w:szCs w:val="28"/>
        </w:rPr>
        <w:tab/>
      </w:r>
      <w:r>
        <w:rPr>
          <w:sz w:val="28"/>
          <w:szCs w:val="28"/>
        </w:rPr>
        <w:fldChar w:fldCharType="begin"/>
      </w:r>
      <w:r>
        <w:rPr>
          <w:sz w:val="28"/>
          <w:szCs w:val="28"/>
        </w:rPr>
        <w:instrText xml:space="preserve"> PAGEREF _Toc93918194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10"/>
        <w:tabs>
          <w:tab w:val="right" w:leader="dot" w:pos="8296"/>
        </w:tabs>
        <w:rPr>
          <w:sz w:val="28"/>
          <w:szCs w:val="28"/>
        </w:rPr>
      </w:pPr>
      <w:r>
        <w:fldChar w:fldCharType="begin"/>
      </w:r>
      <w:r>
        <w:instrText xml:space="preserve"> HYPERLINK \l "_Toc93918195" </w:instrText>
      </w:r>
      <w:r>
        <w:fldChar w:fldCharType="separate"/>
      </w:r>
      <w:r>
        <w:rPr>
          <w:rStyle w:val="14"/>
          <w:rFonts w:hint="eastAsia" w:asciiTheme="minorEastAsia" w:hAnsiTheme="minorEastAsia"/>
          <w:sz w:val="28"/>
          <w:szCs w:val="28"/>
        </w:rPr>
        <w:t>（一）项目单位基本情况</w:t>
      </w:r>
      <w:r>
        <w:rPr>
          <w:sz w:val="28"/>
          <w:szCs w:val="28"/>
        </w:rPr>
        <w:tab/>
      </w:r>
      <w:r>
        <w:rPr>
          <w:sz w:val="28"/>
          <w:szCs w:val="28"/>
        </w:rPr>
        <w:fldChar w:fldCharType="begin"/>
      </w:r>
      <w:r>
        <w:rPr>
          <w:sz w:val="28"/>
          <w:szCs w:val="28"/>
        </w:rPr>
        <w:instrText xml:space="preserve"> PAGEREF _Toc93918195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10"/>
        <w:tabs>
          <w:tab w:val="right" w:leader="dot" w:pos="8296"/>
        </w:tabs>
        <w:rPr>
          <w:sz w:val="28"/>
          <w:szCs w:val="28"/>
        </w:rPr>
      </w:pPr>
      <w:r>
        <w:fldChar w:fldCharType="begin"/>
      </w:r>
      <w:r>
        <w:instrText xml:space="preserve"> HYPERLINK \l "_Toc93918196" </w:instrText>
      </w:r>
      <w:r>
        <w:fldChar w:fldCharType="separate"/>
      </w:r>
      <w:r>
        <w:rPr>
          <w:rStyle w:val="14"/>
          <w:rFonts w:hint="eastAsia" w:asciiTheme="minorEastAsia" w:hAnsiTheme="minorEastAsia"/>
          <w:sz w:val="28"/>
          <w:szCs w:val="28"/>
        </w:rPr>
        <w:t>（二）项目背景</w:t>
      </w:r>
      <w:r>
        <w:rPr>
          <w:sz w:val="28"/>
          <w:szCs w:val="28"/>
        </w:rPr>
        <w:tab/>
      </w:r>
      <w:r>
        <w:rPr>
          <w:sz w:val="28"/>
          <w:szCs w:val="28"/>
        </w:rPr>
        <w:fldChar w:fldCharType="begin"/>
      </w:r>
      <w:r>
        <w:rPr>
          <w:sz w:val="28"/>
          <w:szCs w:val="28"/>
        </w:rPr>
        <w:instrText xml:space="preserve"> PAGEREF _Toc93918196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10"/>
        <w:tabs>
          <w:tab w:val="right" w:leader="dot" w:pos="8296"/>
        </w:tabs>
        <w:rPr>
          <w:sz w:val="28"/>
          <w:szCs w:val="28"/>
        </w:rPr>
      </w:pPr>
      <w:r>
        <w:fldChar w:fldCharType="begin"/>
      </w:r>
      <w:r>
        <w:instrText xml:space="preserve"> HYPERLINK \l "_Toc93918197" </w:instrText>
      </w:r>
      <w:r>
        <w:fldChar w:fldCharType="separate"/>
      </w:r>
      <w:r>
        <w:rPr>
          <w:rStyle w:val="14"/>
          <w:rFonts w:hint="eastAsia" w:asciiTheme="minorEastAsia" w:hAnsiTheme="minorEastAsia"/>
          <w:sz w:val="28"/>
          <w:szCs w:val="28"/>
        </w:rPr>
        <w:t>（三）项目基本情况</w:t>
      </w:r>
      <w:r>
        <w:rPr>
          <w:sz w:val="28"/>
          <w:szCs w:val="28"/>
        </w:rPr>
        <w:tab/>
      </w:r>
      <w:r>
        <w:rPr>
          <w:sz w:val="28"/>
          <w:szCs w:val="28"/>
        </w:rPr>
        <w:fldChar w:fldCharType="begin"/>
      </w:r>
      <w:r>
        <w:rPr>
          <w:sz w:val="28"/>
          <w:szCs w:val="28"/>
        </w:rPr>
        <w:instrText xml:space="preserve"> PAGEREF _Toc93918197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10"/>
        <w:tabs>
          <w:tab w:val="right" w:leader="dot" w:pos="8296"/>
        </w:tabs>
        <w:rPr>
          <w:sz w:val="28"/>
          <w:szCs w:val="28"/>
        </w:rPr>
      </w:pPr>
      <w:r>
        <w:fldChar w:fldCharType="begin"/>
      </w:r>
      <w:r>
        <w:instrText xml:space="preserve"> HYPERLINK \l "_Toc93918198" </w:instrText>
      </w:r>
      <w:r>
        <w:fldChar w:fldCharType="separate"/>
      </w:r>
      <w:r>
        <w:rPr>
          <w:rStyle w:val="14"/>
          <w:rFonts w:hint="eastAsia" w:asciiTheme="minorEastAsia" w:hAnsiTheme="minorEastAsia"/>
          <w:sz w:val="28"/>
          <w:szCs w:val="28"/>
        </w:rPr>
        <w:t>（四）项目绩效目标</w:t>
      </w:r>
      <w:r>
        <w:rPr>
          <w:sz w:val="28"/>
          <w:szCs w:val="28"/>
        </w:rPr>
        <w:tab/>
      </w:r>
      <w:r>
        <w:rPr>
          <w:sz w:val="28"/>
          <w:szCs w:val="28"/>
        </w:rPr>
        <w:fldChar w:fldCharType="begin"/>
      </w:r>
      <w:r>
        <w:rPr>
          <w:sz w:val="28"/>
          <w:szCs w:val="28"/>
        </w:rPr>
        <w:instrText xml:space="preserve"> PAGEREF _Toc93918198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"_Toc93918199" </w:instrText>
      </w:r>
      <w:r>
        <w:fldChar w:fldCharType="separate"/>
      </w:r>
      <w:r>
        <w:rPr>
          <w:rStyle w:val="14"/>
          <w:rFonts w:hint="eastAsia" w:asciiTheme="minorEastAsia" w:hAnsiTheme="minorEastAsia"/>
          <w:sz w:val="28"/>
          <w:szCs w:val="28"/>
        </w:rPr>
        <w:t>二、绩效评价工作简述</w:t>
      </w:r>
      <w:r>
        <w:rPr>
          <w:sz w:val="28"/>
          <w:szCs w:val="28"/>
        </w:rPr>
        <w:tab/>
      </w:r>
      <w:r>
        <w:rPr>
          <w:sz w:val="28"/>
          <w:szCs w:val="28"/>
        </w:rPr>
        <w:fldChar w:fldCharType="begin"/>
      </w:r>
      <w:r>
        <w:rPr>
          <w:sz w:val="28"/>
          <w:szCs w:val="28"/>
        </w:rPr>
        <w:instrText xml:space="preserve"> PAGEREF _Toc93918199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9"/>
        <w:tabs>
          <w:tab w:val="right" w:leader="dot" w:pos="8296"/>
        </w:tabs>
        <w:ind w:firstLine="420" w:firstLineChars="200"/>
        <w:rPr>
          <w:sz w:val="28"/>
          <w:szCs w:val="28"/>
        </w:rPr>
      </w:pPr>
      <w:r>
        <w:fldChar w:fldCharType="begin"/>
      </w:r>
      <w:r>
        <w:instrText xml:space="preserve"> HYPERLINK \l "_Toc93918200" </w:instrText>
      </w:r>
      <w:r>
        <w:fldChar w:fldCharType="separate"/>
      </w:r>
      <w:r>
        <w:rPr>
          <w:rStyle w:val="14"/>
          <w:rFonts w:hint="eastAsia" w:asciiTheme="minorEastAsia" w:hAnsiTheme="minorEastAsia"/>
          <w:sz w:val="28"/>
          <w:szCs w:val="28"/>
        </w:rPr>
        <w:t>（一）绩效评价目的、对象和范围</w:t>
      </w:r>
      <w:r>
        <w:rPr>
          <w:sz w:val="28"/>
          <w:szCs w:val="28"/>
        </w:rPr>
        <w:tab/>
      </w:r>
      <w:r>
        <w:rPr>
          <w:sz w:val="28"/>
          <w:szCs w:val="28"/>
        </w:rPr>
        <w:fldChar w:fldCharType="begin"/>
      </w:r>
      <w:r>
        <w:rPr>
          <w:sz w:val="28"/>
          <w:szCs w:val="28"/>
        </w:rPr>
        <w:instrText xml:space="preserve"> PAGEREF _Toc93918200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10"/>
        <w:tabs>
          <w:tab w:val="right" w:leader="dot" w:pos="8296"/>
        </w:tabs>
        <w:rPr>
          <w:sz w:val="28"/>
          <w:szCs w:val="28"/>
        </w:rPr>
      </w:pPr>
      <w:r>
        <w:fldChar w:fldCharType="begin"/>
      </w:r>
      <w:r>
        <w:instrText xml:space="preserve"> HYPERLINK \l "_Toc93918201" </w:instrText>
      </w:r>
      <w:r>
        <w:fldChar w:fldCharType="separate"/>
      </w:r>
      <w:r>
        <w:rPr>
          <w:rStyle w:val="14"/>
          <w:rFonts w:hint="eastAsia" w:asciiTheme="minorEastAsia" w:hAnsiTheme="minorEastAsia"/>
          <w:sz w:val="28"/>
          <w:szCs w:val="28"/>
        </w:rPr>
        <w:t>（二）绩效评价的依据</w:t>
      </w:r>
      <w:r>
        <w:rPr>
          <w:sz w:val="28"/>
          <w:szCs w:val="28"/>
        </w:rPr>
        <w:tab/>
      </w:r>
      <w:r>
        <w:rPr>
          <w:sz w:val="28"/>
          <w:szCs w:val="28"/>
        </w:rPr>
        <w:fldChar w:fldCharType="begin"/>
      </w:r>
      <w:r>
        <w:rPr>
          <w:sz w:val="28"/>
          <w:szCs w:val="28"/>
        </w:rPr>
        <w:instrText xml:space="preserve"> PAGEREF _Toc93918201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10"/>
        <w:tabs>
          <w:tab w:val="right" w:leader="dot" w:pos="8296"/>
        </w:tabs>
        <w:rPr>
          <w:sz w:val="28"/>
          <w:szCs w:val="28"/>
        </w:rPr>
      </w:pPr>
      <w:r>
        <w:fldChar w:fldCharType="begin"/>
      </w:r>
      <w:r>
        <w:instrText xml:space="preserve"> HYPERLINK \l "_Toc93918202" </w:instrText>
      </w:r>
      <w:r>
        <w:fldChar w:fldCharType="separate"/>
      </w:r>
      <w:r>
        <w:rPr>
          <w:rStyle w:val="14"/>
          <w:rFonts w:hint="eastAsia" w:asciiTheme="minorEastAsia" w:hAnsiTheme="minorEastAsia"/>
          <w:sz w:val="28"/>
          <w:szCs w:val="28"/>
        </w:rPr>
        <w:t>（三）绩效评价工作过程</w:t>
      </w:r>
      <w:r>
        <w:rPr>
          <w:sz w:val="28"/>
          <w:szCs w:val="28"/>
        </w:rPr>
        <w:tab/>
      </w:r>
      <w:r>
        <w:rPr>
          <w:sz w:val="28"/>
          <w:szCs w:val="28"/>
        </w:rPr>
        <w:fldChar w:fldCharType="begin"/>
      </w:r>
      <w:r>
        <w:rPr>
          <w:sz w:val="28"/>
          <w:szCs w:val="28"/>
        </w:rPr>
        <w:instrText xml:space="preserve"> PAGEREF _Toc93918202 \h </w:instrText>
      </w:r>
      <w:r>
        <w:rPr>
          <w:sz w:val="28"/>
          <w:szCs w:val="28"/>
        </w:rPr>
        <w:fldChar w:fldCharType="separate"/>
      </w:r>
      <w:r>
        <w:rPr>
          <w:sz w:val="28"/>
          <w:szCs w:val="28"/>
        </w:rPr>
        <w:t>9</w:t>
      </w:r>
      <w:r>
        <w:rPr>
          <w:sz w:val="28"/>
          <w:szCs w:val="28"/>
        </w:rPr>
        <w:fldChar w:fldCharType="end"/>
      </w:r>
      <w:r>
        <w:rPr>
          <w:sz w:val="28"/>
          <w:szCs w:val="28"/>
        </w:rPr>
        <w:fldChar w:fldCharType="end"/>
      </w:r>
    </w:p>
    <w:p>
      <w:pPr>
        <w:pStyle w:val="9"/>
        <w:tabs>
          <w:tab w:val="right" w:leader="dot" w:pos="8296"/>
        </w:tabs>
        <w:ind w:firstLine="420" w:firstLineChars="200"/>
        <w:rPr>
          <w:sz w:val="28"/>
          <w:szCs w:val="28"/>
        </w:rPr>
      </w:pPr>
      <w:r>
        <w:fldChar w:fldCharType="begin"/>
      </w:r>
      <w:r>
        <w:instrText xml:space="preserve"> HYPERLINK \l "_Toc93918203" </w:instrText>
      </w:r>
      <w:r>
        <w:fldChar w:fldCharType="separate"/>
      </w:r>
      <w:r>
        <w:rPr>
          <w:rStyle w:val="14"/>
          <w:rFonts w:hint="eastAsia" w:asciiTheme="minorEastAsia" w:hAnsiTheme="minorEastAsia"/>
          <w:sz w:val="28"/>
          <w:szCs w:val="28"/>
        </w:rPr>
        <w:t>（四）绩效评价原则、评价方法和标准</w:t>
      </w:r>
      <w:r>
        <w:rPr>
          <w:sz w:val="28"/>
          <w:szCs w:val="28"/>
        </w:rPr>
        <w:tab/>
      </w:r>
      <w:r>
        <w:rPr>
          <w:sz w:val="28"/>
          <w:szCs w:val="28"/>
        </w:rPr>
        <w:fldChar w:fldCharType="begin"/>
      </w:r>
      <w:r>
        <w:rPr>
          <w:sz w:val="28"/>
          <w:szCs w:val="28"/>
        </w:rPr>
        <w:instrText xml:space="preserve"> PAGEREF _Toc93918203 \h </w:instrText>
      </w:r>
      <w:r>
        <w:rPr>
          <w:sz w:val="28"/>
          <w:szCs w:val="28"/>
        </w:rPr>
        <w:fldChar w:fldCharType="separate"/>
      </w:r>
      <w:r>
        <w:rPr>
          <w:sz w:val="28"/>
          <w:szCs w:val="28"/>
        </w:rPr>
        <w:t>17</w:t>
      </w:r>
      <w:r>
        <w:rPr>
          <w:sz w:val="28"/>
          <w:szCs w:val="28"/>
        </w:rPr>
        <w:fldChar w:fldCharType="end"/>
      </w:r>
      <w:r>
        <w:rPr>
          <w:sz w:val="28"/>
          <w:szCs w:val="28"/>
        </w:rPr>
        <w:fldChar w:fldCharType="end"/>
      </w:r>
    </w:p>
    <w:p>
      <w:pPr>
        <w:pStyle w:val="9"/>
        <w:tabs>
          <w:tab w:val="right" w:leader="dot" w:pos="8296"/>
        </w:tabs>
        <w:ind w:firstLine="420" w:firstLineChars="200"/>
        <w:rPr>
          <w:sz w:val="28"/>
          <w:szCs w:val="28"/>
        </w:rPr>
      </w:pPr>
      <w:r>
        <w:fldChar w:fldCharType="begin"/>
      </w:r>
      <w:r>
        <w:instrText xml:space="preserve"> HYPERLINK \l "_Toc93918204" </w:instrText>
      </w:r>
      <w:r>
        <w:fldChar w:fldCharType="separate"/>
      </w:r>
      <w:r>
        <w:rPr>
          <w:rStyle w:val="14"/>
          <w:rFonts w:hint="eastAsia" w:asciiTheme="minorEastAsia" w:hAnsiTheme="minorEastAsia"/>
          <w:sz w:val="28"/>
          <w:szCs w:val="28"/>
        </w:rPr>
        <w:t>（五）绩效评价指标体系</w:t>
      </w:r>
      <w:r>
        <w:rPr>
          <w:sz w:val="28"/>
          <w:szCs w:val="28"/>
        </w:rPr>
        <w:tab/>
      </w:r>
      <w:r>
        <w:rPr>
          <w:sz w:val="28"/>
          <w:szCs w:val="28"/>
        </w:rPr>
        <w:fldChar w:fldCharType="begin"/>
      </w:r>
      <w:r>
        <w:rPr>
          <w:sz w:val="28"/>
          <w:szCs w:val="28"/>
        </w:rPr>
        <w:instrText xml:space="preserve"> PAGEREF _Toc93918204 \h </w:instrText>
      </w:r>
      <w:r>
        <w:rPr>
          <w:sz w:val="28"/>
          <w:szCs w:val="28"/>
        </w:rPr>
        <w:fldChar w:fldCharType="separate"/>
      </w:r>
      <w:r>
        <w:rPr>
          <w:sz w:val="28"/>
          <w:szCs w:val="28"/>
        </w:rPr>
        <w:t>18</w:t>
      </w:r>
      <w:r>
        <w:rPr>
          <w:sz w:val="28"/>
          <w:szCs w:val="28"/>
        </w:rPr>
        <w:fldChar w:fldCharType="end"/>
      </w:r>
      <w:r>
        <w:rPr>
          <w:sz w:val="28"/>
          <w:szCs w:val="28"/>
        </w:rPr>
        <w:fldChar w:fldCharType="end"/>
      </w:r>
    </w:p>
    <w:p>
      <w:pPr>
        <w:pStyle w:val="10"/>
        <w:tabs>
          <w:tab w:val="right" w:leader="dot" w:pos="8296"/>
        </w:tabs>
        <w:rPr>
          <w:sz w:val="28"/>
          <w:szCs w:val="28"/>
        </w:rPr>
      </w:pPr>
      <w:r>
        <w:fldChar w:fldCharType="begin"/>
      </w:r>
      <w:r>
        <w:instrText xml:space="preserve"> HYPERLINK \l "_Toc93918205" </w:instrText>
      </w:r>
      <w:r>
        <w:fldChar w:fldCharType="separate"/>
      </w:r>
      <w:r>
        <w:rPr>
          <w:rStyle w:val="14"/>
          <w:rFonts w:hint="eastAsia" w:asciiTheme="minorEastAsia" w:hAnsiTheme="minorEastAsia"/>
          <w:kern w:val="44"/>
          <w:sz w:val="28"/>
          <w:szCs w:val="28"/>
        </w:rPr>
        <w:t>（六）绩效评价标准及评价等级</w:t>
      </w:r>
      <w:r>
        <w:rPr>
          <w:sz w:val="28"/>
          <w:szCs w:val="28"/>
        </w:rPr>
        <w:tab/>
      </w:r>
      <w:r>
        <w:rPr>
          <w:sz w:val="28"/>
          <w:szCs w:val="28"/>
        </w:rPr>
        <w:fldChar w:fldCharType="begin"/>
      </w:r>
      <w:r>
        <w:rPr>
          <w:sz w:val="28"/>
          <w:szCs w:val="28"/>
        </w:rPr>
        <w:instrText xml:space="preserve"> PAGEREF _Toc93918205 \h </w:instrText>
      </w:r>
      <w:r>
        <w:rPr>
          <w:sz w:val="28"/>
          <w:szCs w:val="28"/>
        </w:rPr>
        <w:fldChar w:fldCharType="separate"/>
      </w:r>
      <w:r>
        <w:rPr>
          <w:sz w:val="28"/>
          <w:szCs w:val="28"/>
        </w:rPr>
        <w:t>21</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"_Toc93918206" </w:instrText>
      </w:r>
      <w:r>
        <w:fldChar w:fldCharType="separate"/>
      </w:r>
      <w:r>
        <w:rPr>
          <w:rStyle w:val="14"/>
          <w:rFonts w:hint="eastAsia" w:asciiTheme="minorEastAsia" w:hAnsiTheme="minorEastAsia"/>
          <w:sz w:val="28"/>
          <w:szCs w:val="28"/>
        </w:rPr>
        <w:t>三、绩效评价分析</w:t>
      </w:r>
      <w:r>
        <w:rPr>
          <w:sz w:val="28"/>
          <w:szCs w:val="28"/>
        </w:rPr>
        <w:tab/>
      </w:r>
      <w:r>
        <w:rPr>
          <w:sz w:val="28"/>
          <w:szCs w:val="28"/>
        </w:rPr>
        <w:fldChar w:fldCharType="begin"/>
      </w:r>
      <w:r>
        <w:rPr>
          <w:sz w:val="28"/>
          <w:szCs w:val="28"/>
        </w:rPr>
        <w:instrText xml:space="preserve"> PAGEREF _Toc93918206 \h </w:instrText>
      </w:r>
      <w:r>
        <w:rPr>
          <w:sz w:val="28"/>
          <w:szCs w:val="28"/>
        </w:rPr>
        <w:fldChar w:fldCharType="separate"/>
      </w:r>
      <w:r>
        <w:rPr>
          <w:sz w:val="28"/>
          <w:szCs w:val="28"/>
        </w:rPr>
        <w:t>21</w:t>
      </w:r>
      <w:r>
        <w:rPr>
          <w:sz w:val="28"/>
          <w:szCs w:val="28"/>
        </w:rPr>
        <w:fldChar w:fldCharType="end"/>
      </w:r>
      <w:r>
        <w:rPr>
          <w:sz w:val="28"/>
          <w:szCs w:val="28"/>
        </w:rPr>
        <w:fldChar w:fldCharType="end"/>
      </w:r>
    </w:p>
    <w:p>
      <w:pPr>
        <w:pStyle w:val="10"/>
        <w:tabs>
          <w:tab w:val="right" w:leader="dot" w:pos="8296"/>
        </w:tabs>
        <w:rPr>
          <w:sz w:val="28"/>
          <w:szCs w:val="28"/>
        </w:rPr>
      </w:pPr>
      <w:r>
        <w:fldChar w:fldCharType="begin"/>
      </w:r>
      <w:r>
        <w:instrText xml:space="preserve"> HYPERLINK \l "_Toc93918207" </w:instrText>
      </w:r>
      <w:r>
        <w:fldChar w:fldCharType="separate"/>
      </w:r>
      <w:r>
        <w:rPr>
          <w:rStyle w:val="14"/>
          <w:rFonts w:hint="eastAsia"/>
          <w:sz w:val="28"/>
          <w:szCs w:val="28"/>
        </w:rPr>
        <w:t>（一）</w:t>
      </w:r>
      <w:r>
        <w:rPr>
          <w:rStyle w:val="14"/>
          <w:rFonts w:hint="eastAsia" w:asciiTheme="minorEastAsia" w:hAnsiTheme="minorEastAsia"/>
          <w:sz w:val="28"/>
          <w:szCs w:val="28"/>
        </w:rPr>
        <w:t>项目决策情况</w:t>
      </w:r>
      <w:r>
        <w:rPr>
          <w:sz w:val="28"/>
          <w:szCs w:val="28"/>
        </w:rPr>
        <w:tab/>
      </w:r>
      <w:r>
        <w:rPr>
          <w:sz w:val="28"/>
          <w:szCs w:val="28"/>
        </w:rPr>
        <w:fldChar w:fldCharType="begin"/>
      </w:r>
      <w:r>
        <w:rPr>
          <w:sz w:val="28"/>
          <w:szCs w:val="28"/>
        </w:rPr>
        <w:instrText xml:space="preserve"> PAGEREF _Toc93918207 \h </w:instrText>
      </w:r>
      <w:r>
        <w:rPr>
          <w:sz w:val="28"/>
          <w:szCs w:val="28"/>
        </w:rPr>
        <w:fldChar w:fldCharType="separate"/>
      </w:r>
      <w:r>
        <w:rPr>
          <w:sz w:val="28"/>
          <w:szCs w:val="28"/>
        </w:rPr>
        <w:t>21</w:t>
      </w:r>
      <w:r>
        <w:rPr>
          <w:sz w:val="28"/>
          <w:szCs w:val="28"/>
        </w:rPr>
        <w:fldChar w:fldCharType="end"/>
      </w:r>
      <w:r>
        <w:rPr>
          <w:sz w:val="28"/>
          <w:szCs w:val="28"/>
        </w:rPr>
        <w:fldChar w:fldCharType="end"/>
      </w:r>
    </w:p>
    <w:p>
      <w:pPr>
        <w:pStyle w:val="10"/>
        <w:tabs>
          <w:tab w:val="right" w:leader="dot" w:pos="8296"/>
        </w:tabs>
        <w:rPr>
          <w:sz w:val="28"/>
          <w:szCs w:val="28"/>
        </w:rPr>
      </w:pPr>
      <w:r>
        <w:fldChar w:fldCharType="begin"/>
      </w:r>
      <w:r>
        <w:instrText xml:space="preserve"> HYPERLINK \l "_Toc93918208" </w:instrText>
      </w:r>
      <w:r>
        <w:fldChar w:fldCharType="separate"/>
      </w:r>
      <w:r>
        <w:rPr>
          <w:rStyle w:val="14"/>
          <w:rFonts w:hint="eastAsia"/>
          <w:sz w:val="28"/>
          <w:szCs w:val="28"/>
        </w:rPr>
        <w:t>（二）</w:t>
      </w:r>
      <w:r>
        <w:rPr>
          <w:rStyle w:val="14"/>
          <w:rFonts w:hint="eastAsia" w:asciiTheme="minorEastAsia" w:hAnsiTheme="minorEastAsia"/>
          <w:sz w:val="28"/>
          <w:szCs w:val="28"/>
        </w:rPr>
        <w:t>项目过程情况</w:t>
      </w:r>
      <w:r>
        <w:rPr>
          <w:sz w:val="28"/>
          <w:szCs w:val="28"/>
        </w:rPr>
        <w:tab/>
      </w:r>
      <w:r>
        <w:rPr>
          <w:sz w:val="28"/>
          <w:szCs w:val="28"/>
        </w:rPr>
        <w:fldChar w:fldCharType="begin"/>
      </w:r>
      <w:r>
        <w:rPr>
          <w:sz w:val="28"/>
          <w:szCs w:val="28"/>
        </w:rPr>
        <w:instrText xml:space="preserve"> PAGEREF _Toc93918208 \h </w:instrText>
      </w:r>
      <w:r>
        <w:rPr>
          <w:sz w:val="28"/>
          <w:szCs w:val="28"/>
        </w:rPr>
        <w:fldChar w:fldCharType="separate"/>
      </w:r>
      <w:r>
        <w:rPr>
          <w:sz w:val="28"/>
          <w:szCs w:val="28"/>
        </w:rPr>
        <w:t>23</w:t>
      </w:r>
      <w:r>
        <w:rPr>
          <w:sz w:val="28"/>
          <w:szCs w:val="28"/>
        </w:rPr>
        <w:fldChar w:fldCharType="end"/>
      </w:r>
      <w:r>
        <w:rPr>
          <w:sz w:val="28"/>
          <w:szCs w:val="28"/>
        </w:rPr>
        <w:fldChar w:fldCharType="end"/>
      </w:r>
    </w:p>
    <w:p>
      <w:pPr>
        <w:pStyle w:val="10"/>
        <w:tabs>
          <w:tab w:val="right" w:leader="dot" w:pos="8296"/>
        </w:tabs>
        <w:rPr>
          <w:sz w:val="28"/>
          <w:szCs w:val="28"/>
        </w:rPr>
      </w:pPr>
      <w:r>
        <w:fldChar w:fldCharType="begin"/>
      </w:r>
      <w:r>
        <w:instrText xml:space="preserve"> HYPERLINK \l "_Toc93918209" </w:instrText>
      </w:r>
      <w:r>
        <w:fldChar w:fldCharType="separate"/>
      </w:r>
      <w:r>
        <w:rPr>
          <w:rStyle w:val="14"/>
          <w:rFonts w:hint="eastAsia"/>
          <w:sz w:val="28"/>
          <w:szCs w:val="28"/>
        </w:rPr>
        <w:t>（三）</w:t>
      </w:r>
      <w:r>
        <w:rPr>
          <w:rStyle w:val="14"/>
          <w:rFonts w:hint="eastAsia" w:asciiTheme="minorEastAsia" w:hAnsiTheme="minorEastAsia"/>
          <w:sz w:val="28"/>
          <w:szCs w:val="28"/>
        </w:rPr>
        <w:t>项目产出情况</w:t>
      </w:r>
      <w:r>
        <w:rPr>
          <w:sz w:val="28"/>
          <w:szCs w:val="28"/>
        </w:rPr>
        <w:tab/>
      </w:r>
      <w:r>
        <w:rPr>
          <w:sz w:val="28"/>
          <w:szCs w:val="28"/>
        </w:rPr>
        <w:fldChar w:fldCharType="begin"/>
      </w:r>
      <w:r>
        <w:rPr>
          <w:sz w:val="28"/>
          <w:szCs w:val="28"/>
        </w:rPr>
        <w:instrText xml:space="preserve"> PAGEREF _Toc93918209 \h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10"/>
        <w:tabs>
          <w:tab w:val="right" w:leader="dot" w:pos="8296"/>
        </w:tabs>
        <w:rPr>
          <w:sz w:val="28"/>
          <w:szCs w:val="28"/>
        </w:rPr>
      </w:pPr>
      <w:r>
        <w:fldChar w:fldCharType="begin"/>
      </w:r>
      <w:r>
        <w:instrText xml:space="preserve"> HYPERLINK \l "_Toc93918210" </w:instrText>
      </w:r>
      <w:r>
        <w:fldChar w:fldCharType="separate"/>
      </w:r>
      <w:r>
        <w:rPr>
          <w:rStyle w:val="14"/>
          <w:rFonts w:hint="eastAsia"/>
          <w:sz w:val="28"/>
          <w:szCs w:val="28"/>
        </w:rPr>
        <w:t>（四）</w:t>
      </w:r>
      <w:r>
        <w:rPr>
          <w:rStyle w:val="14"/>
          <w:rFonts w:hint="eastAsia" w:asciiTheme="minorEastAsia" w:hAnsiTheme="minorEastAsia"/>
          <w:sz w:val="28"/>
          <w:szCs w:val="28"/>
        </w:rPr>
        <w:t>项目效益情况</w:t>
      </w:r>
      <w:r>
        <w:rPr>
          <w:sz w:val="28"/>
          <w:szCs w:val="28"/>
        </w:rPr>
        <w:tab/>
      </w:r>
      <w:r>
        <w:rPr>
          <w:sz w:val="28"/>
          <w:szCs w:val="28"/>
        </w:rPr>
        <w:fldChar w:fldCharType="begin"/>
      </w:r>
      <w:r>
        <w:rPr>
          <w:sz w:val="28"/>
          <w:szCs w:val="28"/>
        </w:rPr>
        <w:instrText xml:space="preserve"> PAGEREF _Toc93918210 \h </w:instrText>
      </w:r>
      <w:r>
        <w:rPr>
          <w:sz w:val="28"/>
          <w:szCs w:val="28"/>
        </w:rPr>
        <w:fldChar w:fldCharType="separate"/>
      </w:r>
      <w:r>
        <w:rPr>
          <w:sz w:val="28"/>
          <w:szCs w:val="28"/>
        </w:rPr>
        <w:t>26</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"_Toc93918211" </w:instrText>
      </w:r>
      <w:r>
        <w:fldChar w:fldCharType="separate"/>
      </w:r>
      <w:r>
        <w:rPr>
          <w:rStyle w:val="14"/>
          <w:rFonts w:hint="eastAsia" w:asciiTheme="minorEastAsia" w:hAnsiTheme="minorEastAsia"/>
          <w:sz w:val="28"/>
          <w:szCs w:val="28"/>
        </w:rPr>
        <w:t>四、综合绩效评价情况及评价结论</w:t>
      </w:r>
      <w:r>
        <w:rPr>
          <w:sz w:val="28"/>
          <w:szCs w:val="28"/>
        </w:rPr>
        <w:tab/>
      </w:r>
      <w:r>
        <w:rPr>
          <w:sz w:val="28"/>
          <w:szCs w:val="28"/>
        </w:rPr>
        <w:fldChar w:fldCharType="begin"/>
      </w:r>
      <w:r>
        <w:rPr>
          <w:sz w:val="28"/>
          <w:szCs w:val="28"/>
        </w:rPr>
        <w:instrText xml:space="preserve"> PAGEREF _Toc93918211 \h </w:instrText>
      </w:r>
      <w:r>
        <w:rPr>
          <w:sz w:val="28"/>
          <w:szCs w:val="28"/>
        </w:rPr>
        <w:fldChar w:fldCharType="separate"/>
      </w:r>
      <w:r>
        <w:rPr>
          <w:sz w:val="28"/>
          <w:szCs w:val="28"/>
        </w:rPr>
        <w:t>27</w:t>
      </w:r>
      <w:r>
        <w:rPr>
          <w:sz w:val="28"/>
          <w:szCs w:val="28"/>
        </w:rPr>
        <w:fldChar w:fldCharType="end"/>
      </w:r>
      <w:r>
        <w:rPr>
          <w:sz w:val="28"/>
          <w:szCs w:val="28"/>
        </w:rPr>
        <w:fldChar w:fldCharType="end"/>
      </w:r>
    </w:p>
    <w:p>
      <w:pPr>
        <w:pStyle w:val="9"/>
        <w:tabs>
          <w:tab w:val="right" w:leader="dot" w:pos="8296"/>
        </w:tabs>
        <w:ind w:firstLine="420" w:firstLineChars="200"/>
        <w:rPr>
          <w:sz w:val="28"/>
          <w:szCs w:val="28"/>
        </w:rPr>
      </w:pPr>
      <w:r>
        <w:fldChar w:fldCharType="begin"/>
      </w:r>
      <w:r>
        <w:instrText xml:space="preserve"> HYPERLINK \l "_Toc93918212" </w:instrText>
      </w:r>
      <w:r>
        <w:fldChar w:fldCharType="separate"/>
      </w:r>
      <w:r>
        <w:rPr>
          <w:rStyle w:val="14"/>
          <w:rFonts w:hint="eastAsia" w:asciiTheme="minorEastAsia" w:hAnsiTheme="minorEastAsia"/>
          <w:sz w:val="28"/>
          <w:szCs w:val="28"/>
        </w:rPr>
        <w:t>（一）综合绩效评价情况</w:t>
      </w:r>
      <w:r>
        <w:rPr>
          <w:sz w:val="28"/>
          <w:szCs w:val="28"/>
        </w:rPr>
        <w:tab/>
      </w:r>
      <w:r>
        <w:rPr>
          <w:sz w:val="28"/>
          <w:szCs w:val="28"/>
        </w:rPr>
        <w:fldChar w:fldCharType="begin"/>
      </w:r>
      <w:r>
        <w:rPr>
          <w:sz w:val="28"/>
          <w:szCs w:val="28"/>
        </w:rPr>
        <w:instrText xml:space="preserve"> PAGEREF _Toc93918212 \h </w:instrText>
      </w:r>
      <w:r>
        <w:rPr>
          <w:sz w:val="28"/>
          <w:szCs w:val="28"/>
        </w:rPr>
        <w:fldChar w:fldCharType="separate"/>
      </w:r>
      <w:r>
        <w:rPr>
          <w:sz w:val="28"/>
          <w:szCs w:val="28"/>
        </w:rPr>
        <w:t>27</w:t>
      </w:r>
      <w:r>
        <w:rPr>
          <w:sz w:val="28"/>
          <w:szCs w:val="28"/>
        </w:rPr>
        <w:fldChar w:fldCharType="end"/>
      </w:r>
      <w:r>
        <w:rPr>
          <w:sz w:val="28"/>
          <w:szCs w:val="28"/>
        </w:rPr>
        <w:fldChar w:fldCharType="end"/>
      </w:r>
    </w:p>
    <w:p>
      <w:pPr>
        <w:pStyle w:val="10"/>
        <w:tabs>
          <w:tab w:val="right" w:leader="dot" w:pos="8296"/>
        </w:tabs>
        <w:rPr>
          <w:sz w:val="28"/>
          <w:szCs w:val="28"/>
        </w:rPr>
      </w:pPr>
      <w:r>
        <w:fldChar w:fldCharType="begin"/>
      </w:r>
      <w:r>
        <w:instrText xml:space="preserve"> HYPERLINK \l "_Toc93918213" </w:instrText>
      </w:r>
      <w:r>
        <w:fldChar w:fldCharType="separate"/>
      </w:r>
      <w:r>
        <w:rPr>
          <w:rStyle w:val="14"/>
          <w:rFonts w:hint="eastAsia" w:asciiTheme="minorEastAsia" w:hAnsiTheme="minorEastAsia"/>
          <w:sz w:val="28"/>
          <w:szCs w:val="28"/>
        </w:rPr>
        <w:t>（二）总体评价结论</w:t>
      </w:r>
      <w:r>
        <w:rPr>
          <w:sz w:val="28"/>
          <w:szCs w:val="28"/>
        </w:rPr>
        <w:tab/>
      </w:r>
      <w:r>
        <w:rPr>
          <w:sz w:val="28"/>
          <w:szCs w:val="28"/>
        </w:rPr>
        <w:fldChar w:fldCharType="begin"/>
      </w:r>
      <w:r>
        <w:rPr>
          <w:sz w:val="28"/>
          <w:szCs w:val="28"/>
        </w:rPr>
        <w:instrText xml:space="preserve"> PAGEREF _Toc93918213 \h </w:instrText>
      </w:r>
      <w:r>
        <w:rPr>
          <w:sz w:val="28"/>
          <w:szCs w:val="28"/>
        </w:rPr>
        <w:fldChar w:fldCharType="separate"/>
      </w:r>
      <w:r>
        <w:rPr>
          <w:sz w:val="28"/>
          <w:szCs w:val="28"/>
        </w:rPr>
        <w:t>27</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"_Toc93918214" </w:instrText>
      </w:r>
      <w:r>
        <w:fldChar w:fldCharType="separate"/>
      </w:r>
      <w:r>
        <w:rPr>
          <w:rStyle w:val="14"/>
          <w:rFonts w:hint="eastAsia" w:asciiTheme="minorEastAsia" w:hAnsiTheme="minorEastAsia"/>
          <w:sz w:val="28"/>
          <w:szCs w:val="28"/>
        </w:rPr>
        <w:t>五</w:t>
      </w:r>
      <w:r>
        <w:rPr>
          <w:rStyle w:val="14"/>
          <w:rFonts w:hint="eastAsia"/>
          <w:sz w:val="28"/>
          <w:szCs w:val="28"/>
        </w:rPr>
        <w:t>、</w:t>
      </w:r>
      <w:r>
        <w:rPr>
          <w:rStyle w:val="14"/>
          <w:rFonts w:hint="eastAsia" w:asciiTheme="minorEastAsia" w:hAnsiTheme="minorEastAsia"/>
          <w:sz w:val="28"/>
          <w:szCs w:val="28"/>
        </w:rPr>
        <w:t>主要经验及做法、存在的问题及原因分析</w:t>
      </w:r>
      <w:r>
        <w:rPr>
          <w:sz w:val="28"/>
          <w:szCs w:val="28"/>
        </w:rPr>
        <w:tab/>
      </w:r>
      <w:r>
        <w:rPr>
          <w:sz w:val="28"/>
          <w:szCs w:val="28"/>
        </w:rPr>
        <w:fldChar w:fldCharType="begin"/>
      </w:r>
      <w:r>
        <w:rPr>
          <w:sz w:val="28"/>
          <w:szCs w:val="28"/>
        </w:rPr>
        <w:instrText xml:space="preserve"> PAGEREF _Toc93918214 \h </w:instrText>
      </w:r>
      <w:r>
        <w:rPr>
          <w:sz w:val="28"/>
          <w:szCs w:val="28"/>
        </w:rPr>
        <w:fldChar w:fldCharType="separate"/>
      </w:r>
      <w:r>
        <w:rPr>
          <w:sz w:val="28"/>
          <w:szCs w:val="28"/>
        </w:rPr>
        <w:t>30</w:t>
      </w:r>
      <w:r>
        <w:rPr>
          <w:sz w:val="28"/>
          <w:szCs w:val="28"/>
        </w:rPr>
        <w:fldChar w:fldCharType="end"/>
      </w:r>
      <w:r>
        <w:rPr>
          <w:sz w:val="28"/>
          <w:szCs w:val="28"/>
        </w:rPr>
        <w:fldChar w:fldCharType="end"/>
      </w:r>
    </w:p>
    <w:p>
      <w:pPr>
        <w:pStyle w:val="10"/>
        <w:tabs>
          <w:tab w:val="right" w:leader="dot" w:pos="8296"/>
        </w:tabs>
        <w:rPr>
          <w:sz w:val="28"/>
          <w:szCs w:val="28"/>
        </w:rPr>
      </w:pPr>
      <w:r>
        <w:fldChar w:fldCharType="begin"/>
      </w:r>
      <w:r>
        <w:instrText xml:space="preserve"> HYPERLINK \l "_Toc93918215" </w:instrText>
      </w:r>
      <w:r>
        <w:fldChar w:fldCharType="separate"/>
      </w:r>
      <w:r>
        <w:rPr>
          <w:rStyle w:val="14"/>
          <w:rFonts w:hint="eastAsia"/>
          <w:sz w:val="28"/>
          <w:szCs w:val="28"/>
        </w:rPr>
        <w:t>（一）</w:t>
      </w:r>
      <w:r>
        <w:rPr>
          <w:rStyle w:val="14"/>
          <w:rFonts w:hint="eastAsia" w:asciiTheme="minorEastAsia" w:hAnsiTheme="minorEastAsia"/>
          <w:sz w:val="28"/>
          <w:szCs w:val="28"/>
        </w:rPr>
        <w:t>主要经验做法</w:t>
      </w:r>
      <w:r>
        <w:rPr>
          <w:sz w:val="28"/>
          <w:szCs w:val="28"/>
        </w:rPr>
        <w:tab/>
      </w:r>
      <w:r>
        <w:rPr>
          <w:sz w:val="28"/>
          <w:szCs w:val="28"/>
        </w:rPr>
        <w:fldChar w:fldCharType="begin"/>
      </w:r>
      <w:r>
        <w:rPr>
          <w:sz w:val="28"/>
          <w:szCs w:val="28"/>
        </w:rPr>
        <w:instrText xml:space="preserve"> PAGEREF _Toc93918215 \h </w:instrText>
      </w:r>
      <w:r>
        <w:rPr>
          <w:sz w:val="28"/>
          <w:szCs w:val="28"/>
        </w:rPr>
        <w:fldChar w:fldCharType="separate"/>
      </w:r>
      <w:r>
        <w:rPr>
          <w:sz w:val="28"/>
          <w:szCs w:val="28"/>
        </w:rPr>
        <w:t>30</w:t>
      </w:r>
      <w:r>
        <w:rPr>
          <w:sz w:val="28"/>
          <w:szCs w:val="28"/>
        </w:rPr>
        <w:fldChar w:fldCharType="end"/>
      </w:r>
      <w:r>
        <w:rPr>
          <w:sz w:val="28"/>
          <w:szCs w:val="28"/>
        </w:rPr>
        <w:fldChar w:fldCharType="end"/>
      </w:r>
    </w:p>
    <w:p>
      <w:pPr>
        <w:pStyle w:val="10"/>
        <w:tabs>
          <w:tab w:val="right" w:leader="dot" w:pos="8296"/>
        </w:tabs>
        <w:rPr>
          <w:sz w:val="28"/>
          <w:szCs w:val="28"/>
        </w:rPr>
      </w:pPr>
      <w:r>
        <w:fldChar w:fldCharType="begin"/>
      </w:r>
      <w:r>
        <w:instrText xml:space="preserve"> HYPERLINK \l "_Toc93918216" </w:instrText>
      </w:r>
      <w:r>
        <w:fldChar w:fldCharType="separate"/>
      </w:r>
      <w:r>
        <w:rPr>
          <w:rStyle w:val="14"/>
          <w:rFonts w:hint="eastAsia"/>
          <w:sz w:val="28"/>
          <w:szCs w:val="28"/>
        </w:rPr>
        <w:t>（二）</w:t>
      </w:r>
      <w:r>
        <w:rPr>
          <w:rStyle w:val="14"/>
          <w:rFonts w:hint="eastAsia" w:asciiTheme="minorEastAsia" w:hAnsiTheme="minorEastAsia"/>
          <w:sz w:val="28"/>
          <w:szCs w:val="28"/>
        </w:rPr>
        <w:t>存在的问题及原因分析</w:t>
      </w:r>
      <w:r>
        <w:rPr>
          <w:sz w:val="28"/>
          <w:szCs w:val="28"/>
        </w:rPr>
        <w:tab/>
      </w:r>
      <w:r>
        <w:rPr>
          <w:sz w:val="28"/>
          <w:szCs w:val="28"/>
        </w:rPr>
        <w:fldChar w:fldCharType="begin"/>
      </w:r>
      <w:r>
        <w:rPr>
          <w:sz w:val="28"/>
          <w:szCs w:val="28"/>
        </w:rPr>
        <w:instrText xml:space="preserve"> PAGEREF _Toc93918216 \h </w:instrText>
      </w:r>
      <w:r>
        <w:rPr>
          <w:sz w:val="28"/>
          <w:szCs w:val="28"/>
        </w:rPr>
        <w:fldChar w:fldCharType="separate"/>
      </w:r>
      <w:r>
        <w:rPr>
          <w:sz w:val="28"/>
          <w:szCs w:val="28"/>
        </w:rPr>
        <w:t>30</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"_Toc93918217" </w:instrText>
      </w:r>
      <w:r>
        <w:fldChar w:fldCharType="separate"/>
      </w:r>
      <w:r>
        <w:rPr>
          <w:rStyle w:val="14"/>
          <w:rFonts w:hint="eastAsia" w:asciiTheme="minorEastAsia" w:hAnsiTheme="minorEastAsia"/>
          <w:sz w:val="28"/>
          <w:szCs w:val="28"/>
        </w:rPr>
        <w:t>六、有关建议</w:t>
      </w:r>
      <w:r>
        <w:rPr>
          <w:sz w:val="28"/>
          <w:szCs w:val="28"/>
        </w:rPr>
        <w:tab/>
      </w:r>
      <w:r>
        <w:rPr>
          <w:sz w:val="28"/>
          <w:szCs w:val="28"/>
        </w:rPr>
        <w:fldChar w:fldCharType="begin"/>
      </w:r>
      <w:r>
        <w:rPr>
          <w:sz w:val="28"/>
          <w:szCs w:val="28"/>
        </w:rPr>
        <w:instrText xml:space="preserve"> PAGEREF _Toc93918217 \h </w:instrText>
      </w:r>
      <w:r>
        <w:rPr>
          <w:sz w:val="28"/>
          <w:szCs w:val="28"/>
        </w:rPr>
        <w:fldChar w:fldCharType="separate"/>
      </w:r>
      <w:r>
        <w:rPr>
          <w:sz w:val="28"/>
          <w:szCs w:val="28"/>
        </w:rPr>
        <w:t>31</w:t>
      </w:r>
      <w:r>
        <w:rPr>
          <w:sz w:val="28"/>
          <w:szCs w:val="28"/>
        </w:rPr>
        <w:fldChar w:fldCharType="end"/>
      </w:r>
      <w:r>
        <w:rPr>
          <w:sz w:val="28"/>
          <w:szCs w:val="28"/>
        </w:rPr>
        <w:fldChar w:fldCharType="end"/>
      </w:r>
    </w:p>
    <w:p>
      <w:pPr>
        <w:jc w:val="center"/>
        <w:rPr>
          <w:rFonts w:asciiTheme="majorEastAsia" w:hAnsiTheme="majorEastAsia" w:eastAsiaTheme="majorEastAsia"/>
          <w:b/>
          <w:sz w:val="28"/>
          <w:szCs w:val="28"/>
        </w:rPr>
      </w:pPr>
      <w:r>
        <w:rPr>
          <w:rFonts w:asciiTheme="minorEastAsia" w:hAnsiTheme="minorEastAsia"/>
          <w:sz w:val="28"/>
          <w:szCs w:val="28"/>
        </w:rPr>
        <w:fldChar w:fldCharType="end"/>
      </w: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rPr>
          <w:rFonts w:asciiTheme="majorEastAsia" w:hAnsiTheme="majorEastAsia" w:eastAsiaTheme="majorEastAsia"/>
          <w:b/>
          <w:sz w:val="44"/>
          <w:szCs w:val="44"/>
        </w:rPr>
      </w:pPr>
    </w:p>
    <w:p>
      <w:pPr>
        <w:jc w:val="center"/>
        <w:rPr>
          <w:rFonts w:ascii="黑体" w:hAnsi="黑体" w:eastAsia="黑体"/>
          <w:b/>
          <w:sz w:val="44"/>
          <w:szCs w:val="44"/>
        </w:rPr>
        <w:sectPr>
          <w:footerReference r:id="rId3" w:type="default"/>
          <w:pgSz w:w="11906" w:h="16838"/>
          <w:pgMar w:top="1440" w:right="1800" w:bottom="1440" w:left="1800" w:header="851" w:footer="992" w:gutter="0"/>
          <w:cols w:space="425" w:num="1"/>
          <w:docGrid w:type="lines" w:linePitch="312" w:charSpace="0"/>
        </w:sectPr>
      </w:pPr>
    </w:p>
    <w:p>
      <w:pPr>
        <w:jc w:val="center"/>
        <w:rPr>
          <w:rFonts w:ascii="黑体" w:hAnsi="黑体" w:eastAsia="黑体"/>
          <w:b/>
          <w:sz w:val="44"/>
          <w:szCs w:val="44"/>
        </w:rPr>
      </w:pPr>
      <w:r>
        <w:rPr>
          <w:rFonts w:hint="eastAsia" w:ascii="黑体" w:hAnsi="黑体" w:eastAsia="黑体"/>
          <w:b/>
          <w:sz w:val="44"/>
          <w:szCs w:val="44"/>
        </w:rPr>
        <w:t>黄河流域历史遗留废弃矿山治理项目绩效评价报告</w:t>
      </w:r>
    </w:p>
    <w:p>
      <w:pPr>
        <w:spacing w:before="156" w:beforeLines="50" w:after="156" w:afterLines="50" w:line="360" w:lineRule="auto"/>
        <w:ind w:left="105" w:leftChars="50" w:right="105" w:rightChars="50" w:firstLine="600" w:firstLineChars="200"/>
        <w:rPr>
          <w:rFonts w:asciiTheme="minorEastAsia" w:hAnsiTheme="minorEastAsia"/>
          <w:sz w:val="30"/>
          <w:szCs w:val="30"/>
        </w:rPr>
      </w:pPr>
      <w:r>
        <w:rPr>
          <w:rFonts w:hint="eastAsia" w:asciiTheme="minorEastAsia" w:hAnsiTheme="minorEastAsia"/>
          <w:sz w:val="30"/>
          <w:szCs w:val="30"/>
        </w:rPr>
        <w:t>为贯彻落实《中共中央 国务院关于全面实施预算绩效管理的意见》和《中共河南省委 河南省人民政府关于全面实施预算绩效管理的实施意见》等文件精神，加强财政资金绩效管理，提高资金使用效益，三门峡市陕州区财政局委托国咨项目管理有限公司，对黄河流域历史遗留废弃矿山治理项目进行了绩效评价，现将有关情况报告如下。</w:t>
      </w:r>
    </w:p>
    <w:p>
      <w:pPr>
        <w:pStyle w:val="3"/>
        <w:rPr>
          <w:rFonts w:asciiTheme="minorEastAsia" w:hAnsiTheme="minorEastAsia"/>
        </w:rPr>
      </w:pPr>
      <w:bookmarkStart w:id="0" w:name="_Toc93918194"/>
      <w:r>
        <w:rPr>
          <w:rFonts w:hint="eastAsia" w:asciiTheme="minorEastAsia" w:hAnsiTheme="minorEastAsia"/>
        </w:rPr>
        <w:t>一、概述</w:t>
      </w:r>
      <w:bookmarkEnd w:id="0"/>
    </w:p>
    <w:p>
      <w:pPr>
        <w:pStyle w:val="3"/>
        <w:rPr>
          <w:rFonts w:asciiTheme="minorEastAsia" w:hAnsiTheme="minorEastAsia"/>
          <w:sz w:val="30"/>
          <w:szCs w:val="30"/>
        </w:rPr>
      </w:pPr>
      <w:bookmarkStart w:id="1" w:name="_Toc93918195"/>
      <w:r>
        <w:rPr>
          <w:rFonts w:hint="eastAsia" w:asciiTheme="minorEastAsia" w:hAnsiTheme="minorEastAsia"/>
          <w:sz w:val="30"/>
          <w:szCs w:val="30"/>
        </w:rPr>
        <w:t>（一）项目单位基本情况</w:t>
      </w:r>
      <w:bookmarkEnd w:id="1"/>
    </w:p>
    <w:p>
      <w:pPr>
        <w:spacing w:before="156" w:beforeLines="50" w:after="156" w:afterLines="50" w:line="360" w:lineRule="auto"/>
        <w:ind w:left="105" w:leftChars="50" w:right="105" w:rightChars="50" w:firstLine="600" w:firstLineChars="200"/>
        <w:rPr>
          <w:rFonts w:asciiTheme="minorEastAsia" w:hAnsiTheme="minorEastAsia"/>
          <w:sz w:val="30"/>
          <w:szCs w:val="30"/>
        </w:rPr>
      </w:pPr>
      <w:r>
        <w:rPr>
          <w:rFonts w:hint="eastAsia" w:asciiTheme="minorEastAsia" w:hAnsiTheme="minorEastAsia"/>
          <w:sz w:val="30"/>
          <w:szCs w:val="30"/>
        </w:rPr>
        <w:t>三门峡市陕州区自然资源局贯彻落实党中央关于自然资源、林业和草原工作的方针政策和决策部署，在履行职责过程中坚持和加强党对自然资源、林业和草原工作的集中统一领导。部门主要职责包括：</w:t>
      </w:r>
    </w:p>
    <w:p>
      <w:pPr>
        <w:spacing w:before="156" w:beforeLines="50" w:after="156" w:afterLines="50" w:line="360" w:lineRule="auto"/>
        <w:ind w:left="105" w:leftChars="50" w:right="105" w:rightChars="50" w:firstLine="600" w:firstLineChars="200"/>
        <w:rPr>
          <w:rFonts w:asciiTheme="minorEastAsia" w:hAnsiTheme="minorEastAsia"/>
          <w:sz w:val="30"/>
          <w:szCs w:val="30"/>
        </w:rPr>
      </w:pPr>
      <w:r>
        <w:rPr>
          <w:rFonts w:hint="eastAsia" w:asciiTheme="minorEastAsia" w:hAnsiTheme="minorEastAsia"/>
          <w:sz w:val="30"/>
          <w:szCs w:val="30"/>
        </w:rPr>
        <w:t>（一）履行全区全民所有土地、矿产、森林、草原、湿地、水等自然资源资产所有者职责和所有国土空间用途管制职责。（二）负责全区自然资源调查监测评价。（三）负责全区自然资源统一确权登记工作。（四）负责全区自然资源资产有偿使用工作。（五）负责全区自然资源的合理开发利用。（六）负责建立全区空间规划体系并监督实施。（七）按规定权限具体承担城乡规划管理职责。（八）负责统筹全区国土空间生态修复。（九）负责组织实施最严格的耕地保护制度。（十）负责管理全区地质勘查和地质工作。（十一）承担全区地质灾害预防和治理。（十二）负责全区矿业权管理工作。（十三）负责全区矿产资源保护与监督工作。（十四）负责全区测绘地理信息管理工作。（十五）推动全区自然资源和规划领域科技发展。（十六）根据区委、区政府授权或国家和省、市自然资源督察机构安排，对乡（镇）人民政府贯彻落实党中央、国务院、和省委、省政府、市委、市政府以及区委、区政府关于自然资源和国土空间规划的重大方针政策、决策部署及法律、法规执行情况进行督察。（十七）负责林业和草原及其生态保护修复的监督管理。（十八）组织林业和草原生态保护修复和造林绿化工作。（十九）负责森林、草原、湿地资源的监督管理。（二十）负责陆生野生动植物资源监督管理。（二十一）负责监督管理各类自然保护地。拟订各类自然保护地规划并指导实施。（二十二）负责推进林业和草原改革相关工作。（二十三）贯彻落实林业和草原资源优化配置及木材利用政策，监督实施相关林业产业地方标准，组织指导林产品质量监督。（二十四）指导国有林场基本建设和发展，承担经济林、花卉管理工作。（二十五）负责落实综合防灾减灾规划相关要求，组织编制森林和草原火灾防治规划和防护标准并指导实施，指导开展防火巡护、火源管理、防火设施建设等工作。（二十六）监督管理林业和草原中央、省、市拨付我区的资金、区级资金及国有资产，提出林业和草原预算内投资、国家级、省级、市级和区级财政性资金安排建议；按规定权限审核国家、省级、市级、区级规划内和年度计划内投资项目。（二十七）负责林业和草原科技、教育工作，指导全区林业和草原人才队伍建设。（二十八）完成区委、区政府交办的其他任务。</w:t>
      </w:r>
    </w:p>
    <w:p>
      <w:pPr>
        <w:pStyle w:val="3"/>
      </w:pPr>
      <w:bookmarkStart w:id="2" w:name="_Toc93918196"/>
      <w:r>
        <w:rPr>
          <w:rFonts w:hint="eastAsia" w:asciiTheme="minorEastAsia" w:hAnsiTheme="minorEastAsia"/>
          <w:sz w:val="30"/>
          <w:szCs w:val="30"/>
        </w:rPr>
        <w:t>（二）项目背景</w:t>
      </w:r>
      <w:bookmarkEnd w:id="2"/>
    </w:p>
    <w:p>
      <w:pPr>
        <w:pStyle w:val="15"/>
        <w:spacing w:before="156" w:beforeLines="50" w:after="156" w:afterLines="50" w:line="360" w:lineRule="auto"/>
        <w:ind w:left="105" w:leftChars="50" w:right="105" w:rightChars="50" w:firstLine="600"/>
        <w:rPr>
          <w:sz w:val="30"/>
          <w:szCs w:val="30"/>
        </w:rPr>
      </w:pPr>
      <w:r>
        <w:rPr>
          <w:sz w:val="30"/>
          <w:szCs w:val="30"/>
        </w:rPr>
        <w:t>三门峡地处黄河中游南岸，临三门峡水库、小浪底水库，三门峡市生态保护事关黄河安澜及中下游生态保护全局，对黄河流域特别是中下游生态保护和高质量发展具有重要意义。三门峡市域内的采矿历史悠久，近年来矿业经济的飞速发展及矿业开发力度的不断加大，矿山生态环境破坏问题日益突出。历史遗留的废弃工矿土地基岩裸露，植被破坏，水土流失加剧，生物多样性减少，生态环境形势严峻；裸露岩土体产生的细颗粒粉尘，既污染了大气环境，弥漫粉尘又对附近居民的生活造成了困扰；废弃矿渣的堆放，容易形成滑坡、崩塌等地质灾害，对当地人民群众的生命财产安全构成威胁。</w:t>
      </w:r>
    </w:p>
    <w:p>
      <w:pPr>
        <w:spacing w:before="156" w:beforeLines="50" w:after="156" w:afterLines="50" w:line="360" w:lineRule="auto"/>
        <w:ind w:left="105" w:leftChars="50" w:right="105" w:rightChars="50" w:firstLine="600" w:firstLineChars="200"/>
        <w:rPr>
          <w:sz w:val="30"/>
          <w:szCs w:val="30"/>
        </w:rPr>
      </w:pPr>
      <w:r>
        <w:rPr>
          <w:sz w:val="30"/>
          <w:szCs w:val="30"/>
        </w:rPr>
        <w:t>党的十九大以来，以习近平新时代中国特色社会主义思想为指导，全面贯彻</w:t>
      </w:r>
      <w:r>
        <w:rPr>
          <w:rFonts w:hint="eastAsia"/>
          <w:sz w:val="30"/>
          <w:szCs w:val="30"/>
        </w:rPr>
        <w:t>党</w:t>
      </w:r>
      <w:r>
        <w:rPr>
          <w:sz w:val="30"/>
          <w:szCs w:val="30"/>
        </w:rPr>
        <w:t>的十九大和九届三中、四中全会精神，认真落实党中央、国务院决策部和全国生态环境保护大会要求，坚持新发展理念，坚持全民共治、源头防治、标本兼冶，以京津及周边地区、长三角地区、汾渭平原、黄河流域等区域为重点，</w:t>
      </w:r>
      <w:r>
        <w:rPr>
          <w:rFonts w:hint="eastAsia"/>
          <w:sz w:val="30"/>
          <w:szCs w:val="30"/>
        </w:rPr>
        <w:t>为贯彻落实《中共中央国务院关于全面加强</w:t>
      </w:r>
      <w:r>
        <w:fldChar w:fldCharType="begin"/>
      </w:r>
      <w:r>
        <w:instrText xml:space="preserve"> HYPERLINK "http://www.h2o-china.com/news/field?fid=83" \t "_blank" \o "生态环境" </w:instrText>
      </w:r>
      <w:r>
        <w:fldChar w:fldCharType="separate"/>
      </w:r>
      <w:r>
        <w:rPr>
          <w:rFonts w:hint="eastAsia"/>
          <w:sz w:val="30"/>
          <w:szCs w:val="30"/>
        </w:rPr>
        <w:t>生态环境</w:t>
      </w:r>
      <w:r>
        <w:rPr>
          <w:rFonts w:hint="eastAsia"/>
          <w:sz w:val="30"/>
          <w:szCs w:val="30"/>
        </w:rPr>
        <w:fldChar w:fldCharType="end"/>
      </w:r>
      <w:r>
        <w:rPr>
          <w:rFonts w:hint="eastAsia"/>
          <w:sz w:val="30"/>
          <w:szCs w:val="30"/>
        </w:rPr>
        <w:t>保护坚决打好污染防治攻坚战的意见》（中发﹝2018﹞17号）和《国务院打赢蓝天保卫战三年行动计划》（国发﹝2018﹞22号）精神，落实中央和省委、省政府关于露天矿山综合整治工作的部署，统筹露天矿山环保安全开发，有效供给保障矿产资源合理需求，促进全省矿业经济全面转型升级和高质量发展。</w:t>
      </w:r>
      <w:r>
        <w:rPr>
          <w:sz w:val="30"/>
          <w:szCs w:val="30"/>
        </w:rPr>
        <w:t>河南省财政厅  河南省自然资源厅印发《关于下达中央2020年度重点生态保护修复治理资金的通知》（豫财环资[2020]18号），下达中央修复治理资金3600万元用于三门峡市黄河流域历史遗留废弃矿山治理，治理面积344.92公顷</w:t>
      </w:r>
      <w:r>
        <w:rPr>
          <w:rFonts w:hint="eastAsia"/>
          <w:sz w:val="30"/>
          <w:szCs w:val="30"/>
        </w:rPr>
        <w:t>，</w:t>
      </w:r>
      <w:r>
        <w:rPr>
          <w:sz w:val="30"/>
          <w:szCs w:val="30"/>
        </w:rPr>
        <w:t>历史遗留工矿废弃地破坏区域共计3</w:t>
      </w:r>
      <w:r>
        <w:rPr>
          <w:rFonts w:hint="eastAsia"/>
          <w:sz w:val="30"/>
          <w:szCs w:val="30"/>
        </w:rPr>
        <w:t>6</w:t>
      </w:r>
      <w:r>
        <w:rPr>
          <w:sz w:val="30"/>
          <w:szCs w:val="30"/>
        </w:rPr>
        <w:t>处</w:t>
      </w:r>
      <w:r>
        <w:rPr>
          <w:rFonts w:hint="eastAsia"/>
          <w:sz w:val="30"/>
          <w:szCs w:val="30"/>
        </w:rPr>
        <w:t>，</w:t>
      </w:r>
      <w:r>
        <w:rPr>
          <w:sz w:val="30"/>
          <w:szCs w:val="30"/>
        </w:rPr>
        <w:t>主要矿山地质环境问题为：露天采石场开采产生的不稳定边坡崩塌、废弃渣堆堆放产生的滑坡、泥石流等地质灾害隐患；采坑、废弃矿渣造成土地资源、地貌景观破坏</w:t>
      </w:r>
      <w:r>
        <w:rPr>
          <w:rFonts w:hint="eastAsia"/>
          <w:sz w:val="30"/>
          <w:szCs w:val="30"/>
        </w:rPr>
        <w:t>。</w:t>
      </w:r>
    </w:p>
    <w:p>
      <w:pPr>
        <w:pStyle w:val="3"/>
        <w:rPr>
          <w:rFonts w:asciiTheme="minorEastAsia" w:hAnsiTheme="minorEastAsia"/>
          <w:sz w:val="30"/>
          <w:szCs w:val="30"/>
        </w:rPr>
      </w:pPr>
      <w:bookmarkStart w:id="3" w:name="_Toc93918197"/>
      <w:r>
        <w:rPr>
          <w:rFonts w:hint="eastAsia" w:asciiTheme="minorEastAsia" w:hAnsiTheme="minorEastAsia"/>
          <w:sz w:val="30"/>
          <w:szCs w:val="30"/>
        </w:rPr>
        <w:t>（三）项目基本情况</w:t>
      </w:r>
      <w:bookmarkEnd w:id="3"/>
    </w:p>
    <w:p/>
    <w:p>
      <w:pPr>
        <w:pStyle w:val="26"/>
        <w:ind w:firstLine="561"/>
        <w:contextualSpacing/>
        <w:outlineLvl w:val="9"/>
        <w:rPr>
          <w:rFonts w:eastAsiaTheme="minorEastAsia"/>
          <w:b w:val="0"/>
          <w:szCs w:val="30"/>
        </w:rPr>
      </w:pPr>
      <w:r>
        <w:rPr>
          <w:rFonts w:hint="eastAsia" w:eastAsiaTheme="minorEastAsia"/>
          <w:b w:val="0"/>
          <w:szCs w:val="30"/>
        </w:rPr>
        <w:t>本项目建设单位为三门峡市陕州区自然资源局。</w:t>
      </w:r>
      <w:r>
        <w:rPr>
          <w:rFonts w:eastAsiaTheme="minorEastAsia"/>
          <w:b w:val="0"/>
          <w:szCs w:val="30"/>
        </w:rPr>
        <w:t>黄河流域历史遗留废弃</w:t>
      </w:r>
      <w:r>
        <w:rPr>
          <w:rFonts w:hint="eastAsia" w:eastAsiaTheme="minorEastAsia"/>
          <w:b w:val="0"/>
          <w:szCs w:val="30"/>
        </w:rPr>
        <w:t>矿山治理</w:t>
      </w:r>
      <w:r>
        <w:rPr>
          <w:rFonts w:eastAsiaTheme="minorEastAsia"/>
          <w:b w:val="0"/>
          <w:szCs w:val="30"/>
        </w:rPr>
        <w:t>项目实施</w:t>
      </w:r>
      <w:r>
        <w:rPr>
          <w:rFonts w:hint="eastAsia" w:eastAsiaTheme="minorEastAsia"/>
          <w:b w:val="0"/>
          <w:szCs w:val="30"/>
        </w:rPr>
        <w:t>主要范围包括陕州区域内8</w:t>
      </w:r>
      <w:r>
        <w:rPr>
          <w:rFonts w:eastAsiaTheme="minorEastAsia"/>
          <w:b w:val="0"/>
          <w:szCs w:val="30"/>
        </w:rPr>
        <w:t>个图斑</w:t>
      </w:r>
      <w:r>
        <w:rPr>
          <w:rFonts w:hint="eastAsia" w:eastAsiaTheme="minorEastAsia"/>
          <w:b w:val="0"/>
          <w:szCs w:val="30"/>
        </w:rPr>
        <w:t>破坏区域，</w:t>
      </w:r>
      <w:r>
        <w:rPr>
          <w:rFonts w:eastAsiaTheme="minorEastAsia"/>
          <w:b w:val="0"/>
          <w:szCs w:val="30"/>
        </w:rPr>
        <w:t>主要为铝土矿、石灰岩、砂岩露天开采区，治理区内有大量的废弃渣堆、露天采场，露天采坑挖损破坏土地资源，严重影响地形地貌景观，破坏面积为</w:t>
      </w:r>
      <w:r>
        <w:rPr>
          <w:rFonts w:hint="eastAsia" w:eastAsiaTheme="minorEastAsia"/>
          <w:b w:val="0"/>
          <w:szCs w:val="30"/>
        </w:rPr>
        <w:t>159.17公顷</w:t>
      </w:r>
      <w:r>
        <w:rPr>
          <w:rFonts w:eastAsiaTheme="minorEastAsia"/>
          <w:b w:val="0"/>
          <w:szCs w:val="30"/>
        </w:rPr>
        <w:t>。</w:t>
      </w:r>
      <w:r>
        <w:rPr>
          <w:rFonts w:hint="eastAsia" w:eastAsiaTheme="minorEastAsia"/>
          <w:b w:val="0"/>
          <w:szCs w:val="30"/>
        </w:rPr>
        <w:t>本项目治理范围只要包括，黄河流域张茅乡沟口村历史遗留废弃矿山治理，黄河流域张茅乡苏村、贯沟村历史遗留废弃矿山治理、黄河流域西李村乡青石岭历史遗留废弃矿山治理，黄河流域观音堂镇石壕村槐沟历史遗留废弃矿山治理，共5个图斑破坏区域，破坏面积约为47.07公顷，</w:t>
      </w:r>
      <w:r>
        <w:rPr>
          <w:rFonts w:eastAsiaTheme="minorEastAsia"/>
          <w:b w:val="0"/>
          <w:szCs w:val="30"/>
        </w:rPr>
        <w:t>主要通过采用危岩清理与削坡工程对不稳定边坡进行整理，对采坑进行回填，对渣堆进行放坡平整，整平后的平台覆土恢复成旱地，平台间的斜坡覆土植树种草，对自然恢复效果不好的区域采取补植树木，恢复植被，修筑排水沟、田埂等工程防治水土流失，并对治理区进行养护。</w:t>
      </w:r>
      <w:r>
        <w:rPr>
          <w:rFonts w:hint="eastAsia" w:eastAsiaTheme="minorEastAsia"/>
          <w:b w:val="0"/>
          <w:szCs w:val="30"/>
        </w:rPr>
        <w:t>通过对</w:t>
      </w:r>
      <w:r>
        <w:rPr>
          <w:rFonts w:eastAsiaTheme="minorEastAsia"/>
          <w:b w:val="0"/>
          <w:szCs w:val="30"/>
        </w:rPr>
        <w:t>历史遗留工矿废弃土地图斑治理，达到工矿废弃土地图斑全面治理、提高土地资源利用率的目的。</w:t>
      </w:r>
      <w:r>
        <w:rPr>
          <w:rFonts w:hint="eastAsia" w:eastAsiaTheme="minorEastAsia"/>
          <w:b w:val="0"/>
          <w:szCs w:val="30"/>
        </w:rPr>
        <w:t>详细工程量见表2.1</w:t>
      </w:r>
    </w:p>
    <w:p>
      <w:pPr>
        <w:pStyle w:val="26"/>
        <w:ind w:firstLine="561"/>
        <w:contextualSpacing/>
        <w:outlineLvl w:val="9"/>
        <w:rPr>
          <w:rFonts w:eastAsiaTheme="minorEastAsia"/>
          <w:b w:val="0"/>
          <w:szCs w:val="30"/>
        </w:rPr>
      </w:pPr>
    </w:p>
    <w:p>
      <w:pPr>
        <w:pStyle w:val="28"/>
        <w:rPr>
          <w:rFonts w:ascii="Times New Roman" w:hAnsi="Times New Roman" w:cs="Times New Roman" w:eastAsiaTheme="majorEastAsia"/>
          <w:sz w:val="28"/>
          <w:szCs w:val="28"/>
        </w:rPr>
      </w:pPr>
      <w:r>
        <w:rPr>
          <w:rFonts w:hint="eastAsia" w:ascii="Times New Roman" w:hAnsi="Times New Roman" w:cs="Times New Roman" w:eastAsiaTheme="majorEastAsia"/>
          <w:sz w:val="28"/>
          <w:szCs w:val="28"/>
        </w:rPr>
        <w:t>表2.1</w:t>
      </w:r>
      <w:r>
        <w:rPr>
          <w:rFonts w:ascii="Times New Roman" w:hAnsi="Times New Roman" w:cs="Times New Roman" w:eastAsiaTheme="majorEastAsia"/>
          <w:sz w:val="28"/>
          <w:szCs w:val="28"/>
        </w:rPr>
        <w:t>陕州区各图斑工作量明细表</w:t>
      </w:r>
    </w:p>
    <w:tbl>
      <w:tblPr>
        <w:tblStyle w:val="12"/>
        <w:tblW w:w="92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701"/>
        <w:gridCol w:w="1276"/>
        <w:gridCol w:w="5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00" w:lineRule="auto"/>
              <w:jc w:val="center"/>
            </w:pPr>
            <w:r>
              <w:t>序号</w:t>
            </w:r>
          </w:p>
        </w:tc>
        <w:tc>
          <w:tcPr>
            <w:tcW w:w="1701" w:type="dxa"/>
            <w:vAlign w:val="center"/>
          </w:tcPr>
          <w:p>
            <w:pPr>
              <w:spacing w:line="300" w:lineRule="auto"/>
              <w:jc w:val="center"/>
            </w:pPr>
            <w:r>
              <w:t>名称</w:t>
            </w:r>
          </w:p>
        </w:tc>
        <w:tc>
          <w:tcPr>
            <w:tcW w:w="1276" w:type="dxa"/>
            <w:vAlign w:val="center"/>
          </w:tcPr>
          <w:p>
            <w:pPr>
              <w:adjustRightInd w:val="0"/>
              <w:snapToGrid w:val="0"/>
              <w:jc w:val="center"/>
            </w:pPr>
            <w:r>
              <w:t>损毁面积</w:t>
            </w:r>
          </w:p>
          <w:p>
            <w:pPr>
              <w:adjustRightInd w:val="0"/>
              <w:snapToGrid w:val="0"/>
              <w:jc w:val="center"/>
            </w:pPr>
            <w:r>
              <w:t>（公顷）</w:t>
            </w:r>
          </w:p>
        </w:tc>
        <w:tc>
          <w:tcPr>
            <w:tcW w:w="5561" w:type="dxa"/>
            <w:vAlign w:val="center"/>
          </w:tcPr>
          <w:p>
            <w:pPr>
              <w:spacing w:line="300" w:lineRule="auto"/>
              <w:jc w:val="center"/>
            </w:pPr>
            <w: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00" w:lineRule="auto"/>
              <w:jc w:val="center"/>
            </w:pPr>
            <w:r>
              <w:rPr>
                <w:rFonts w:hint="eastAsia"/>
              </w:rPr>
              <w:t>1</w:t>
            </w:r>
          </w:p>
        </w:tc>
        <w:tc>
          <w:tcPr>
            <w:tcW w:w="1701" w:type="dxa"/>
            <w:vAlign w:val="center"/>
          </w:tcPr>
          <w:p>
            <w:pPr>
              <w:spacing w:line="300" w:lineRule="auto"/>
              <w:jc w:val="center"/>
            </w:pPr>
            <w:r>
              <w:t>三门峡市陕州区西李村青石岭石灰岩矿</w:t>
            </w:r>
          </w:p>
        </w:tc>
        <w:tc>
          <w:tcPr>
            <w:tcW w:w="1276" w:type="dxa"/>
            <w:vAlign w:val="center"/>
          </w:tcPr>
          <w:p>
            <w:pPr>
              <w:spacing w:line="300" w:lineRule="auto"/>
              <w:jc w:val="center"/>
            </w:pPr>
            <w:r>
              <w:t>17.8</w:t>
            </w:r>
          </w:p>
        </w:tc>
        <w:tc>
          <w:tcPr>
            <w:tcW w:w="5561" w:type="dxa"/>
          </w:tcPr>
          <w:p>
            <w:pPr>
              <w:spacing w:line="300" w:lineRule="auto"/>
              <w:jc w:val="left"/>
            </w:pPr>
            <w:r>
              <w:t>石方开挖14.21万m</w:t>
            </w:r>
            <w:r>
              <w:rPr>
                <w:vertAlign w:val="superscript"/>
              </w:rPr>
              <w:t>3</w:t>
            </w:r>
            <w:r>
              <w:t>，石方清运14.21万方，客土回填9.8万m</w:t>
            </w:r>
            <w:r>
              <w:rPr>
                <w:vertAlign w:val="superscript"/>
              </w:rPr>
              <w:t>3</w:t>
            </w:r>
            <w:r>
              <w:t>，土地平整17.8hm</w:t>
            </w:r>
            <w:r>
              <w:rPr>
                <w:vertAlign w:val="superscript"/>
              </w:rPr>
              <w:t>2</w:t>
            </w:r>
            <w:r>
              <w:t>，种植小叶杨9800棵，施有机肥26.76t，监测养护1年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00" w:lineRule="auto"/>
              <w:jc w:val="center"/>
            </w:pPr>
            <w:r>
              <w:rPr>
                <w:rFonts w:hint="eastAsia"/>
              </w:rPr>
              <w:t>2</w:t>
            </w:r>
          </w:p>
        </w:tc>
        <w:tc>
          <w:tcPr>
            <w:tcW w:w="1701" w:type="dxa"/>
            <w:vAlign w:val="center"/>
          </w:tcPr>
          <w:p>
            <w:pPr>
              <w:spacing w:line="300" w:lineRule="auto"/>
              <w:jc w:val="center"/>
            </w:pPr>
            <w:r>
              <w:t>三门峡市陕州区观音堂镇石壕村槐沟砂岩矿</w:t>
            </w:r>
          </w:p>
        </w:tc>
        <w:tc>
          <w:tcPr>
            <w:tcW w:w="1276" w:type="dxa"/>
            <w:vAlign w:val="center"/>
          </w:tcPr>
          <w:p>
            <w:pPr>
              <w:spacing w:line="300" w:lineRule="auto"/>
              <w:jc w:val="center"/>
            </w:pPr>
            <w:r>
              <w:t>12</w:t>
            </w:r>
          </w:p>
        </w:tc>
        <w:tc>
          <w:tcPr>
            <w:tcW w:w="5561" w:type="dxa"/>
          </w:tcPr>
          <w:p>
            <w:pPr>
              <w:spacing w:line="300" w:lineRule="auto"/>
              <w:jc w:val="left"/>
            </w:pPr>
            <w:r>
              <w:t>废渣清运19.62万m</w:t>
            </w:r>
            <w:r>
              <w:rPr>
                <w:vertAlign w:val="superscript"/>
              </w:rPr>
              <w:t>3</w:t>
            </w:r>
            <w:r>
              <w:t>，场地平整6.22hm</w:t>
            </w:r>
            <w:r>
              <w:rPr>
                <w:vertAlign w:val="superscript"/>
              </w:rPr>
              <w:t>2</w:t>
            </w:r>
            <w:r>
              <w:t>，客土回填6.26万m</w:t>
            </w:r>
            <w:r>
              <w:rPr>
                <w:vertAlign w:val="superscript"/>
              </w:rPr>
              <w:t>3</w:t>
            </w:r>
            <w:r>
              <w:t>，施有机肥19.60t，种植刺槐7500棵，小叶杨6850棵，养护1年。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00" w:lineRule="auto"/>
              <w:jc w:val="center"/>
            </w:pPr>
            <w:r>
              <w:rPr>
                <w:rFonts w:hint="eastAsia"/>
              </w:rPr>
              <w:t>3</w:t>
            </w:r>
          </w:p>
        </w:tc>
        <w:tc>
          <w:tcPr>
            <w:tcW w:w="1701" w:type="dxa"/>
            <w:vAlign w:val="center"/>
          </w:tcPr>
          <w:p>
            <w:pPr>
              <w:spacing w:line="300" w:lineRule="auto"/>
              <w:jc w:val="center"/>
            </w:pPr>
            <w:r>
              <w:rPr>
                <w:rFonts w:hint="eastAsia"/>
              </w:rPr>
              <w:t>三门峡市陕州区张茅乡贯沟村石灰岩矿</w:t>
            </w:r>
          </w:p>
        </w:tc>
        <w:tc>
          <w:tcPr>
            <w:tcW w:w="1276" w:type="dxa"/>
            <w:vAlign w:val="center"/>
          </w:tcPr>
          <w:p>
            <w:pPr>
              <w:spacing w:line="300" w:lineRule="auto"/>
              <w:jc w:val="center"/>
            </w:pPr>
            <w:r>
              <w:rPr>
                <w:rFonts w:hint="eastAsia"/>
              </w:rPr>
              <w:t>8.41</w:t>
            </w:r>
          </w:p>
        </w:tc>
        <w:tc>
          <w:tcPr>
            <w:tcW w:w="5561" w:type="dxa"/>
          </w:tcPr>
          <w:p>
            <w:pPr>
              <w:spacing w:line="300" w:lineRule="auto"/>
              <w:jc w:val="left"/>
            </w:pPr>
            <w:r>
              <w:rPr>
                <w:rFonts w:hint="eastAsia"/>
              </w:rPr>
              <w:t>坡面一般石方开挖2.42万方，清运3.09万m3，客土回填3.09万m3，场地平整8.19hm2，施农家肥1.21t，种植侧柏3900棵，养护3年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00" w:lineRule="auto"/>
              <w:jc w:val="center"/>
            </w:pPr>
            <w:r>
              <w:rPr>
                <w:rFonts w:hint="eastAsia"/>
              </w:rPr>
              <w:t>4</w:t>
            </w:r>
          </w:p>
        </w:tc>
        <w:tc>
          <w:tcPr>
            <w:tcW w:w="1701" w:type="dxa"/>
            <w:vAlign w:val="center"/>
          </w:tcPr>
          <w:p>
            <w:pPr>
              <w:spacing w:line="300" w:lineRule="auto"/>
              <w:jc w:val="center"/>
            </w:pPr>
            <w:r>
              <w:rPr>
                <w:rFonts w:hint="eastAsia"/>
              </w:rPr>
              <w:t>三门峡市陕州区张茅乡苏村石灰岩矿</w:t>
            </w:r>
          </w:p>
        </w:tc>
        <w:tc>
          <w:tcPr>
            <w:tcW w:w="1276" w:type="dxa"/>
            <w:vAlign w:val="center"/>
          </w:tcPr>
          <w:p>
            <w:pPr>
              <w:spacing w:line="300" w:lineRule="auto"/>
              <w:jc w:val="center"/>
            </w:pPr>
            <w:r>
              <w:rPr>
                <w:rFonts w:hint="eastAsia"/>
              </w:rPr>
              <w:t>4.12</w:t>
            </w:r>
          </w:p>
        </w:tc>
        <w:tc>
          <w:tcPr>
            <w:tcW w:w="5561" w:type="dxa"/>
          </w:tcPr>
          <w:p>
            <w:pPr>
              <w:spacing w:line="300" w:lineRule="auto"/>
              <w:jc w:val="left"/>
            </w:pPr>
            <w:r>
              <w:rPr>
                <w:rFonts w:hint="eastAsia"/>
              </w:rPr>
              <w:t>坡面一般石方开挖1.18万方，清运1.51万m3，客土回填1.51万m3，场地平整4.01hm2，施农家肥0.59t，种植侧柏1900棵，养护3年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00" w:lineRule="auto"/>
              <w:jc w:val="center"/>
            </w:pPr>
            <w:r>
              <w:rPr>
                <w:rFonts w:hint="eastAsia"/>
              </w:rPr>
              <w:t>5</w:t>
            </w:r>
          </w:p>
        </w:tc>
        <w:tc>
          <w:tcPr>
            <w:tcW w:w="1701" w:type="dxa"/>
            <w:vAlign w:val="center"/>
          </w:tcPr>
          <w:p>
            <w:pPr>
              <w:spacing w:line="300" w:lineRule="auto"/>
              <w:jc w:val="center"/>
            </w:pPr>
            <w:r>
              <w:t>三门峡市陕州区张茅乡沟口村石灰岩矿</w:t>
            </w:r>
          </w:p>
        </w:tc>
        <w:tc>
          <w:tcPr>
            <w:tcW w:w="1276" w:type="dxa"/>
            <w:vAlign w:val="center"/>
          </w:tcPr>
          <w:p>
            <w:pPr>
              <w:spacing w:line="300" w:lineRule="auto"/>
              <w:jc w:val="center"/>
            </w:pPr>
            <w:r>
              <w:t>4.74</w:t>
            </w:r>
          </w:p>
        </w:tc>
        <w:tc>
          <w:tcPr>
            <w:tcW w:w="5561" w:type="dxa"/>
          </w:tcPr>
          <w:p>
            <w:pPr>
              <w:spacing w:line="300" w:lineRule="auto"/>
              <w:jc w:val="left"/>
            </w:pPr>
            <w:r>
              <w:t>土方开挖91275.46m</w:t>
            </w:r>
            <w:r>
              <w:rPr>
                <w:vertAlign w:val="superscript"/>
              </w:rPr>
              <w:t>3</w:t>
            </w:r>
            <w:r>
              <w:t>;挖掘机自卸汽车挖运客土10154.39m</w:t>
            </w:r>
            <w:r>
              <w:rPr>
                <w:vertAlign w:val="superscript"/>
              </w:rPr>
              <w:t>3</w:t>
            </w:r>
            <w:r>
              <w:t>，机械平土20308.78m</w:t>
            </w:r>
            <w:r>
              <w:rPr>
                <w:vertAlign w:val="superscript"/>
              </w:rPr>
              <w:t>2</w:t>
            </w:r>
            <w:r>
              <w:t>，修筑田埂991m，种植侧柏7646株，种植油松1181株，撒播草籽2.03hm</w:t>
            </w:r>
            <w:r>
              <w:rPr>
                <w:vertAlign w:val="superscript"/>
              </w:rPr>
              <w:t>2</w:t>
            </w:r>
            <w:r>
              <w:t>，养护</w:t>
            </w:r>
            <w:r>
              <w:rPr>
                <w:rFonts w:hint="eastAsia"/>
              </w:rPr>
              <w:t>3</w:t>
            </w:r>
            <w:r>
              <w:t>年</w:t>
            </w:r>
          </w:p>
        </w:tc>
      </w:tr>
    </w:tbl>
    <w:p>
      <w:pPr>
        <w:spacing w:before="156" w:beforeLines="50" w:after="156" w:afterLines="50" w:line="360" w:lineRule="auto"/>
        <w:ind w:left="105" w:leftChars="50" w:right="105" w:rightChars="50" w:firstLine="600" w:firstLineChars="200"/>
        <w:rPr>
          <w:rFonts w:asciiTheme="minorEastAsia" w:hAnsiTheme="minorEastAsia"/>
          <w:sz w:val="30"/>
          <w:szCs w:val="30"/>
        </w:rPr>
      </w:pPr>
    </w:p>
    <w:p>
      <w:pPr>
        <w:pStyle w:val="3"/>
        <w:rPr>
          <w:rFonts w:asciiTheme="minorEastAsia" w:hAnsiTheme="minorEastAsia"/>
          <w:sz w:val="30"/>
          <w:szCs w:val="30"/>
        </w:rPr>
      </w:pPr>
      <w:bookmarkStart w:id="4" w:name="_Toc93918198"/>
      <w:r>
        <w:rPr>
          <w:rFonts w:hint="eastAsia" w:asciiTheme="minorEastAsia" w:hAnsiTheme="minorEastAsia"/>
          <w:sz w:val="30"/>
          <w:szCs w:val="30"/>
        </w:rPr>
        <w:t>（四）项目绩效目标</w:t>
      </w:r>
      <w:bookmarkEnd w:id="4"/>
    </w:p>
    <w:p>
      <w:pPr>
        <w:pStyle w:val="15"/>
        <w:spacing w:before="156" w:beforeLines="50" w:after="156" w:afterLines="50" w:line="360" w:lineRule="auto"/>
        <w:ind w:left="105" w:leftChars="50" w:right="105" w:rightChars="50" w:firstLine="600"/>
        <w:rPr>
          <w:color w:val="000000" w:themeColor="text1"/>
          <w:sz w:val="30"/>
          <w:szCs w:val="30"/>
        </w:rPr>
      </w:pPr>
      <w:r>
        <w:rPr>
          <w:rFonts w:hint="eastAsia"/>
          <w:color w:val="000000" w:themeColor="text1"/>
          <w:sz w:val="30"/>
          <w:szCs w:val="30"/>
        </w:rPr>
        <w:t>根据开展历史遗留工矿废弃生态保护修复治理，完成自然资源部下达图斑治理，改善区域生态环境，提升区域生态环境质量，降低区域矿山地质灾害的发生率，保障区域生态安全，促进黄河流域生态保护和高质量发展的年度总体目标，</w:t>
      </w:r>
      <w:r>
        <w:rPr>
          <w:color w:val="000000" w:themeColor="text1"/>
          <w:sz w:val="30"/>
          <w:szCs w:val="30"/>
        </w:rPr>
        <w:t>通过对</w:t>
      </w:r>
      <w:r>
        <w:rPr>
          <w:rFonts w:hint="eastAsia"/>
          <w:color w:val="000000" w:themeColor="text1"/>
          <w:sz w:val="30"/>
          <w:szCs w:val="30"/>
        </w:rPr>
        <w:t>项目</w:t>
      </w:r>
      <w:r>
        <w:rPr>
          <w:color w:val="000000" w:themeColor="text1"/>
          <w:sz w:val="30"/>
          <w:szCs w:val="30"/>
        </w:rPr>
        <w:t>资金</w:t>
      </w:r>
      <w:r>
        <w:rPr>
          <w:rFonts w:hint="eastAsia"/>
          <w:color w:val="000000" w:themeColor="text1"/>
          <w:sz w:val="30"/>
          <w:szCs w:val="30"/>
        </w:rPr>
        <w:t>使用情况，目标完成情况以及综合效益</w:t>
      </w:r>
      <w:r>
        <w:rPr>
          <w:color w:val="000000" w:themeColor="text1"/>
          <w:sz w:val="30"/>
          <w:szCs w:val="30"/>
        </w:rPr>
        <w:t>进行绩效评价，考核项目绩效目标的实现情况，核查项目资金使用效果，查找项目实施过程中存在的问题，</w:t>
      </w:r>
      <w:r>
        <w:rPr>
          <w:rFonts w:hint="eastAsia"/>
          <w:color w:val="000000" w:themeColor="text1"/>
          <w:sz w:val="30"/>
          <w:szCs w:val="30"/>
        </w:rPr>
        <w:t>为</w:t>
      </w:r>
      <w:r>
        <w:rPr>
          <w:color w:val="000000" w:themeColor="text1"/>
          <w:sz w:val="30"/>
          <w:szCs w:val="30"/>
        </w:rPr>
        <w:t>进一步做好政策优化、资金分配、项目管理工作</w:t>
      </w:r>
      <w:r>
        <w:rPr>
          <w:rFonts w:hint="eastAsia"/>
          <w:color w:val="000000" w:themeColor="text1"/>
          <w:sz w:val="30"/>
          <w:szCs w:val="30"/>
        </w:rPr>
        <w:t>提供参考建议。</w:t>
      </w:r>
    </w:p>
    <w:p>
      <w:pPr>
        <w:pStyle w:val="2"/>
        <w:rPr>
          <w:rFonts w:asciiTheme="minorEastAsia" w:hAnsiTheme="minorEastAsia"/>
          <w:sz w:val="32"/>
          <w:szCs w:val="32"/>
        </w:rPr>
      </w:pPr>
      <w:bookmarkStart w:id="5" w:name="_Toc93918199"/>
      <w:r>
        <w:rPr>
          <w:rFonts w:hint="eastAsia" w:asciiTheme="minorEastAsia" w:hAnsiTheme="minorEastAsia"/>
          <w:sz w:val="32"/>
          <w:szCs w:val="32"/>
        </w:rPr>
        <w:t>二、绩效评价工作简述</w:t>
      </w:r>
      <w:bookmarkEnd w:id="5"/>
    </w:p>
    <w:p>
      <w:pPr>
        <w:pStyle w:val="2"/>
        <w:rPr>
          <w:rFonts w:asciiTheme="minorEastAsia" w:hAnsiTheme="minorEastAsia"/>
          <w:sz w:val="30"/>
          <w:szCs w:val="30"/>
        </w:rPr>
      </w:pPr>
      <w:bookmarkStart w:id="6" w:name="_Toc93918200"/>
      <w:r>
        <w:rPr>
          <w:rFonts w:hint="eastAsia" w:asciiTheme="minorEastAsia" w:hAnsiTheme="minorEastAsia"/>
          <w:sz w:val="30"/>
          <w:szCs w:val="30"/>
        </w:rPr>
        <w:t>（一）绩效评价目的、对象和范围</w:t>
      </w:r>
      <w:bookmarkEnd w:id="6"/>
    </w:p>
    <w:p>
      <w:pPr>
        <w:pStyle w:val="15"/>
        <w:numPr>
          <w:ilvl w:val="0"/>
          <w:numId w:val="1"/>
        </w:numPr>
        <w:spacing w:before="156" w:beforeLines="50" w:after="156" w:afterLines="50" w:line="360" w:lineRule="auto"/>
        <w:ind w:left="105" w:leftChars="50" w:right="105" w:rightChars="50" w:firstLine="600"/>
        <w:rPr>
          <w:rFonts w:asciiTheme="minorEastAsia" w:hAnsiTheme="minorEastAsia"/>
          <w:sz w:val="30"/>
          <w:szCs w:val="30"/>
        </w:rPr>
      </w:pPr>
      <w:r>
        <w:rPr>
          <w:rFonts w:hint="eastAsia" w:asciiTheme="minorEastAsia" w:hAnsiTheme="minorEastAsia"/>
          <w:sz w:val="30"/>
          <w:szCs w:val="30"/>
        </w:rPr>
        <w:t>绩效评价目的</w:t>
      </w:r>
    </w:p>
    <w:p>
      <w:pPr>
        <w:spacing w:before="156" w:beforeLines="50" w:after="156" w:afterLines="50" w:line="360" w:lineRule="auto"/>
        <w:ind w:left="105" w:leftChars="50" w:right="105" w:rightChars="50" w:firstLine="600" w:firstLineChars="200"/>
        <w:rPr>
          <w:rFonts w:asciiTheme="minorEastAsia" w:hAnsiTheme="minorEastAsia"/>
          <w:sz w:val="30"/>
          <w:szCs w:val="30"/>
        </w:rPr>
      </w:pPr>
      <w:r>
        <w:rPr>
          <w:rFonts w:hint="eastAsia" w:asciiTheme="minorEastAsia" w:hAnsiTheme="minorEastAsia"/>
          <w:sz w:val="30"/>
          <w:szCs w:val="30"/>
        </w:rPr>
        <w:t>本次绩效评价以黄河流域历史遗留废弃矿山治理项目资金为主线，考察资金使用情况、预算执行情況、项目进展情况、完工情况和项目产生的绩效等，从运行成本、管理效率、履职效能、社会效益、可持续发展能力和服务对象满意度等方面，多维度分析项目实施效果，客观评价项目绩效，并结合项目开展情况，深入分析有关问题、发展趋势与内在需求，对评价过程中发现的问题和不足，提出改进措施与建议，为下一步项目开展提供依据和参考。</w:t>
      </w:r>
    </w:p>
    <w:p>
      <w:pPr>
        <w:spacing w:before="156" w:beforeLines="50" w:after="156" w:afterLines="50" w:line="360" w:lineRule="auto"/>
        <w:ind w:left="105" w:leftChars="50" w:right="105" w:rightChars="50" w:firstLine="600" w:firstLineChars="200"/>
        <w:rPr>
          <w:rFonts w:asciiTheme="minorEastAsia" w:hAnsiTheme="minorEastAsia"/>
          <w:sz w:val="30"/>
          <w:szCs w:val="30"/>
        </w:rPr>
      </w:pPr>
      <w:r>
        <w:rPr>
          <w:rFonts w:hint="eastAsia" w:asciiTheme="minorEastAsia" w:hAnsiTheme="minorEastAsia"/>
          <w:sz w:val="30"/>
          <w:szCs w:val="30"/>
        </w:rPr>
        <w:t>2.评价对象及范围</w:t>
      </w:r>
    </w:p>
    <w:p>
      <w:pPr>
        <w:pStyle w:val="15"/>
        <w:spacing w:before="156" w:beforeLines="50" w:after="156" w:afterLines="50" w:line="360" w:lineRule="auto"/>
        <w:ind w:left="105" w:leftChars="50" w:right="105" w:rightChars="50" w:firstLine="600"/>
        <w:rPr>
          <w:sz w:val="30"/>
          <w:szCs w:val="30"/>
        </w:rPr>
      </w:pPr>
      <w:r>
        <w:rPr>
          <w:rFonts w:hint="eastAsia"/>
          <w:sz w:val="30"/>
          <w:szCs w:val="30"/>
        </w:rPr>
        <w:t>本次评价主要对象为：黄河流域历史遗留废弃矿山治理项目，项目资金合计1412.5万元，其中包括中央奖补资金800万，其他资金612.5万元，评价组根据收回的基础数据表（含调研），评价共抽查资金1400万元，实际支付268万元。</w:t>
      </w:r>
    </w:p>
    <w:p>
      <w:pPr>
        <w:pStyle w:val="3"/>
        <w:rPr>
          <w:rFonts w:asciiTheme="minorEastAsia" w:hAnsiTheme="minorEastAsia"/>
          <w:sz w:val="30"/>
          <w:szCs w:val="30"/>
        </w:rPr>
      </w:pPr>
      <w:bookmarkStart w:id="7" w:name="_Toc93918201"/>
      <w:r>
        <w:rPr>
          <w:rFonts w:hint="eastAsia" w:asciiTheme="minorEastAsia" w:hAnsiTheme="minorEastAsia"/>
          <w:sz w:val="30"/>
          <w:szCs w:val="30"/>
        </w:rPr>
        <w:t>（二）绩效评价的依据</w:t>
      </w:r>
      <w:bookmarkEnd w:id="7"/>
    </w:p>
    <w:p>
      <w:pPr>
        <w:spacing w:before="156" w:beforeLines="50" w:after="156" w:afterLines="50" w:line="360" w:lineRule="auto"/>
        <w:ind w:left="105" w:leftChars="50" w:right="105" w:rightChars="50" w:firstLine="600" w:firstLineChars="200"/>
        <w:rPr>
          <w:sz w:val="30"/>
          <w:szCs w:val="30"/>
        </w:rPr>
      </w:pPr>
      <w:r>
        <w:rPr>
          <w:rFonts w:hint="eastAsia"/>
          <w:sz w:val="30"/>
          <w:szCs w:val="30"/>
        </w:rPr>
        <w:t>（1）《财政部关于印发＜项目支出绩效评价管理办法＞的通知》(财预(2020)10号)；</w:t>
      </w:r>
    </w:p>
    <w:p>
      <w:pPr>
        <w:spacing w:before="156" w:beforeLines="50" w:after="156" w:afterLines="50" w:line="360" w:lineRule="auto"/>
        <w:ind w:left="105" w:leftChars="50" w:right="105" w:rightChars="50" w:firstLine="600" w:firstLineChars="200"/>
        <w:rPr>
          <w:sz w:val="30"/>
          <w:szCs w:val="30"/>
        </w:rPr>
      </w:pPr>
      <w:r>
        <w:rPr>
          <w:rFonts w:hint="eastAsia"/>
          <w:sz w:val="30"/>
          <w:szCs w:val="30"/>
        </w:rPr>
        <w:t>（2）关于贯彻落实《中共中央国务院关于全面实施预算绩效管理的意见》的通知(财预(2018)167号)；</w:t>
      </w:r>
    </w:p>
    <w:p>
      <w:pPr>
        <w:spacing w:before="156" w:beforeLines="50" w:after="156" w:afterLines="50" w:line="360" w:lineRule="auto"/>
        <w:ind w:left="105" w:leftChars="50" w:right="105" w:rightChars="50" w:firstLine="600" w:firstLineChars="200"/>
        <w:rPr>
          <w:sz w:val="30"/>
          <w:szCs w:val="30"/>
        </w:rPr>
      </w:pPr>
      <w:r>
        <w:rPr>
          <w:rFonts w:hint="eastAsia"/>
          <w:sz w:val="30"/>
          <w:szCs w:val="30"/>
        </w:rPr>
        <w:t>（3）《财政部关于印发＜预算绩效评价共性指标体系框架＞的通知》(对预(2013)53号)；</w:t>
      </w:r>
    </w:p>
    <w:p>
      <w:pPr>
        <w:pStyle w:val="15"/>
        <w:spacing w:before="156" w:beforeLines="50" w:after="156" w:afterLines="50" w:line="360" w:lineRule="auto"/>
        <w:ind w:left="105" w:leftChars="50" w:right="105" w:rightChars="50" w:firstLine="600"/>
        <w:rPr>
          <w:sz w:val="30"/>
          <w:szCs w:val="30"/>
        </w:rPr>
      </w:pPr>
      <w:r>
        <w:rPr>
          <w:rFonts w:hint="eastAsia"/>
          <w:sz w:val="30"/>
          <w:szCs w:val="30"/>
        </w:rPr>
        <w:t>（4）《中共河南省委河南省人民政府关于全面实施预算绩效管理的实施意见》(豫发(2019)10号)；</w:t>
      </w:r>
    </w:p>
    <w:p>
      <w:pPr>
        <w:pStyle w:val="15"/>
        <w:spacing w:before="156" w:beforeLines="50" w:after="156" w:afterLines="50" w:line="360" w:lineRule="auto"/>
        <w:ind w:left="105" w:leftChars="50" w:right="105" w:rightChars="50" w:firstLine="600"/>
        <w:rPr>
          <w:sz w:val="30"/>
          <w:szCs w:val="30"/>
        </w:rPr>
      </w:pPr>
      <w:r>
        <w:rPr>
          <w:rFonts w:hint="eastAsia"/>
          <w:sz w:val="30"/>
          <w:szCs w:val="30"/>
        </w:rPr>
        <w:t>（5）《中共三门峡市委三门峡市人民政府关于全面实施预算绩效管理的实施意见》(三发(2020)14号)；</w:t>
      </w:r>
    </w:p>
    <w:p>
      <w:pPr>
        <w:pStyle w:val="15"/>
        <w:spacing w:before="156" w:beforeLines="50" w:after="156" w:afterLines="50" w:line="360" w:lineRule="auto"/>
        <w:ind w:left="105" w:leftChars="50" w:right="105" w:rightChars="50" w:firstLine="600"/>
        <w:rPr>
          <w:sz w:val="30"/>
          <w:szCs w:val="30"/>
        </w:rPr>
      </w:pPr>
      <w:r>
        <w:rPr>
          <w:rFonts w:hint="eastAsia"/>
          <w:sz w:val="30"/>
          <w:szCs w:val="30"/>
        </w:rPr>
        <w:t>（6）《河南省污染防治攻坚战三年行动计划(2018-2020年)》(豫政2018130号)；</w:t>
      </w:r>
    </w:p>
    <w:p>
      <w:pPr>
        <w:widowControl/>
        <w:ind w:firstLine="600" w:firstLineChars="200"/>
        <w:rPr>
          <w:sz w:val="30"/>
          <w:szCs w:val="30"/>
        </w:rPr>
      </w:pPr>
      <w:r>
        <w:rPr>
          <w:rFonts w:hint="eastAsia"/>
          <w:sz w:val="30"/>
          <w:szCs w:val="30"/>
        </w:rPr>
        <w:t>（7）</w:t>
      </w:r>
      <w:r>
        <w:rPr>
          <w:sz w:val="30"/>
          <w:szCs w:val="30"/>
        </w:rPr>
        <w:t>《河南省露天矿山综合整治三年行动计划（2018—2020年）实施方案》</w:t>
      </w:r>
      <w:r>
        <w:rPr>
          <w:rFonts w:hint="eastAsia"/>
          <w:sz w:val="30"/>
          <w:szCs w:val="30"/>
        </w:rPr>
        <w:t>；</w:t>
      </w:r>
    </w:p>
    <w:p>
      <w:pPr>
        <w:widowControl/>
        <w:ind w:firstLine="600" w:firstLineChars="200"/>
        <w:rPr>
          <w:sz w:val="30"/>
          <w:szCs w:val="30"/>
        </w:rPr>
      </w:pPr>
      <w:r>
        <w:rPr>
          <w:rFonts w:hint="eastAsia"/>
          <w:sz w:val="30"/>
          <w:szCs w:val="30"/>
        </w:rPr>
        <w:t>（8）</w:t>
      </w:r>
      <w:r>
        <w:rPr>
          <w:sz w:val="30"/>
          <w:szCs w:val="30"/>
        </w:rPr>
        <w:t>《三门峡市露天矿山综合整治三年行动计划（2018-2020年）实施方案》</w:t>
      </w:r>
      <w:r>
        <w:rPr>
          <w:rFonts w:hint="eastAsia"/>
          <w:sz w:val="30"/>
          <w:szCs w:val="30"/>
        </w:rPr>
        <w:t>；</w:t>
      </w:r>
    </w:p>
    <w:p>
      <w:pPr>
        <w:widowControl/>
        <w:ind w:firstLine="600" w:firstLineChars="200"/>
        <w:rPr>
          <w:sz w:val="30"/>
          <w:szCs w:val="30"/>
        </w:rPr>
      </w:pPr>
      <w:r>
        <w:rPr>
          <w:rFonts w:hint="eastAsia"/>
          <w:sz w:val="30"/>
          <w:szCs w:val="30"/>
        </w:rPr>
        <w:t>（9）</w:t>
      </w:r>
      <w:r>
        <w:rPr>
          <w:sz w:val="30"/>
          <w:szCs w:val="30"/>
        </w:rPr>
        <w:t>《三门峡市矿山地质环境恢复和综合治理规划（2017-2025年）》</w:t>
      </w:r>
      <w:r>
        <w:rPr>
          <w:rFonts w:hint="eastAsia"/>
          <w:sz w:val="30"/>
          <w:szCs w:val="30"/>
        </w:rPr>
        <w:t>；</w:t>
      </w:r>
    </w:p>
    <w:p>
      <w:pPr>
        <w:widowControl/>
        <w:ind w:firstLine="600" w:firstLineChars="200"/>
        <w:rPr>
          <w:sz w:val="30"/>
          <w:szCs w:val="30"/>
        </w:rPr>
      </w:pPr>
      <w:r>
        <w:rPr>
          <w:rFonts w:hint="eastAsia"/>
          <w:sz w:val="30"/>
          <w:szCs w:val="30"/>
        </w:rPr>
        <w:t>（10）</w:t>
      </w:r>
      <w:r>
        <w:rPr>
          <w:sz w:val="30"/>
          <w:szCs w:val="30"/>
        </w:rPr>
        <w:t>《三门峡市陕州区矿山地质环境恢复和综合治理规划（2017-2025年）》</w:t>
      </w:r>
      <w:r>
        <w:rPr>
          <w:rFonts w:hint="eastAsia"/>
          <w:sz w:val="30"/>
          <w:szCs w:val="30"/>
        </w:rPr>
        <w:t>；</w:t>
      </w:r>
    </w:p>
    <w:p>
      <w:pPr>
        <w:pStyle w:val="15"/>
        <w:spacing w:before="156" w:beforeLines="50" w:after="156" w:afterLines="50" w:line="360" w:lineRule="auto"/>
        <w:ind w:left="105" w:leftChars="50" w:right="105" w:rightChars="50" w:firstLine="600"/>
        <w:rPr>
          <w:sz w:val="30"/>
          <w:szCs w:val="30"/>
        </w:rPr>
      </w:pPr>
      <w:r>
        <w:rPr>
          <w:rFonts w:hint="eastAsia"/>
          <w:sz w:val="30"/>
          <w:szCs w:val="30"/>
        </w:rPr>
        <w:t>（11）项目绩效目标及其他相关资料，财政部门预算批复，财政部门和预算部门年度预算执行情况；</w:t>
      </w:r>
    </w:p>
    <w:p>
      <w:pPr>
        <w:pStyle w:val="15"/>
        <w:spacing w:before="156" w:beforeLines="50" w:after="156" w:afterLines="50" w:line="360" w:lineRule="auto"/>
        <w:ind w:left="105" w:leftChars="50" w:right="105" w:rightChars="50" w:firstLine="600"/>
        <w:rPr>
          <w:sz w:val="30"/>
          <w:szCs w:val="30"/>
        </w:rPr>
      </w:pPr>
      <w:r>
        <w:rPr>
          <w:rFonts w:hint="eastAsia"/>
          <w:sz w:val="30"/>
          <w:szCs w:val="30"/>
        </w:rPr>
        <w:t>（12）其他相关制度和文件。</w:t>
      </w:r>
    </w:p>
    <w:p>
      <w:pPr>
        <w:pStyle w:val="3"/>
        <w:rPr>
          <w:rFonts w:asciiTheme="minorEastAsia" w:hAnsiTheme="minorEastAsia"/>
          <w:sz w:val="30"/>
          <w:szCs w:val="30"/>
        </w:rPr>
      </w:pPr>
      <w:bookmarkStart w:id="8" w:name="_Toc93918202"/>
      <w:r>
        <w:rPr>
          <w:rFonts w:hint="eastAsia" w:asciiTheme="minorEastAsia" w:hAnsiTheme="minorEastAsia"/>
          <w:sz w:val="30"/>
          <w:szCs w:val="30"/>
        </w:rPr>
        <w:t>（三）绩效评价工作过程</w:t>
      </w:r>
      <w:bookmarkEnd w:id="8"/>
    </w:p>
    <w:p>
      <w:pPr>
        <w:spacing w:before="156" w:beforeLines="50" w:after="156" w:afterLines="50" w:line="360" w:lineRule="auto"/>
        <w:ind w:left="105" w:leftChars="50" w:right="105" w:rightChars="50" w:firstLine="600" w:firstLineChars="200"/>
        <w:rPr>
          <w:sz w:val="30"/>
          <w:szCs w:val="30"/>
        </w:rPr>
      </w:pPr>
      <w:r>
        <w:rPr>
          <w:rFonts w:hint="eastAsia"/>
          <w:sz w:val="30"/>
          <w:szCs w:val="30"/>
        </w:rPr>
        <w:t>本次绩效评价工作期间为</w:t>
      </w:r>
      <w:r>
        <w:rPr>
          <w:rFonts w:hint="eastAsia"/>
          <w:color w:val="auto"/>
          <w:sz w:val="30"/>
          <w:szCs w:val="30"/>
        </w:rPr>
        <w:t>2022年11月15日至2022年12月14日，历经前期准备、现场</w:t>
      </w:r>
      <w:r>
        <w:rPr>
          <w:rFonts w:hint="eastAsia"/>
          <w:sz w:val="30"/>
          <w:szCs w:val="30"/>
        </w:rPr>
        <w:t>实施、数据分析与报告撰写等阶段。在此基础上，按要求形成初步评价报告，并根据相关部门、专家意见进行修改完善，形成最终绩效评价报告。</w:t>
      </w:r>
    </w:p>
    <w:p>
      <w:pPr>
        <w:pStyle w:val="15"/>
        <w:spacing w:before="156" w:beforeLines="50" w:after="156" w:afterLines="50" w:line="360" w:lineRule="auto"/>
        <w:ind w:left="105" w:leftChars="50" w:right="105" w:rightChars="50" w:firstLine="600"/>
        <w:rPr>
          <w:sz w:val="30"/>
          <w:szCs w:val="30"/>
        </w:rPr>
      </w:pPr>
      <w:r>
        <w:rPr>
          <w:rFonts w:hint="eastAsia"/>
          <w:sz w:val="30"/>
          <w:szCs w:val="30"/>
        </w:rPr>
        <w:t>1.前期准备工作</w:t>
      </w:r>
    </w:p>
    <w:p>
      <w:pPr>
        <w:pStyle w:val="15"/>
        <w:spacing w:before="156" w:beforeLines="50" w:after="156" w:afterLines="50" w:line="360" w:lineRule="auto"/>
        <w:ind w:left="105" w:leftChars="50" w:right="105" w:rightChars="50" w:firstLine="600"/>
        <w:rPr>
          <w:sz w:val="30"/>
          <w:szCs w:val="30"/>
        </w:rPr>
      </w:pPr>
      <w:r>
        <w:rPr>
          <w:rFonts w:hint="eastAsia"/>
          <w:sz w:val="30"/>
          <w:szCs w:val="30"/>
        </w:rPr>
        <w:t>各项目建设单位根据财政局绩效评价工作部署要求，基于我公司提供的《绩效评价资料清单》对项目资金使用过程中的相关资料进行汇总、准备，资料交接时间为一周。</w:t>
      </w:r>
    </w:p>
    <w:p>
      <w:pPr>
        <w:pStyle w:val="15"/>
        <w:spacing w:before="156" w:beforeLines="50" w:after="156" w:afterLines="50" w:line="360" w:lineRule="auto"/>
        <w:ind w:left="105" w:leftChars="50" w:right="105" w:rightChars="50" w:firstLine="600"/>
        <w:rPr>
          <w:sz w:val="30"/>
          <w:szCs w:val="30"/>
        </w:rPr>
      </w:pPr>
      <w:r>
        <w:rPr>
          <w:rFonts w:hint="eastAsia"/>
          <w:sz w:val="30"/>
          <w:szCs w:val="30"/>
        </w:rPr>
        <w:t xml:space="preserve"> 2.制定绩效评价指标</w:t>
      </w:r>
    </w:p>
    <w:p>
      <w:pPr>
        <w:pStyle w:val="15"/>
        <w:spacing w:before="156" w:beforeLines="50" w:after="156" w:afterLines="50" w:line="360" w:lineRule="auto"/>
        <w:ind w:left="105" w:leftChars="50" w:right="105" w:rightChars="50" w:firstLine="600"/>
        <w:rPr>
          <w:sz w:val="30"/>
          <w:szCs w:val="30"/>
        </w:rPr>
      </w:pPr>
      <w:r>
        <w:rPr>
          <w:rFonts w:hint="eastAsia"/>
          <w:sz w:val="30"/>
          <w:szCs w:val="30"/>
        </w:rPr>
        <w:t>评价组就绩效评价工作内容有针对性地学习了解相关政策及管理制度；制定具体的绩效评价工作方案提交财政局、被评价单位进行审核沟并确定绩效目标和绩效评价指标体系。</w:t>
      </w:r>
    </w:p>
    <w:p>
      <w:pPr>
        <w:pStyle w:val="15"/>
        <w:spacing w:before="156" w:beforeLines="50" w:after="156" w:afterLines="50" w:line="360" w:lineRule="auto"/>
        <w:ind w:left="105" w:leftChars="50" w:right="105" w:rightChars="50" w:firstLine="600"/>
        <w:rPr>
          <w:sz w:val="30"/>
          <w:szCs w:val="30"/>
        </w:rPr>
      </w:pPr>
      <w:r>
        <w:rPr>
          <w:rFonts w:hint="eastAsia"/>
          <w:sz w:val="30"/>
          <w:szCs w:val="30"/>
        </w:rPr>
        <w:t>3.问卷调查</w:t>
      </w:r>
    </w:p>
    <w:p>
      <w:pPr>
        <w:spacing w:before="156" w:beforeLines="50" w:after="156" w:afterLines="50" w:line="360" w:lineRule="auto"/>
        <w:ind w:left="105" w:leftChars="50" w:right="105" w:rightChars="50" w:firstLine="600" w:firstLineChars="200"/>
        <w:rPr>
          <w:sz w:val="30"/>
          <w:szCs w:val="30"/>
        </w:rPr>
      </w:pPr>
      <w:r>
        <w:rPr>
          <w:rFonts w:hint="eastAsia"/>
          <w:sz w:val="30"/>
          <w:szCs w:val="30"/>
        </w:rPr>
        <w:t>根据项目的内容及绩效评价目标从项目实施带来的各方面效益，设计调查问卷，由财政局和被评价单位共同参与，对受益对象满意度展开调查，调查结束后对调查问卷进行整合分析。问卷调查见下表2.1。</w:t>
      </w:r>
    </w:p>
    <w:p>
      <w:pPr>
        <w:spacing w:line="360" w:lineRule="auto"/>
        <w:jc w:val="center"/>
        <w:rPr>
          <w:rFonts w:asciiTheme="minorEastAsia" w:hAnsiTheme="minorEastAsia"/>
          <w:sz w:val="34"/>
          <w:szCs w:val="34"/>
        </w:rPr>
      </w:pPr>
      <w:r>
        <w:rPr>
          <w:rFonts w:hint="eastAsia" w:asciiTheme="minorEastAsia" w:hAnsiTheme="minorEastAsia"/>
          <w:sz w:val="34"/>
          <w:szCs w:val="34"/>
        </w:rPr>
        <w:t>表2.1黄河流域历史遗留废弃矿山治理项目</w:t>
      </w:r>
    </w:p>
    <w:p>
      <w:pPr>
        <w:spacing w:line="360" w:lineRule="auto"/>
        <w:jc w:val="center"/>
        <w:rPr>
          <w:rFonts w:asciiTheme="minorEastAsia" w:hAnsiTheme="minorEastAsia"/>
          <w:sz w:val="34"/>
          <w:szCs w:val="34"/>
        </w:rPr>
      </w:pPr>
      <w:r>
        <w:rPr>
          <w:rFonts w:hint="eastAsia" w:asciiTheme="minorEastAsia" w:hAnsiTheme="minorEastAsia"/>
          <w:sz w:val="34"/>
          <w:szCs w:val="34"/>
        </w:rPr>
        <w:t>绩效评价实地调查问卷</w:t>
      </w:r>
    </w:p>
    <w:p>
      <w:pPr>
        <w:ind w:firstLine="520" w:firstLineChars="200"/>
        <w:jc w:val="left"/>
        <w:rPr>
          <w:rFonts w:asciiTheme="minorEastAsia" w:hAnsiTheme="minorEastAsia"/>
          <w:sz w:val="26"/>
          <w:szCs w:val="26"/>
        </w:rPr>
      </w:pPr>
      <w:r>
        <w:rPr>
          <w:rFonts w:hint="eastAsia" w:asciiTheme="minorEastAsia" w:hAnsiTheme="minorEastAsia"/>
          <w:sz w:val="26"/>
          <w:szCs w:val="26"/>
        </w:rPr>
        <w:t>感谢您能在百忙之中抽空来完成本次调查！下面是一些关于黄河流域历史遗留废弃矿山治理项目的问题，希望您能耐心填写。</w:t>
      </w:r>
    </w:p>
    <w:p>
      <w:pPr>
        <w:widowControl/>
        <w:spacing w:before="156" w:beforeLines="50" w:after="156" w:afterLines="50"/>
        <w:ind w:left="105" w:leftChars="50" w:right="105" w:rightChars="50"/>
        <w:jc w:val="left"/>
        <w:rPr>
          <w:rFonts w:ascii="宋体" w:hAnsi="宋体" w:eastAsia="宋体" w:cs="宋体"/>
          <w:kern w:val="0"/>
          <w:sz w:val="24"/>
          <w:szCs w:val="24"/>
        </w:rPr>
      </w:pPr>
      <w:r>
        <w:rPr>
          <w:rFonts w:hint="eastAsia" w:ascii="宋体" w:hAnsi="宋体" w:eastAsia="宋体" w:cs="宋体"/>
          <w:kern w:val="0"/>
          <w:sz w:val="24"/>
          <w:szCs w:val="24"/>
        </w:rPr>
        <w:t>1</w:t>
      </w:r>
      <w:r>
        <w:rPr>
          <w:rFonts w:ascii="宋体" w:hAnsi="宋体" w:eastAsia="宋体" w:cs="宋体"/>
          <w:kern w:val="0"/>
          <w:sz w:val="24"/>
          <w:szCs w:val="24"/>
        </w:rPr>
        <w:t>. 您的居住区域为</w:t>
      </w:r>
    </w:p>
    <w:p>
      <w:pPr>
        <w:widowControl/>
        <w:spacing w:before="156" w:beforeLines="50" w:after="156" w:afterLines="50"/>
        <w:ind w:left="105" w:leftChars="50" w:right="105" w:rightChars="50"/>
        <w:jc w:val="left"/>
        <w:rPr>
          <w:rFonts w:ascii="宋体" w:hAnsi="宋体" w:eastAsia="宋体" w:cs="宋体"/>
          <w:kern w:val="0"/>
          <w:sz w:val="24"/>
          <w:szCs w:val="24"/>
        </w:rPr>
      </w:pPr>
      <w:r>
        <w:rPr>
          <w:rFonts w:hint="eastAsia" w:ascii="宋体" w:hAnsi="宋体" w:eastAsia="宋体" w:cs="宋体"/>
          <w:color w:val="333333"/>
          <w:kern w:val="0"/>
          <w:sz w:val="24"/>
          <w:szCs w:val="24"/>
        </w:rPr>
        <w:t xml:space="preserve">□张茅乡苏村、贯沟村       □观音堂镇石壕村   </w:t>
      </w:r>
    </w:p>
    <w:p>
      <w:pPr>
        <w:widowControl/>
        <w:spacing w:before="156" w:beforeLines="50" w:after="156" w:afterLines="50"/>
        <w:ind w:left="105" w:leftChars="50" w:right="105" w:rightChars="50"/>
        <w:jc w:val="left"/>
        <w:rPr>
          <w:rFonts w:ascii="宋体" w:hAnsi="宋体" w:eastAsia="宋体" w:cs="宋体"/>
          <w:kern w:val="0"/>
          <w:sz w:val="24"/>
          <w:szCs w:val="24"/>
        </w:rPr>
      </w:pPr>
      <w:r>
        <w:rPr>
          <w:rFonts w:hint="eastAsia" w:ascii="宋体" w:hAnsi="宋体" w:eastAsia="宋体" w:cs="宋体"/>
          <w:kern w:val="0"/>
          <w:sz w:val="24"/>
          <w:szCs w:val="24"/>
        </w:rPr>
        <w:t>2</w:t>
      </w:r>
      <w:r>
        <w:rPr>
          <w:rFonts w:ascii="宋体" w:hAnsi="宋体" w:eastAsia="宋体" w:cs="宋体"/>
          <w:kern w:val="0"/>
          <w:sz w:val="24"/>
          <w:szCs w:val="24"/>
        </w:rPr>
        <w:t>. 您是否了解矿区废弃露天矿山生态修复项目?</w:t>
      </w:r>
    </w:p>
    <w:p>
      <w:pPr>
        <w:widowControl/>
        <w:spacing w:before="156" w:beforeLines="50" w:after="156" w:afterLines="50"/>
        <w:ind w:left="105" w:leftChars="50" w:right="105" w:rightChars="50"/>
        <w:jc w:val="left"/>
        <w:rPr>
          <w:rFonts w:ascii="宋体" w:hAnsi="宋体" w:eastAsia="宋体" w:cs="宋体"/>
          <w:color w:val="333333"/>
          <w:kern w:val="0"/>
          <w:sz w:val="24"/>
          <w:szCs w:val="24"/>
        </w:rPr>
      </w:pPr>
      <w:r>
        <w:rPr>
          <w:rFonts w:hint="eastAsia" w:ascii="宋体" w:hAnsi="宋体" w:eastAsia="宋体" w:cs="宋体"/>
          <w:color w:val="333333"/>
          <w:kern w:val="0"/>
          <w:sz w:val="24"/>
          <w:szCs w:val="24"/>
        </w:rPr>
        <w:t>□</w:t>
      </w:r>
      <w:r>
        <w:rPr>
          <w:rFonts w:ascii="宋体" w:hAnsi="宋体" w:eastAsia="宋体" w:cs="宋体"/>
          <w:color w:val="333333"/>
          <w:kern w:val="0"/>
          <w:sz w:val="24"/>
          <w:szCs w:val="24"/>
        </w:rPr>
        <w:t>非常了解</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基本了解</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不了解</w:t>
      </w:r>
    </w:p>
    <w:p>
      <w:pPr>
        <w:widowControl/>
        <w:spacing w:before="156" w:beforeLines="50" w:after="156" w:afterLines="50"/>
        <w:ind w:left="105" w:leftChars="50" w:right="105" w:rightChars="50"/>
        <w:jc w:val="left"/>
        <w:rPr>
          <w:rFonts w:ascii="宋体" w:hAnsi="宋体" w:eastAsia="宋体" w:cs="宋体"/>
          <w:kern w:val="0"/>
          <w:sz w:val="24"/>
          <w:szCs w:val="24"/>
        </w:rPr>
      </w:pPr>
      <w:r>
        <w:rPr>
          <w:rFonts w:hint="eastAsia" w:ascii="宋体" w:hAnsi="宋体" w:eastAsia="宋体" w:cs="宋体"/>
          <w:kern w:val="0"/>
          <w:sz w:val="24"/>
          <w:szCs w:val="24"/>
        </w:rPr>
        <w:t>3</w:t>
      </w:r>
      <w:r>
        <w:rPr>
          <w:rFonts w:ascii="宋体" w:hAnsi="宋体" w:eastAsia="宋体" w:cs="宋体"/>
          <w:kern w:val="0"/>
          <w:sz w:val="24"/>
          <w:szCs w:val="24"/>
        </w:rPr>
        <w:t>. 您</w:t>
      </w:r>
      <w:r>
        <w:rPr>
          <w:rFonts w:hint="eastAsia" w:ascii="宋体" w:hAnsi="宋体" w:eastAsia="宋体" w:cs="宋体"/>
          <w:kern w:val="0"/>
          <w:sz w:val="24"/>
          <w:szCs w:val="24"/>
        </w:rPr>
        <w:t>认为对</w:t>
      </w:r>
      <w:r>
        <w:rPr>
          <w:rFonts w:ascii="宋体" w:hAnsi="宋体" w:eastAsia="宋体" w:cs="宋体"/>
          <w:kern w:val="0"/>
          <w:sz w:val="24"/>
          <w:szCs w:val="24"/>
        </w:rPr>
        <w:t>矿区废弃露天矿山</w:t>
      </w:r>
      <w:r>
        <w:rPr>
          <w:rFonts w:hint="eastAsia" w:ascii="宋体" w:hAnsi="宋体" w:eastAsia="宋体" w:cs="宋体"/>
          <w:kern w:val="0"/>
          <w:sz w:val="24"/>
          <w:szCs w:val="24"/>
        </w:rPr>
        <w:t>的</w:t>
      </w:r>
      <w:r>
        <w:rPr>
          <w:rFonts w:ascii="宋体" w:hAnsi="宋体" w:eastAsia="宋体" w:cs="宋体"/>
          <w:kern w:val="0"/>
          <w:sz w:val="24"/>
          <w:szCs w:val="24"/>
        </w:rPr>
        <w:t>修复</w:t>
      </w:r>
      <w:r>
        <w:rPr>
          <w:rFonts w:hint="eastAsia" w:ascii="宋体" w:hAnsi="宋体" w:eastAsia="宋体" w:cs="宋体"/>
          <w:kern w:val="0"/>
          <w:sz w:val="24"/>
          <w:szCs w:val="24"/>
        </w:rPr>
        <w:t>是否有必要</w:t>
      </w:r>
      <w:r>
        <w:rPr>
          <w:rFonts w:ascii="宋体" w:hAnsi="宋体" w:eastAsia="宋体" w:cs="宋体"/>
          <w:kern w:val="0"/>
          <w:sz w:val="24"/>
          <w:szCs w:val="24"/>
        </w:rPr>
        <w:t>?</w:t>
      </w:r>
    </w:p>
    <w:p>
      <w:pPr>
        <w:widowControl/>
        <w:spacing w:before="156" w:beforeLines="50" w:after="156" w:afterLines="50"/>
        <w:ind w:left="105" w:leftChars="50" w:right="105" w:rightChars="50"/>
        <w:jc w:val="left"/>
        <w:rPr>
          <w:rFonts w:ascii="宋体" w:hAnsi="宋体" w:eastAsia="宋体" w:cs="宋体"/>
          <w:color w:val="333333"/>
          <w:kern w:val="0"/>
          <w:sz w:val="24"/>
          <w:szCs w:val="24"/>
        </w:rPr>
      </w:pPr>
      <w:r>
        <w:rPr>
          <w:rFonts w:hint="eastAsia" w:ascii="宋体" w:hAnsi="宋体" w:eastAsia="宋体" w:cs="宋体"/>
          <w:color w:val="333333"/>
          <w:kern w:val="0"/>
          <w:sz w:val="24"/>
          <w:szCs w:val="24"/>
        </w:rPr>
        <w:t>□</w:t>
      </w:r>
      <w:r>
        <w:rPr>
          <w:rFonts w:ascii="宋体" w:hAnsi="宋体" w:eastAsia="宋体" w:cs="宋体"/>
          <w:color w:val="333333"/>
          <w:kern w:val="0"/>
          <w:sz w:val="24"/>
          <w:szCs w:val="24"/>
        </w:rPr>
        <w:t>非常</w:t>
      </w:r>
      <w:r>
        <w:rPr>
          <w:rFonts w:hint="eastAsia" w:ascii="宋体" w:hAnsi="宋体" w:eastAsia="宋体" w:cs="宋体"/>
          <w:color w:val="333333"/>
          <w:kern w:val="0"/>
          <w:sz w:val="24"/>
          <w:szCs w:val="24"/>
        </w:rPr>
        <w:t>有必要       □一般           □没必要</w:t>
      </w:r>
    </w:p>
    <w:p>
      <w:pPr>
        <w:widowControl/>
        <w:spacing w:before="156" w:beforeLines="50" w:after="156" w:afterLines="50"/>
        <w:ind w:left="105" w:leftChars="50" w:right="105" w:rightChars="50"/>
        <w:jc w:val="left"/>
        <w:rPr>
          <w:rFonts w:ascii="宋体" w:hAnsi="宋体" w:eastAsia="宋体" w:cs="宋体"/>
          <w:kern w:val="0"/>
          <w:sz w:val="24"/>
          <w:szCs w:val="24"/>
        </w:rPr>
      </w:pPr>
      <w:r>
        <w:rPr>
          <w:rFonts w:hint="eastAsia" w:ascii="宋体" w:hAnsi="宋体" w:eastAsia="宋体" w:cs="宋体"/>
          <w:kern w:val="0"/>
          <w:sz w:val="24"/>
          <w:szCs w:val="24"/>
        </w:rPr>
        <w:t>4</w:t>
      </w:r>
      <w:r>
        <w:rPr>
          <w:rFonts w:ascii="宋体" w:hAnsi="宋体" w:eastAsia="宋体" w:cs="宋体"/>
          <w:kern w:val="0"/>
          <w:sz w:val="24"/>
          <w:szCs w:val="24"/>
        </w:rPr>
        <w:t>.</w:t>
      </w:r>
      <w:r>
        <w:rPr>
          <w:rFonts w:ascii="Helvetica" w:hAnsi="Helvetica" w:cs="Helvetica"/>
          <w:color w:val="262626"/>
          <w:shd w:val="clear" w:color="auto" w:fill="FFFFFF"/>
        </w:rPr>
        <w:t xml:space="preserve"> 您所居住</w:t>
      </w:r>
      <w:r>
        <w:rPr>
          <w:rFonts w:hint="eastAsia" w:ascii="Helvetica" w:hAnsi="Helvetica" w:cs="Helvetica"/>
          <w:color w:val="262626"/>
          <w:shd w:val="clear" w:color="auto" w:fill="FFFFFF"/>
        </w:rPr>
        <w:t>的地区</w:t>
      </w:r>
      <w:r>
        <w:rPr>
          <w:rFonts w:ascii="Helvetica" w:hAnsi="Helvetica" w:cs="Helvetica"/>
          <w:color w:val="262626"/>
          <w:shd w:val="clear" w:color="auto" w:fill="FFFFFF"/>
        </w:rPr>
        <w:t>矿山生态环境如何</w:t>
      </w:r>
      <w:r>
        <w:rPr>
          <w:rFonts w:ascii="宋体" w:hAnsi="宋体" w:eastAsia="宋体" w:cs="宋体"/>
          <w:kern w:val="0"/>
          <w:sz w:val="24"/>
          <w:szCs w:val="24"/>
        </w:rPr>
        <w:t>?</w:t>
      </w:r>
    </w:p>
    <w:p>
      <w:pPr>
        <w:widowControl/>
        <w:spacing w:before="156" w:beforeLines="50" w:after="156" w:afterLines="50"/>
        <w:ind w:left="105" w:leftChars="50" w:right="105" w:rightChars="50"/>
        <w:jc w:val="left"/>
        <w:rPr>
          <w:rFonts w:ascii="宋体" w:hAnsi="宋体" w:eastAsia="宋体" w:cs="宋体"/>
          <w:kern w:val="0"/>
          <w:sz w:val="24"/>
          <w:szCs w:val="24"/>
        </w:rPr>
      </w:pPr>
      <w:r>
        <w:rPr>
          <w:rFonts w:hint="eastAsia" w:ascii="宋体" w:hAnsi="宋体" w:eastAsia="宋体" w:cs="宋体"/>
          <w:color w:val="333333"/>
          <w:kern w:val="0"/>
          <w:sz w:val="24"/>
          <w:szCs w:val="24"/>
        </w:rPr>
        <w:t>□非常好           □一般           □非常差</w:t>
      </w:r>
    </w:p>
    <w:p>
      <w:pPr>
        <w:widowControl/>
        <w:spacing w:before="156" w:beforeLines="50" w:after="156" w:afterLines="50"/>
        <w:ind w:left="105" w:leftChars="50" w:right="105" w:rightChars="50"/>
        <w:jc w:val="left"/>
        <w:rPr>
          <w:rFonts w:ascii="宋体" w:hAnsi="宋体" w:eastAsia="宋体" w:cs="宋体"/>
          <w:kern w:val="0"/>
          <w:sz w:val="24"/>
          <w:szCs w:val="24"/>
        </w:rPr>
      </w:pPr>
      <w:r>
        <w:rPr>
          <w:rFonts w:hint="eastAsia" w:ascii="宋体" w:hAnsi="宋体" w:eastAsia="宋体" w:cs="宋体"/>
          <w:kern w:val="0"/>
          <w:sz w:val="24"/>
          <w:szCs w:val="24"/>
        </w:rPr>
        <w:t>5</w:t>
      </w:r>
      <w:r>
        <w:rPr>
          <w:rFonts w:ascii="宋体" w:hAnsi="宋体" w:eastAsia="宋体" w:cs="宋体"/>
          <w:kern w:val="0"/>
          <w:sz w:val="24"/>
          <w:szCs w:val="24"/>
        </w:rPr>
        <w:t>. 您认为项目实施后，是否能够降低地质灾害的发生，达到防灾减灾的目的?</w:t>
      </w:r>
    </w:p>
    <w:p>
      <w:pPr>
        <w:widowControl/>
        <w:spacing w:before="156" w:beforeLines="50" w:after="156" w:afterLines="50"/>
        <w:ind w:left="105" w:leftChars="50" w:right="105" w:rightChars="50"/>
        <w:jc w:val="left"/>
        <w:rPr>
          <w:rFonts w:ascii="宋体" w:hAnsi="宋体" w:eastAsia="宋体" w:cs="宋体"/>
          <w:kern w:val="0"/>
          <w:sz w:val="24"/>
          <w:szCs w:val="24"/>
        </w:rPr>
      </w:pPr>
      <w:r>
        <w:rPr>
          <w:rFonts w:hint="eastAsia" w:ascii="宋体" w:hAnsi="宋体" w:eastAsia="宋体" w:cs="宋体"/>
          <w:color w:val="333333"/>
          <w:kern w:val="0"/>
          <w:sz w:val="24"/>
          <w:szCs w:val="24"/>
        </w:rPr>
        <w:t>□</w:t>
      </w:r>
      <w:r>
        <w:rPr>
          <w:rFonts w:ascii="宋体" w:hAnsi="宋体" w:eastAsia="宋体" w:cs="宋体"/>
          <w:color w:val="333333"/>
          <w:kern w:val="0"/>
          <w:sz w:val="24"/>
          <w:szCs w:val="24"/>
        </w:rPr>
        <w:t>明显降低</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降低</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没有降低</w:t>
      </w:r>
    </w:p>
    <w:p>
      <w:pPr>
        <w:widowControl/>
        <w:spacing w:before="156" w:beforeLines="50" w:after="156" w:afterLines="50"/>
        <w:ind w:left="105" w:leftChars="50" w:right="105" w:rightChars="50"/>
        <w:jc w:val="left"/>
        <w:rPr>
          <w:rFonts w:ascii="宋体" w:hAnsi="宋体" w:eastAsia="宋体" w:cs="宋体"/>
          <w:kern w:val="0"/>
          <w:sz w:val="24"/>
          <w:szCs w:val="24"/>
        </w:rPr>
      </w:pPr>
      <w:r>
        <w:rPr>
          <w:rFonts w:hint="eastAsia" w:ascii="宋体" w:hAnsi="宋体" w:eastAsia="宋体" w:cs="宋体"/>
          <w:kern w:val="0"/>
          <w:sz w:val="24"/>
          <w:szCs w:val="24"/>
        </w:rPr>
        <w:t>6</w:t>
      </w:r>
      <w:r>
        <w:rPr>
          <w:rFonts w:ascii="宋体" w:hAnsi="宋体" w:eastAsia="宋体" w:cs="宋体"/>
          <w:kern w:val="0"/>
          <w:sz w:val="24"/>
          <w:szCs w:val="24"/>
        </w:rPr>
        <w:t>. 您认为</w:t>
      </w:r>
      <w:r>
        <w:rPr>
          <w:rFonts w:hint="eastAsia" w:ascii="宋体" w:hAnsi="宋体" w:eastAsia="宋体" w:cs="宋体"/>
          <w:kern w:val="0"/>
          <w:sz w:val="24"/>
          <w:szCs w:val="24"/>
        </w:rPr>
        <w:t>项目</w:t>
      </w:r>
      <w:r>
        <w:rPr>
          <w:rFonts w:ascii="宋体" w:hAnsi="宋体" w:eastAsia="宋体" w:cs="宋体"/>
          <w:kern w:val="0"/>
          <w:sz w:val="24"/>
          <w:szCs w:val="24"/>
        </w:rPr>
        <w:t>的实施是否</w:t>
      </w:r>
      <w:r>
        <w:rPr>
          <w:rFonts w:hint="eastAsia" w:ascii="宋体" w:hAnsi="宋体" w:eastAsia="宋体" w:cs="宋体"/>
          <w:kern w:val="0"/>
          <w:sz w:val="24"/>
          <w:szCs w:val="24"/>
        </w:rPr>
        <w:t>能够提高矿区居民的生活水平？</w:t>
      </w:r>
    </w:p>
    <w:p>
      <w:pPr>
        <w:widowControl/>
        <w:spacing w:before="156" w:beforeLines="50" w:after="156" w:afterLines="50"/>
        <w:ind w:left="105" w:leftChars="50" w:right="105" w:rightChars="50"/>
        <w:jc w:val="left"/>
        <w:rPr>
          <w:rFonts w:ascii="宋体" w:hAnsi="宋体" w:eastAsia="宋体" w:cs="宋体"/>
          <w:kern w:val="0"/>
          <w:sz w:val="24"/>
          <w:szCs w:val="24"/>
        </w:rPr>
      </w:pPr>
      <w:r>
        <w:rPr>
          <w:rFonts w:hint="eastAsia" w:ascii="宋体" w:hAnsi="宋体" w:eastAsia="宋体" w:cs="宋体"/>
          <w:color w:val="333333"/>
          <w:kern w:val="0"/>
          <w:sz w:val="24"/>
          <w:szCs w:val="24"/>
        </w:rPr>
        <w:t>□</w:t>
      </w:r>
      <w:r>
        <w:rPr>
          <w:rFonts w:ascii="宋体" w:hAnsi="宋体" w:eastAsia="宋体" w:cs="宋体"/>
          <w:color w:val="333333"/>
          <w:kern w:val="0"/>
          <w:sz w:val="24"/>
          <w:szCs w:val="24"/>
        </w:rPr>
        <w:t>效果显著</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效果一般</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无效果</w:t>
      </w:r>
    </w:p>
    <w:p>
      <w:pPr>
        <w:widowControl/>
        <w:spacing w:before="156" w:beforeLines="50" w:after="156" w:afterLines="50"/>
        <w:ind w:left="105" w:leftChars="50" w:right="105" w:rightChars="50"/>
        <w:jc w:val="left"/>
        <w:rPr>
          <w:rFonts w:ascii="宋体" w:hAnsi="宋体" w:eastAsia="宋体" w:cs="宋体"/>
          <w:kern w:val="0"/>
          <w:sz w:val="24"/>
          <w:szCs w:val="24"/>
        </w:rPr>
      </w:pPr>
      <w:r>
        <w:rPr>
          <w:rFonts w:hint="eastAsia" w:ascii="宋体" w:hAnsi="宋体" w:eastAsia="宋体" w:cs="宋体"/>
          <w:kern w:val="0"/>
          <w:sz w:val="24"/>
          <w:szCs w:val="24"/>
        </w:rPr>
        <w:t>7</w:t>
      </w:r>
      <w:r>
        <w:rPr>
          <w:rFonts w:ascii="宋体" w:hAnsi="宋体" w:eastAsia="宋体" w:cs="宋体"/>
          <w:kern w:val="0"/>
          <w:sz w:val="24"/>
          <w:szCs w:val="24"/>
        </w:rPr>
        <w:t>. 您认为项目实施后是否能够降低废弃矿山扬尘现象？</w:t>
      </w:r>
    </w:p>
    <w:p>
      <w:pPr>
        <w:widowControl/>
        <w:spacing w:before="156" w:beforeLines="50" w:after="156" w:afterLines="50"/>
        <w:ind w:left="105" w:leftChars="50" w:right="105" w:rightChars="50"/>
        <w:jc w:val="left"/>
        <w:rPr>
          <w:rFonts w:ascii="宋体" w:hAnsi="宋体" w:eastAsia="宋体" w:cs="宋体"/>
          <w:kern w:val="0"/>
          <w:sz w:val="24"/>
          <w:szCs w:val="24"/>
        </w:rPr>
      </w:pPr>
      <w:r>
        <w:rPr>
          <w:rFonts w:hint="eastAsia" w:ascii="宋体" w:hAnsi="宋体" w:eastAsia="宋体" w:cs="宋体"/>
          <w:color w:val="333333"/>
          <w:kern w:val="0"/>
          <w:sz w:val="24"/>
          <w:szCs w:val="24"/>
        </w:rPr>
        <w:t>□</w:t>
      </w:r>
      <w:r>
        <w:rPr>
          <w:rFonts w:ascii="宋体" w:hAnsi="宋体" w:eastAsia="宋体" w:cs="宋体"/>
          <w:color w:val="333333"/>
          <w:kern w:val="0"/>
          <w:sz w:val="24"/>
          <w:szCs w:val="24"/>
        </w:rPr>
        <w:t>明显降低</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降低</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没有降低</w:t>
      </w:r>
    </w:p>
    <w:p>
      <w:pPr>
        <w:widowControl/>
        <w:spacing w:before="156" w:beforeLines="50" w:after="156" w:afterLines="50"/>
        <w:ind w:left="105" w:leftChars="50" w:right="105" w:rightChars="50"/>
        <w:jc w:val="left"/>
        <w:rPr>
          <w:rFonts w:ascii="宋体" w:hAnsi="宋体" w:eastAsia="宋体" w:cs="宋体"/>
          <w:kern w:val="0"/>
          <w:sz w:val="24"/>
          <w:szCs w:val="24"/>
        </w:rPr>
      </w:pPr>
      <w:r>
        <w:rPr>
          <w:rFonts w:hint="eastAsia" w:ascii="宋体" w:hAnsi="宋体" w:eastAsia="宋体" w:cs="宋体"/>
          <w:kern w:val="0"/>
          <w:sz w:val="24"/>
          <w:szCs w:val="24"/>
        </w:rPr>
        <w:t>8</w:t>
      </w:r>
      <w:r>
        <w:rPr>
          <w:rFonts w:ascii="宋体" w:hAnsi="宋体" w:eastAsia="宋体" w:cs="宋体"/>
          <w:kern w:val="0"/>
          <w:sz w:val="24"/>
          <w:szCs w:val="24"/>
        </w:rPr>
        <w:t>. 您认为通过治理</w:t>
      </w:r>
      <w:r>
        <w:rPr>
          <w:rFonts w:hint="eastAsia" w:ascii="宋体" w:hAnsi="宋体" w:eastAsia="宋体" w:cs="宋体"/>
          <w:kern w:val="0"/>
          <w:sz w:val="24"/>
          <w:szCs w:val="24"/>
        </w:rPr>
        <w:t>，</w:t>
      </w:r>
      <w:r>
        <w:rPr>
          <w:rFonts w:ascii="宋体" w:hAnsi="宋体" w:eastAsia="宋体" w:cs="宋体"/>
          <w:kern w:val="0"/>
          <w:sz w:val="24"/>
          <w:szCs w:val="24"/>
        </w:rPr>
        <w:t>您</w:t>
      </w:r>
      <w:r>
        <w:rPr>
          <w:rFonts w:hint="eastAsia" w:ascii="宋体" w:hAnsi="宋体" w:eastAsia="宋体" w:cs="宋体"/>
          <w:kern w:val="0"/>
          <w:sz w:val="24"/>
          <w:szCs w:val="24"/>
        </w:rPr>
        <w:t>居住</w:t>
      </w:r>
      <w:r>
        <w:rPr>
          <w:rFonts w:ascii="宋体" w:hAnsi="宋体" w:eastAsia="宋体" w:cs="宋体"/>
          <w:kern w:val="0"/>
          <w:sz w:val="24"/>
          <w:szCs w:val="24"/>
        </w:rPr>
        <w:t>地</w:t>
      </w:r>
      <w:r>
        <w:rPr>
          <w:rFonts w:hint="eastAsia" w:ascii="宋体" w:hAnsi="宋体" w:eastAsia="宋体" w:cs="宋体"/>
          <w:kern w:val="0"/>
          <w:sz w:val="24"/>
          <w:szCs w:val="24"/>
        </w:rPr>
        <w:t>区的环境</w:t>
      </w:r>
      <w:r>
        <w:rPr>
          <w:rFonts w:ascii="宋体" w:hAnsi="宋体" w:eastAsia="宋体" w:cs="宋体"/>
          <w:kern w:val="0"/>
          <w:sz w:val="24"/>
          <w:szCs w:val="24"/>
        </w:rPr>
        <w:t>有明显改善吗？</w:t>
      </w:r>
    </w:p>
    <w:p>
      <w:pPr>
        <w:widowControl/>
        <w:spacing w:before="156" w:beforeLines="50" w:after="156" w:afterLines="50"/>
        <w:ind w:left="105" w:leftChars="50" w:right="105" w:rightChars="50"/>
        <w:jc w:val="left"/>
        <w:rPr>
          <w:rFonts w:ascii="宋体" w:hAnsi="宋体" w:eastAsia="宋体" w:cs="宋体"/>
          <w:kern w:val="0"/>
          <w:sz w:val="24"/>
          <w:szCs w:val="24"/>
        </w:rPr>
      </w:pPr>
      <w:r>
        <w:rPr>
          <w:rFonts w:hint="eastAsia" w:ascii="宋体" w:hAnsi="宋体" w:eastAsia="宋体" w:cs="宋体"/>
          <w:color w:val="333333"/>
          <w:kern w:val="0"/>
          <w:sz w:val="24"/>
          <w:szCs w:val="24"/>
        </w:rPr>
        <w:t>□</w:t>
      </w:r>
      <w:r>
        <w:rPr>
          <w:rFonts w:ascii="宋体" w:hAnsi="宋体" w:eastAsia="宋体" w:cs="宋体"/>
          <w:color w:val="333333"/>
          <w:kern w:val="0"/>
          <w:sz w:val="24"/>
          <w:szCs w:val="24"/>
        </w:rPr>
        <w:t>能提高</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提高不明显</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没有提高</w:t>
      </w:r>
    </w:p>
    <w:p>
      <w:pPr>
        <w:widowControl/>
        <w:spacing w:before="156" w:beforeLines="50" w:after="156" w:afterLines="50"/>
        <w:ind w:left="105" w:leftChars="50" w:right="105" w:rightChars="50"/>
        <w:jc w:val="left"/>
        <w:rPr>
          <w:rFonts w:ascii="宋体" w:hAnsi="宋体" w:eastAsia="宋体" w:cs="宋体"/>
          <w:kern w:val="0"/>
          <w:sz w:val="24"/>
          <w:szCs w:val="24"/>
        </w:rPr>
      </w:pPr>
      <w:r>
        <w:rPr>
          <w:rFonts w:hint="eastAsia" w:ascii="宋体" w:hAnsi="宋体" w:eastAsia="宋体" w:cs="宋体"/>
          <w:kern w:val="0"/>
          <w:sz w:val="24"/>
          <w:szCs w:val="24"/>
        </w:rPr>
        <w:t>9</w:t>
      </w:r>
      <w:r>
        <w:rPr>
          <w:rFonts w:ascii="宋体" w:hAnsi="宋体" w:eastAsia="宋体" w:cs="宋体"/>
          <w:kern w:val="0"/>
          <w:sz w:val="24"/>
          <w:szCs w:val="24"/>
        </w:rPr>
        <w:t>. 您对</w:t>
      </w:r>
      <w:r>
        <w:rPr>
          <w:rFonts w:hint="eastAsia" w:ascii="宋体" w:hAnsi="宋体" w:eastAsia="宋体" w:cs="宋体"/>
          <w:kern w:val="0"/>
          <w:sz w:val="24"/>
          <w:szCs w:val="24"/>
        </w:rPr>
        <w:t>黄河流域</w:t>
      </w:r>
      <w:r>
        <w:rPr>
          <w:rFonts w:ascii="宋体" w:hAnsi="宋体" w:eastAsia="宋体" w:cs="宋体"/>
          <w:kern w:val="0"/>
          <w:sz w:val="24"/>
          <w:szCs w:val="24"/>
        </w:rPr>
        <w:t>废弃矿山生态修复项目的整体评价？</w:t>
      </w:r>
    </w:p>
    <w:p>
      <w:pPr>
        <w:widowControl/>
        <w:spacing w:before="156" w:beforeLines="50" w:after="156" w:afterLines="50"/>
        <w:ind w:left="105" w:leftChars="50" w:right="105" w:rightChars="50"/>
        <w:jc w:val="left"/>
        <w:rPr>
          <w:rFonts w:ascii="宋体" w:hAnsi="宋体" w:eastAsia="宋体" w:cs="宋体"/>
          <w:color w:val="333333"/>
          <w:kern w:val="0"/>
          <w:sz w:val="24"/>
          <w:szCs w:val="24"/>
        </w:rPr>
      </w:pPr>
      <w:r>
        <w:rPr>
          <w:rFonts w:hint="eastAsia" w:ascii="宋体" w:hAnsi="宋体" w:eastAsia="宋体" w:cs="宋体"/>
          <w:color w:val="333333"/>
          <w:kern w:val="0"/>
          <w:sz w:val="24"/>
          <w:szCs w:val="24"/>
        </w:rPr>
        <w:t>□</w:t>
      </w:r>
      <w:r>
        <w:rPr>
          <w:rFonts w:ascii="宋体" w:hAnsi="宋体" w:eastAsia="宋体" w:cs="宋体"/>
          <w:color w:val="333333"/>
          <w:kern w:val="0"/>
          <w:sz w:val="24"/>
          <w:szCs w:val="24"/>
        </w:rPr>
        <w:t>非常满意</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比较满意</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不满意</w:t>
      </w:r>
    </w:p>
    <w:p>
      <w:pPr>
        <w:widowControl/>
        <w:spacing w:before="156" w:beforeLines="50" w:after="156" w:afterLines="50"/>
        <w:ind w:left="105" w:leftChars="50" w:right="105" w:rightChars="50"/>
        <w:jc w:val="left"/>
        <w:rPr>
          <w:rFonts w:ascii="宋体" w:hAnsi="宋体" w:eastAsia="宋体" w:cs="宋体"/>
          <w:color w:val="333333"/>
          <w:kern w:val="0"/>
          <w:sz w:val="24"/>
          <w:szCs w:val="24"/>
        </w:rPr>
      </w:pPr>
      <w:r>
        <w:rPr>
          <w:rFonts w:ascii="宋体" w:hAnsi="宋体" w:eastAsia="宋体" w:cs="宋体"/>
          <w:color w:val="333333"/>
          <w:kern w:val="0"/>
          <w:sz w:val="24"/>
          <w:szCs w:val="24"/>
        </w:rPr>
        <w:t>1</w:t>
      </w:r>
      <w:r>
        <w:rPr>
          <w:rFonts w:hint="eastAsia" w:ascii="宋体" w:hAnsi="宋体" w:eastAsia="宋体" w:cs="宋体"/>
          <w:color w:val="333333"/>
          <w:kern w:val="0"/>
          <w:sz w:val="24"/>
          <w:szCs w:val="24"/>
        </w:rPr>
        <w:t>0</w:t>
      </w:r>
      <w:r>
        <w:rPr>
          <w:rFonts w:ascii="宋体" w:hAnsi="宋体" w:eastAsia="宋体" w:cs="宋体"/>
          <w:color w:val="333333"/>
          <w:kern w:val="0"/>
          <w:sz w:val="24"/>
          <w:szCs w:val="24"/>
        </w:rPr>
        <w:t>. 您对目前矿区废弃露天矿山生态修复现状的评价？</w:t>
      </w:r>
    </w:p>
    <w:p>
      <w:pPr>
        <w:widowControl/>
        <w:spacing w:before="156" w:beforeLines="50" w:after="156" w:afterLines="50"/>
        <w:ind w:left="105" w:leftChars="50" w:right="105" w:rightChars="50"/>
        <w:jc w:val="left"/>
        <w:rPr>
          <w:rFonts w:ascii="宋体" w:hAnsi="宋体" w:eastAsia="宋体" w:cs="宋体"/>
          <w:color w:val="333333"/>
          <w:kern w:val="0"/>
          <w:sz w:val="24"/>
          <w:szCs w:val="24"/>
        </w:rPr>
      </w:pPr>
      <w:r>
        <w:rPr>
          <w:rFonts w:hint="eastAsia" w:ascii="宋体" w:hAnsi="宋体" w:eastAsia="宋体" w:cs="宋体"/>
          <w:color w:val="333333"/>
          <w:kern w:val="0"/>
          <w:sz w:val="24"/>
          <w:szCs w:val="24"/>
        </w:rPr>
        <w:t>□</w:t>
      </w:r>
      <w:r>
        <w:rPr>
          <w:rFonts w:ascii="宋体" w:hAnsi="宋体" w:eastAsia="宋体" w:cs="宋体"/>
          <w:color w:val="333333"/>
          <w:kern w:val="0"/>
          <w:sz w:val="24"/>
          <w:szCs w:val="24"/>
        </w:rPr>
        <w:t>非常满意</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比较满意</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不满意</w:t>
      </w:r>
    </w:p>
    <w:p>
      <w:pPr>
        <w:spacing w:before="156" w:beforeLines="50" w:after="156" w:afterLines="50" w:line="360" w:lineRule="auto"/>
        <w:ind w:right="105" w:rightChars="50"/>
        <w:jc w:val="left"/>
        <w:rPr>
          <w:rFonts w:asciiTheme="minorEastAsia" w:hAnsiTheme="minorEastAsia"/>
          <w:sz w:val="30"/>
          <w:szCs w:val="30"/>
        </w:rPr>
      </w:pPr>
    </w:p>
    <w:p>
      <w:pPr>
        <w:spacing w:before="156" w:beforeLines="50" w:after="156" w:afterLines="50" w:line="360" w:lineRule="auto"/>
        <w:ind w:right="105" w:rightChars="50"/>
        <w:jc w:val="left"/>
        <w:rPr>
          <w:rFonts w:asciiTheme="minorEastAsia" w:hAnsiTheme="minorEastAsia"/>
          <w:sz w:val="30"/>
          <w:szCs w:val="30"/>
        </w:rPr>
      </w:pPr>
    </w:p>
    <w:p>
      <w:pPr>
        <w:spacing w:before="156" w:beforeLines="50" w:after="156" w:afterLines="50" w:line="360" w:lineRule="auto"/>
        <w:ind w:right="105" w:rightChars="50"/>
        <w:jc w:val="left"/>
        <w:rPr>
          <w:rFonts w:asciiTheme="minorEastAsia" w:hAnsiTheme="minorEastAsia"/>
          <w:sz w:val="30"/>
          <w:szCs w:val="30"/>
        </w:rPr>
      </w:pPr>
      <w:bookmarkStart w:id="22" w:name="_GoBack"/>
      <w:bookmarkEnd w:id="22"/>
    </w:p>
    <w:p>
      <w:pPr>
        <w:spacing w:before="156" w:beforeLines="50" w:after="156" w:afterLines="50" w:line="360" w:lineRule="auto"/>
        <w:ind w:right="105" w:rightChars="50"/>
        <w:jc w:val="left"/>
        <w:rPr>
          <w:rFonts w:asciiTheme="minorEastAsia" w:hAnsiTheme="minorEastAsia"/>
          <w:sz w:val="30"/>
          <w:szCs w:val="30"/>
        </w:rPr>
      </w:pPr>
    </w:p>
    <w:p>
      <w:pPr>
        <w:spacing w:before="156" w:beforeLines="50" w:after="156" w:afterLines="50" w:line="360" w:lineRule="auto"/>
        <w:ind w:right="105" w:rightChars="50"/>
        <w:jc w:val="left"/>
        <w:rPr>
          <w:rFonts w:asciiTheme="minorEastAsia" w:hAnsiTheme="minorEastAsia"/>
          <w:sz w:val="30"/>
          <w:szCs w:val="30"/>
        </w:rPr>
      </w:pPr>
    </w:p>
    <w:p>
      <w:pPr>
        <w:spacing w:before="156" w:beforeLines="50" w:after="156" w:afterLines="50" w:line="360" w:lineRule="auto"/>
        <w:ind w:right="105" w:rightChars="50"/>
        <w:jc w:val="left"/>
        <w:rPr>
          <w:rFonts w:asciiTheme="minorEastAsia" w:hAnsiTheme="minorEastAsia"/>
          <w:sz w:val="30"/>
          <w:szCs w:val="30"/>
        </w:rPr>
      </w:pPr>
    </w:p>
    <w:p>
      <w:pPr>
        <w:spacing w:before="156" w:beforeLines="50" w:after="156" w:afterLines="50" w:line="360" w:lineRule="auto"/>
        <w:ind w:right="105" w:rightChars="50"/>
        <w:jc w:val="left"/>
        <w:rPr>
          <w:rFonts w:asciiTheme="minorEastAsia" w:hAnsiTheme="minorEastAsia"/>
          <w:sz w:val="30"/>
          <w:szCs w:val="30"/>
        </w:rPr>
      </w:pPr>
    </w:p>
    <w:p>
      <w:pPr>
        <w:spacing w:before="156" w:beforeLines="50" w:after="156" w:afterLines="50" w:line="360" w:lineRule="auto"/>
        <w:ind w:right="105" w:rightChars="50"/>
        <w:jc w:val="left"/>
        <w:rPr>
          <w:rFonts w:asciiTheme="minorEastAsia" w:hAnsiTheme="minorEastAsia"/>
          <w:sz w:val="30"/>
          <w:szCs w:val="30"/>
        </w:rPr>
      </w:pPr>
    </w:p>
    <w:p>
      <w:pPr>
        <w:spacing w:before="156" w:beforeLines="50" w:after="156" w:afterLines="50" w:line="360" w:lineRule="auto"/>
        <w:ind w:right="105" w:rightChars="50"/>
        <w:jc w:val="left"/>
        <w:rPr>
          <w:rFonts w:asciiTheme="minorEastAsia" w:hAnsiTheme="minorEastAsia"/>
          <w:sz w:val="30"/>
          <w:szCs w:val="30"/>
        </w:rPr>
      </w:pPr>
    </w:p>
    <w:p>
      <w:pPr>
        <w:spacing w:before="156" w:beforeLines="50" w:after="156" w:afterLines="50" w:line="360" w:lineRule="auto"/>
        <w:ind w:right="105" w:rightChars="50"/>
        <w:jc w:val="left"/>
        <w:rPr>
          <w:rFonts w:asciiTheme="minorEastAsia" w:hAnsiTheme="minorEastAsia"/>
          <w:sz w:val="30"/>
          <w:szCs w:val="30"/>
        </w:rPr>
      </w:pPr>
    </w:p>
    <w:p>
      <w:pPr>
        <w:spacing w:before="156" w:beforeLines="50" w:after="156" w:afterLines="50" w:line="360" w:lineRule="auto"/>
        <w:ind w:right="105" w:rightChars="50"/>
        <w:jc w:val="left"/>
        <w:rPr>
          <w:rFonts w:asciiTheme="minorEastAsia" w:hAnsiTheme="minorEastAsia"/>
          <w:sz w:val="30"/>
          <w:szCs w:val="30"/>
        </w:rPr>
      </w:pPr>
    </w:p>
    <w:p>
      <w:pPr>
        <w:spacing w:before="156" w:beforeLines="50" w:after="156" w:afterLines="50" w:line="360" w:lineRule="auto"/>
        <w:ind w:right="105" w:rightChars="50"/>
        <w:jc w:val="left"/>
        <w:rPr>
          <w:rFonts w:asciiTheme="minorEastAsia" w:hAnsiTheme="minorEastAsia"/>
          <w:sz w:val="30"/>
          <w:szCs w:val="30"/>
        </w:rPr>
      </w:pPr>
      <w:r>
        <w:rPr>
          <w:rFonts w:hint="eastAsia" w:asciiTheme="minorEastAsia" w:hAnsiTheme="minorEastAsia"/>
          <w:sz w:val="30"/>
          <w:szCs w:val="30"/>
        </w:rPr>
        <w:t>问卷调查现场：</w:t>
      </w:r>
      <w:r>
        <w:rPr>
          <w:rFonts w:asciiTheme="minorEastAsia" w:hAnsiTheme="minorEastAsia"/>
          <w:sz w:val="30"/>
          <w:szCs w:val="30"/>
        </w:rPr>
        <w:t xml:space="preserve"> </w:t>
      </w:r>
      <w:r>
        <w:rPr>
          <w:rFonts w:asciiTheme="minorEastAsia" w:hAnsiTheme="minorEastAsia"/>
          <w:sz w:val="30"/>
          <w:szCs w:val="30"/>
        </w:rPr>
        <w:drawing>
          <wp:inline distT="0" distB="0" distL="0" distR="0">
            <wp:extent cx="4278630" cy="3209925"/>
            <wp:effectExtent l="19050" t="0" r="7396" b="0"/>
            <wp:docPr id="4" name="图片 2" descr="G:\问卷调查\IMG_20221122_11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G:\问卷调查\IMG_20221122_111103.jpg"/>
                    <pic:cNvPicPr>
                      <a:picLocks noChangeAspect="1" noChangeArrowheads="1"/>
                    </pic:cNvPicPr>
                  </pic:nvPicPr>
                  <pic:blipFill>
                    <a:blip r:embed="rId9" cstate="print"/>
                    <a:srcRect/>
                    <a:stretch>
                      <a:fillRect/>
                    </a:stretch>
                  </pic:blipFill>
                  <pic:spPr>
                    <a:xfrm>
                      <a:off x="0" y="0"/>
                      <a:ext cx="4282993" cy="3213030"/>
                    </a:xfrm>
                    <a:prstGeom prst="rect">
                      <a:avLst/>
                    </a:prstGeom>
                    <a:noFill/>
                    <a:ln w="9525">
                      <a:noFill/>
                      <a:miter lim="800000"/>
                      <a:headEnd/>
                      <a:tailEnd/>
                    </a:ln>
                  </pic:spPr>
                </pic:pic>
              </a:graphicData>
            </a:graphic>
          </wp:inline>
        </w:drawing>
      </w:r>
      <w:r>
        <w:rPr>
          <w:rFonts w:asciiTheme="minorEastAsia" w:hAnsiTheme="minorEastAsia"/>
          <w:sz w:val="30"/>
          <w:szCs w:val="30"/>
        </w:rPr>
        <w:drawing>
          <wp:inline distT="0" distB="0" distL="0" distR="0">
            <wp:extent cx="4267200" cy="4548505"/>
            <wp:effectExtent l="19050" t="0" r="0" b="0"/>
            <wp:docPr id="5" name="图片 1" descr="G:\问卷调查\IMG_20221122_11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G:\问卷调查\IMG_20221122_115410.jpg"/>
                    <pic:cNvPicPr>
                      <a:picLocks noChangeAspect="1" noChangeArrowheads="1"/>
                    </pic:cNvPicPr>
                  </pic:nvPicPr>
                  <pic:blipFill>
                    <a:blip r:embed="rId10" cstate="print"/>
                    <a:srcRect t="10172" r="1879" b="11424"/>
                    <a:stretch>
                      <a:fillRect/>
                    </a:stretch>
                  </pic:blipFill>
                  <pic:spPr>
                    <a:xfrm>
                      <a:off x="0" y="0"/>
                      <a:ext cx="4267200" cy="4548654"/>
                    </a:xfrm>
                    <a:prstGeom prst="rect">
                      <a:avLst/>
                    </a:prstGeom>
                    <a:noFill/>
                    <a:ln w="9525">
                      <a:noFill/>
                      <a:miter lim="800000"/>
                      <a:headEnd/>
                      <a:tailEnd/>
                    </a:ln>
                  </pic:spPr>
                </pic:pic>
              </a:graphicData>
            </a:graphic>
          </wp:inline>
        </w:drawing>
      </w:r>
    </w:p>
    <w:p>
      <w:pPr>
        <w:spacing w:before="156" w:beforeLines="50" w:after="156" w:afterLines="50" w:line="360" w:lineRule="auto"/>
        <w:ind w:left="105" w:leftChars="50" w:right="105" w:rightChars="50" w:firstLine="600" w:firstLineChars="200"/>
        <w:rPr>
          <w:sz w:val="30"/>
          <w:szCs w:val="30"/>
        </w:rPr>
      </w:pPr>
    </w:p>
    <w:p>
      <w:pPr>
        <w:spacing w:before="156" w:beforeLines="50" w:after="156" w:afterLines="50" w:line="360" w:lineRule="auto"/>
        <w:ind w:left="105" w:leftChars="50" w:right="105" w:rightChars="50" w:firstLine="600" w:firstLineChars="200"/>
        <w:rPr>
          <w:sz w:val="30"/>
          <w:szCs w:val="30"/>
        </w:rPr>
      </w:pPr>
      <w:r>
        <w:rPr>
          <w:rFonts w:hint="eastAsia"/>
          <w:sz w:val="30"/>
          <w:szCs w:val="30"/>
        </w:rPr>
        <w:t>4. 组织召开线上座谈会</w:t>
      </w:r>
    </w:p>
    <w:p>
      <w:pPr>
        <w:spacing w:before="156" w:beforeLines="50" w:after="156" w:afterLines="50" w:line="360" w:lineRule="auto"/>
        <w:ind w:left="105" w:leftChars="50" w:right="105" w:rightChars="50" w:firstLine="600" w:firstLineChars="200"/>
        <w:rPr>
          <w:sz w:val="30"/>
          <w:szCs w:val="30"/>
        </w:rPr>
      </w:pPr>
      <w:r>
        <w:rPr>
          <w:rFonts w:hint="eastAsia"/>
          <w:sz w:val="30"/>
          <w:szCs w:val="30"/>
        </w:rPr>
        <w:t>由于疫情原因，为安全起见，工作组根据建设单位提供的项目过程中的相关资料组织绩效评价专家组织召开线上座谈会，通过建立钉钉群等方式进行资料审核，询问答疑，了解项目建设情况并结合指标打分体系进行讨论。</w:t>
      </w:r>
    </w:p>
    <w:p>
      <w:pPr>
        <w:pStyle w:val="15"/>
        <w:spacing w:before="156" w:beforeLines="50" w:after="156" w:afterLines="50" w:line="360" w:lineRule="auto"/>
        <w:ind w:left="105" w:leftChars="50" w:right="105" w:rightChars="50" w:firstLine="600"/>
        <w:rPr>
          <w:sz w:val="30"/>
          <w:szCs w:val="30"/>
        </w:rPr>
      </w:pPr>
      <w:r>
        <w:rPr>
          <w:rFonts w:hint="eastAsia"/>
          <w:sz w:val="30"/>
          <w:szCs w:val="30"/>
        </w:rPr>
        <w:t>5.整理、分析资料</w:t>
      </w:r>
    </w:p>
    <w:p>
      <w:pPr>
        <w:spacing w:before="156" w:beforeLines="50" w:after="156" w:afterLines="50" w:line="360" w:lineRule="auto"/>
        <w:ind w:left="105" w:leftChars="50" w:right="105" w:rightChars="50" w:firstLine="600" w:firstLineChars="200"/>
        <w:rPr>
          <w:sz w:val="30"/>
          <w:szCs w:val="30"/>
        </w:rPr>
      </w:pPr>
      <w:r>
        <w:rPr>
          <w:rFonts w:hint="eastAsia"/>
          <w:sz w:val="30"/>
          <w:szCs w:val="30"/>
        </w:rPr>
        <w:t>整理、分析资料，对获取的资料进行归纳整理；结合座谈会专家意见对相关数据进行统计分析；对发现的问题进行研讨和核实。</w:t>
      </w:r>
    </w:p>
    <w:p>
      <w:pPr>
        <w:pStyle w:val="15"/>
        <w:spacing w:before="156" w:beforeLines="50" w:after="156" w:afterLines="50" w:line="360" w:lineRule="auto"/>
        <w:ind w:left="105" w:leftChars="50" w:right="105" w:rightChars="50" w:firstLine="600"/>
        <w:rPr>
          <w:sz w:val="30"/>
          <w:szCs w:val="30"/>
        </w:rPr>
      </w:pPr>
      <w:r>
        <w:rPr>
          <w:rFonts w:hint="eastAsia"/>
          <w:sz w:val="30"/>
          <w:szCs w:val="30"/>
        </w:rPr>
        <w:t>6.撰写绩效评价报告</w:t>
      </w:r>
    </w:p>
    <w:p>
      <w:pPr>
        <w:pStyle w:val="15"/>
        <w:spacing w:before="156" w:beforeLines="50" w:after="156" w:afterLines="50" w:line="360" w:lineRule="auto"/>
        <w:ind w:left="105" w:leftChars="50" w:right="105" w:rightChars="50" w:firstLine="600"/>
        <w:rPr>
          <w:sz w:val="30"/>
          <w:szCs w:val="30"/>
        </w:rPr>
      </w:pPr>
      <w:r>
        <w:rPr>
          <w:rFonts w:hint="eastAsia"/>
          <w:sz w:val="30"/>
          <w:szCs w:val="30"/>
        </w:rPr>
        <w:t>根据整理分析资料，撰写绩效评价报告，对黄河流域历史遗留废弃矿山治理项目资金使用情况进行总体评价，并对评价过程中发现的问题提出改进的意见和建议。</w:t>
      </w:r>
    </w:p>
    <w:p>
      <w:pPr>
        <w:pStyle w:val="2"/>
        <w:rPr>
          <w:rFonts w:asciiTheme="minorEastAsia" w:hAnsiTheme="minorEastAsia"/>
          <w:sz w:val="30"/>
          <w:szCs w:val="30"/>
        </w:rPr>
      </w:pPr>
      <w:bookmarkStart w:id="9" w:name="_Toc93918203"/>
      <w:r>
        <w:rPr>
          <w:rFonts w:hint="eastAsia" w:asciiTheme="minorEastAsia" w:hAnsiTheme="minorEastAsia"/>
          <w:sz w:val="30"/>
          <w:szCs w:val="30"/>
        </w:rPr>
        <w:t>（四）绩效评价原则、评价方法和标准</w:t>
      </w:r>
      <w:bookmarkEnd w:id="9"/>
    </w:p>
    <w:p>
      <w:pPr>
        <w:spacing w:before="156" w:beforeLines="50" w:after="156" w:afterLines="50" w:line="360" w:lineRule="auto"/>
        <w:ind w:left="105" w:leftChars="50" w:right="105" w:rightChars="50" w:firstLine="600" w:firstLineChars="200"/>
        <w:rPr>
          <w:sz w:val="30"/>
          <w:szCs w:val="30"/>
        </w:rPr>
      </w:pPr>
      <w:r>
        <w:rPr>
          <w:rFonts w:hint="eastAsia"/>
          <w:sz w:val="30"/>
          <w:szCs w:val="30"/>
        </w:rPr>
        <w:t>本次绩效评价坚持科学公正、公开透明、统筹兼顾、分级分类、绩效相关的评价原则，根据设定的绩效目标，以定量和定性、线上座谈相结合的方式进行，采取比较法、因素分析法、公众评判法、等评价方法，依据计划标准、行业标准等评价标准，对专项资金的经济性、效率性和效益性进行客观公正评价。现场调研主要采用座谈、访谈、査阅资料、实地走访等方式进行。现场评价通过发放基础数据表，统计收集数据资料等形式进行，依据现场调研掌握的情况和非现场评价采集的数据，综合分析进行全面总体评价。</w:t>
      </w:r>
    </w:p>
    <w:p>
      <w:pPr>
        <w:pStyle w:val="2"/>
        <w:rPr>
          <w:rFonts w:asciiTheme="minorEastAsia" w:hAnsiTheme="minorEastAsia"/>
          <w:sz w:val="30"/>
          <w:szCs w:val="30"/>
        </w:rPr>
      </w:pPr>
      <w:bookmarkStart w:id="10" w:name="_Toc93918204"/>
      <w:r>
        <w:rPr>
          <w:rFonts w:hint="eastAsia" w:asciiTheme="minorEastAsia" w:hAnsiTheme="minorEastAsia"/>
          <w:sz w:val="30"/>
          <w:szCs w:val="30"/>
        </w:rPr>
        <w:t>（五）绩效评价指标体系</w:t>
      </w:r>
      <w:bookmarkEnd w:id="10"/>
    </w:p>
    <w:p>
      <w:pPr>
        <w:spacing w:before="156" w:beforeLines="50" w:after="156" w:afterLines="50" w:line="360" w:lineRule="auto"/>
        <w:ind w:left="105" w:leftChars="50" w:right="105" w:rightChars="50" w:firstLine="600" w:firstLineChars="200"/>
        <w:rPr>
          <w:sz w:val="28"/>
          <w:szCs w:val="28"/>
        </w:rPr>
      </w:pPr>
      <w:r>
        <w:rPr>
          <w:rFonts w:hint="eastAsia"/>
          <w:sz w:val="30"/>
          <w:szCs w:val="30"/>
        </w:rPr>
        <w:t>本次评价指标体系按照决策-过程-产出-效益的逻辑路径分层设定，划分为4项一级指标，12项二级指标，25项三级指标，总分值100分，一是决策(15分)，主要评价立项依据充分性、立项程序规范性、绩效目标合理性、绩效指标明确性、预算编制科学性、资金分配合理性。二是过程(25分)，主要评价资金到位及时率、预算执行率、资金使用合规性、管理制度健全性、制度执行有效性。三是产出(35分)，主要评价修复废弃矿山数量、修复废弃矿山面积、验收合格率、</w:t>
      </w:r>
      <w:r>
        <w:rPr>
          <w:sz w:val="30"/>
          <w:szCs w:val="30"/>
        </w:rPr>
        <w:t>地质环境稳定程度</w:t>
      </w:r>
      <w:r>
        <w:rPr>
          <w:rFonts w:hint="eastAsia"/>
          <w:sz w:val="30"/>
          <w:szCs w:val="30"/>
        </w:rPr>
        <w:t>、</w:t>
      </w:r>
      <w:r>
        <w:rPr>
          <w:sz w:val="30"/>
          <w:szCs w:val="30"/>
        </w:rPr>
        <w:t>与周边生态状况的和谐度</w:t>
      </w:r>
      <w:r>
        <w:rPr>
          <w:rFonts w:hint="eastAsia"/>
          <w:sz w:val="30"/>
          <w:szCs w:val="30"/>
        </w:rPr>
        <w:t>、</w:t>
      </w:r>
      <w:r>
        <w:rPr>
          <w:sz w:val="30"/>
          <w:szCs w:val="30"/>
        </w:rPr>
        <w:t>土地利用与国土空间规划的符合度</w:t>
      </w:r>
      <w:r>
        <w:rPr>
          <w:rFonts w:hint="eastAsia"/>
          <w:sz w:val="30"/>
          <w:szCs w:val="30"/>
        </w:rPr>
        <w:t>、</w:t>
      </w:r>
      <w:r>
        <w:rPr>
          <w:sz w:val="30"/>
          <w:szCs w:val="30"/>
        </w:rPr>
        <w:t>编制勘查设计</w:t>
      </w:r>
      <w:r>
        <w:rPr>
          <w:rFonts w:hint="eastAsia"/>
          <w:sz w:val="30"/>
          <w:szCs w:val="30"/>
        </w:rPr>
        <w:t>及时性、按时开工率、及时完工率、成本控制。四是效益(25分)，主要评价带动社会资本投资率、</w:t>
      </w:r>
      <w:r>
        <w:rPr>
          <w:sz w:val="30"/>
          <w:szCs w:val="30"/>
        </w:rPr>
        <w:t>矿山地质灾害隐患</w:t>
      </w:r>
      <w:r>
        <w:rPr>
          <w:rFonts w:hint="eastAsia"/>
          <w:sz w:val="30"/>
          <w:szCs w:val="30"/>
        </w:rPr>
        <w:t>、</w:t>
      </w:r>
      <w:r>
        <w:rPr>
          <w:sz w:val="30"/>
          <w:szCs w:val="30"/>
        </w:rPr>
        <w:t>群众生命财产安全保障</w:t>
      </w:r>
      <w:r>
        <w:rPr>
          <w:rFonts w:hint="eastAsia"/>
          <w:sz w:val="30"/>
          <w:szCs w:val="30"/>
        </w:rPr>
        <w:t>、生态环境改善情况、露天矿场扬尘情况、露天矿场视觉污染、公众满意度。具体绩效评价指标体系及指标解释见下表2.2</w:t>
      </w:r>
      <w:r>
        <w:rPr>
          <w:rFonts w:hint="eastAsia"/>
          <w:sz w:val="28"/>
          <w:szCs w:val="28"/>
        </w:rPr>
        <w:t>：</w:t>
      </w:r>
    </w:p>
    <w:p>
      <w:pPr>
        <w:spacing w:before="156" w:beforeLines="50" w:after="156" w:afterLines="50" w:line="360" w:lineRule="auto"/>
        <w:ind w:left="105" w:leftChars="50" w:right="105" w:rightChars="50" w:firstLine="560" w:firstLineChars="200"/>
        <w:rPr>
          <w:sz w:val="28"/>
          <w:szCs w:val="28"/>
        </w:rPr>
      </w:pPr>
    </w:p>
    <w:p>
      <w:pPr>
        <w:spacing w:before="156" w:beforeLines="50" w:after="156" w:afterLines="50" w:line="360" w:lineRule="auto"/>
        <w:ind w:left="105" w:leftChars="50" w:right="105" w:rightChars="50" w:firstLine="560" w:firstLineChars="200"/>
        <w:rPr>
          <w:sz w:val="28"/>
          <w:szCs w:val="28"/>
        </w:rPr>
      </w:pPr>
    </w:p>
    <w:p>
      <w:pPr>
        <w:spacing w:before="156" w:beforeLines="50" w:after="156" w:afterLines="50" w:line="360" w:lineRule="auto"/>
        <w:ind w:left="105" w:leftChars="50" w:right="105" w:rightChars="50" w:firstLine="602" w:firstLineChars="200"/>
        <w:jc w:val="center"/>
        <w:rPr>
          <w:rFonts w:asciiTheme="minorEastAsia" w:hAnsiTheme="minorEastAsia"/>
          <w:b/>
          <w:sz w:val="30"/>
          <w:szCs w:val="30"/>
        </w:rPr>
      </w:pPr>
      <w:r>
        <w:rPr>
          <w:rFonts w:hint="eastAsia" w:asciiTheme="minorEastAsia" w:hAnsiTheme="minorEastAsia"/>
          <w:b/>
          <w:sz w:val="30"/>
          <w:szCs w:val="30"/>
        </w:rPr>
        <w:t>表2.2   黄河流域历史遗留废弃矿山治理项目</w:t>
      </w:r>
    </w:p>
    <w:p>
      <w:pPr>
        <w:spacing w:before="156" w:beforeLines="50" w:after="156" w:afterLines="50" w:line="360" w:lineRule="auto"/>
        <w:ind w:left="105" w:leftChars="50" w:right="105" w:rightChars="50" w:firstLine="602" w:firstLineChars="200"/>
        <w:jc w:val="center"/>
        <w:rPr>
          <w:rFonts w:asciiTheme="minorEastAsia" w:hAnsiTheme="minorEastAsia"/>
          <w:b/>
          <w:sz w:val="30"/>
          <w:szCs w:val="30"/>
        </w:rPr>
      </w:pPr>
      <w:r>
        <w:rPr>
          <w:rFonts w:hint="eastAsia" w:asciiTheme="minorEastAsia" w:hAnsiTheme="minorEastAsia"/>
          <w:b/>
          <w:sz w:val="30"/>
          <w:szCs w:val="30"/>
        </w:rPr>
        <w:t>绩效评价指标体系</w:t>
      </w:r>
    </w:p>
    <w:tbl>
      <w:tblPr>
        <w:tblStyle w:val="2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66"/>
        <w:gridCol w:w="654"/>
        <w:gridCol w:w="714"/>
        <w:gridCol w:w="609"/>
        <w:gridCol w:w="1420"/>
        <w:gridCol w:w="609"/>
        <w:gridCol w:w="34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521"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38" w:right="123"/>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一级指标</w:t>
            </w:r>
          </w:p>
        </w:tc>
        <w:tc>
          <w:tcPr>
            <w:tcW w:w="393"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24" w:right="10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分值</w:t>
            </w:r>
          </w:p>
        </w:tc>
        <w:tc>
          <w:tcPr>
            <w:tcW w:w="429"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205" w:right="195"/>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二级指标</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18" w:right="113"/>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分值</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ind w:left="25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三级指标</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23" w:right="110"/>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分值</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ind w:left="121" w:right="11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指标解释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7" w:hRule="atLeast"/>
        </w:trPr>
        <w:tc>
          <w:tcPr>
            <w:tcW w:w="521" w:type="pct"/>
            <w:vMerge w:val="restart"/>
            <w:tcBorders>
              <w:top w:val="single" w:color="000000" w:sz="4" w:space="0"/>
              <w:left w:val="single" w:color="000000" w:sz="4" w:space="0"/>
              <w:right w:val="single" w:color="000000" w:sz="4" w:space="0"/>
            </w:tcBorders>
            <w:vAlign w:val="center"/>
          </w:tcPr>
          <w:p>
            <w:pPr>
              <w:pStyle w:val="21"/>
              <w:ind w:left="13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决策</w:t>
            </w:r>
          </w:p>
        </w:tc>
        <w:tc>
          <w:tcPr>
            <w:tcW w:w="393" w:type="pct"/>
            <w:vMerge w:val="restart"/>
            <w:tcBorders>
              <w:top w:val="single" w:color="000000" w:sz="4" w:space="0"/>
              <w:left w:val="single" w:color="000000" w:sz="4" w:space="0"/>
              <w:right w:val="single" w:color="000000" w:sz="4" w:space="0"/>
            </w:tcBorders>
            <w:vAlign w:val="center"/>
          </w:tcPr>
          <w:p>
            <w:pPr>
              <w:pStyle w:val="21"/>
              <w:ind w:left="124"/>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15</w:t>
            </w:r>
          </w:p>
        </w:tc>
        <w:tc>
          <w:tcPr>
            <w:tcW w:w="429" w:type="pct"/>
            <w:vMerge w:val="restart"/>
            <w:tcBorders>
              <w:top w:val="single" w:color="000000" w:sz="4" w:space="0"/>
              <w:left w:val="single" w:color="000000" w:sz="4" w:space="0"/>
              <w:right w:val="single" w:color="000000" w:sz="4" w:space="0"/>
            </w:tcBorders>
            <w:vAlign w:val="center"/>
          </w:tcPr>
          <w:p>
            <w:pPr>
              <w:pStyle w:val="21"/>
              <w:spacing w:before="97"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项目立项</w:t>
            </w:r>
          </w:p>
        </w:tc>
        <w:tc>
          <w:tcPr>
            <w:tcW w:w="366" w:type="pct"/>
            <w:vMerge w:val="restart"/>
            <w:tcBorders>
              <w:top w:val="single" w:color="000000" w:sz="4" w:space="0"/>
              <w:left w:val="single" w:color="000000" w:sz="4" w:space="0"/>
              <w:right w:val="single" w:color="000000" w:sz="4" w:space="0"/>
            </w:tcBorders>
            <w:vAlign w:val="center"/>
          </w:tcPr>
          <w:p>
            <w:pPr>
              <w:pStyle w:val="21"/>
              <w:ind w:left="3"/>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5</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left="233" w:right="118" w:hanging="10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zh-CN"/>
              </w:rPr>
              <w:t>立项依据充分性</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ind w:left="10"/>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2</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left="233" w:right="118" w:hanging="106"/>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项目立项是否符合法律法规、相关政策、发展规划以及部门职责，用以反映和考核项目立项依据情况。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521" w:type="pct"/>
            <w:vMerge w:val="continue"/>
            <w:tcBorders>
              <w:left w:val="single" w:color="000000" w:sz="4" w:space="0"/>
              <w:right w:val="single" w:color="000000" w:sz="4" w:space="0"/>
            </w:tcBorders>
            <w:vAlign w:val="center"/>
          </w:tcPr>
          <w:p>
            <w:pPr>
              <w:pStyle w:val="21"/>
              <w:jc w:val="center"/>
              <w:rPr>
                <w:rFonts w:asciiTheme="minorEastAsia" w:hAnsiTheme="minorEastAsia" w:eastAsiaTheme="minorEastAsia"/>
                <w:sz w:val="20"/>
                <w:lang w:eastAsia="zh-CN"/>
              </w:rPr>
            </w:pPr>
          </w:p>
        </w:tc>
        <w:tc>
          <w:tcPr>
            <w:tcW w:w="393" w:type="pct"/>
            <w:vMerge w:val="continue"/>
            <w:tcBorders>
              <w:left w:val="single" w:color="000000" w:sz="4" w:space="0"/>
              <w:right w:val="single" w:color="000000" w:sz="4" w:space="0"/>
            </w:tcBorders>
            <w:vAlign w:val="center"/>
          </w:tcPr>
          <w:p>
            <w:pPr>
              <w:pStyle w:val="21"/>
              <w:jc w:val="center"/>
              <w:rPr>
                <w:rFonts w:asciiTheme="minorEastAsia" w:hAnsiTheme="minorEastAsia" w:eastAsiaTheme="minorEastAsia"/>
                <w:sz w:val="20"/>
                <w:lang w:eastAsia="zh-CN"/>
              </w:rPr>
            </w:pPr>
          </w:p>
        </w:tc>
        <w:tc>
          <w:tcPr>
            <w:tcW w:w="429" w:type="pct"/>
            <w:vMerge w:val="continue"/>
            <w:tcBorders>
              <w:left w:val="single" w:color="000000" w:sz="4" w:space="0"/>
              <w:bottom w:val="single" w:color="000000" w:sz="4" w:space="0"/>
              <w:right w:val="single" w:color="000000" w:sz="4" w:space="0"/>
            </w:tcBorders>
            <w:vAlign w:val="center"/>
          </w:tcPr>
          <w:p>
            <w:pPr>
              <w:pStyle w:val="21"/>
              <w:jc w:val="center"/>
              <w:rPr>
                <w:rFonts w:asciiTheme="minorEastAsia" w:hAnsiTheme="minorEastAsia" w:eastAsiaTheme="minorEastAsia"/>
                <w:sz w:val="20"/>
                <w:lang w:eastAsia="zh-CN"/>
              </w:rPr>
            </w:pPr>
          </w:p>
        </w:tc>
        <w:tc>
          <w:tcPr>
            <w:tcW w:w="366" w:type="pct"/>
            <w:vMerge w:val="continue"/>
            <w:tcBorders>
              <w:left w:val="single" w:color="000000" w:sz="4" w:space="0"/>
              <w:bottom w:val="single" w:color="000000" w:sz="4" w:space="0"/>
              <w:right w:val="single" w:color="000000" w:sz="4" w:space="0"/>
            </w:tcBorders>
            <w:vAlign w:val="center"/>
          </w:tcPr>
          <w:p>
            <w:pPr>
              <w:pStyle w:val="21"/>
              <w:jc w:val="center"/>
              <w:rPr>
                <w:rFonts w:asciiTheme="minorEastAsia" w:hAnsiTheme="minorEastAsia" w:eastAsiaTheme="minorEastAsia"/>
                <w:sz w:val="20"/>
                <w:lang w:eastAsia="zh-CN"/>
              </w:rPr>
            </w:pP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left="233" w:right="118" w:hanging="10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zh-CN"/>
              </w:rPr>
              <w:t>立项程序规范性</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ind w:left="17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3</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left="233" w:right="118" w:hanging="106"/>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项目的申请、设立过程是否符合相关要求，用以反映和考核项目立项的规范情况。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52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9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429" w:type="pct"/>
            <w:vMerge w:val="restart"/>
            <w:tcBorders>
              <w:top w:val="single" w:color="000000" w:sz="4" w:space="0"/>
              <w:left w:val="single" w:color="000000" w:sz="4" w:space="0"/>
              <w:bottom w:val="single" w:color="000000" w:sz="4" w:space="0"/>
              <w:right w:val="single" w:color="000000" w:sz="4" w:space="0"/>
            </w:tcBorders>
            <w:vAlign w:val="center"/>
          </w:tcPr>
          <w:p>
            <w:pPr>
              <w:pStyle w:val="21"/>
              <w:spacing w:before="1"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绩效目标</w:t>
            </w:r>
          </w:p>
        </w:tc>
        <w:tc>
          <w:tcPr>
            <w:tcW w:w="366" w:type="pct"/>
            <w:vMerge w:val="restart"/>
            <w:tcBorders>
              <w:top w:val="single" w:color="000000" w:sz="4" w:space="0"/>
              <w:left w:val="single" w:color="000000" w:sz="4" w:space="0"/>
              <w:bottom w:val="single" w:color="000000" w:sz="4" w:space="0"/>
              <w:right w:val="single" w:color="000000" w:sz="4" w:space="0"/>
            </w:tcBorders>
            <w:vAlign w:val="center"/>
          </w:tcPr>
          <w:p>
            <w:pPr>
              <w:pStyle w:val="21"/>
              <w:ind w:left="3"/>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6</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left="233" w:right="118" w:hanging="106"/>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绩效目标合理性</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ind w:left="17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3</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项目所设定的绩效目标是否符合实际、切实可行，用以反映和考核项目绩效目标与项目实施的相符情况。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52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9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429"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6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right="118" w:firstLine="105" w:firstLineChars="50"/>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绩效指标明确性</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ind w:left="17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3</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left="233" w:right="118" w:hanging="106"/>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依据绩效目标设定的绩效指标是否清晰、细化、可衡量等，用以反映和考核项目绩效目标的细化情况。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trPr>
        <w:tc>
          <w:tcPr>
            <w:tcW w:w="52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9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429" w:type="pct"/>
            <w:vMerge w:val="restart"/>
            <w:tcBorders>
              <w:top w:val="single" w:color="000000" w:sz="4" w:space="0"/>
              <w:left w:val="single" w:color="000000" w:sz="4" w:space="0"/>
              <w:bottom w:val="single" w:color="000000" w:sz="4" w:space="0"/>
              <w:right w:val="single" w:color="000000" w:sz="4" w:space="0"/>
            </w:tcBorders>
            <w:vAlign w:val="center"/>
          </w:tcPr>
          <w:p>
            <w:pPr>
              <w:pStyle w:val="21"/>
              <w:spacing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资金投入</w:t>
            </w:r>
          </w:p>
        </w:tc>
        <w:tc>
          <w:tcPr>
            <w:tcW w:w="366" w:type="pct"/>
            <w:vMerge w:val="restart"/>
            <w:tcBorders>
              <w:top w:val="single" w:color="000000" w:sz="4" w:space="0"/>
              <w:left w:val="single" w:color="000000" w:sz="4" w:space="0"/>
              <w:bottom w:val="single" w:color="000000" w:sz="4" w:space="0"/>
              <w:right w:val="single" w:color="000000" w:sz="4" w:space="0"/>
            </w:tcBorders>
            <w:vAlign w:val="center"/>
          </w:tcPr>
          <w:p>
            <w:pPr>
              <w:pStyle w:val="21"/>
              <w:ind w:left="3"/>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4</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left="233" w:right="118" w:hanging="106"/>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预算编制科学性</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spacing w:before="1"/>
              <w:ind w:left="17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2</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spacing w:before="102"/>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项目预算编制是否经过科学论证、有明确标准，资金额度与年度目标是否相适应，用以反映和考核项目预算编制的科学性、合理性情况。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trPr>
        <w:tc>
          <w:tcPr>
            <w:tcW w:w="521" w:type="pct"/>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93" w:type="pct"/>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429"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6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zh-CN"/>
              </w:rPr>
              <w:t>资金分配合理性</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ind w:left="17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2</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项目预算资金分配是否有经过科学论证、有明确标准及测算依据，与实际是否相适应，用以反映和考核项目预算资金分配的科学性、合理性情况。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521" w:type="pct"/>
            <w:vMerge w:val="restart"/>
            <w:tcBorders>
              <w:top w:val="single" w:color="000000" w:sz="4" w:space="0"/>
              <w:left w:val="single" w:color="000000" w:sz="4" w:space="0"/>
              <w:bottom w:val="single" w:color="000000" w:sz="4" w:space="0"/>
              <w:right w:val="single" w:color="000000" w:sz="4" w:space="0"/>
            </w:tcBorders>
            <w:vAlign w:val="center"/>
          </w:tcPr>
          <w:p>
            <w:pPr>
              <w:pStyle w:val="21"/>
              <w:ind w:left="13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过程</w:t>
            </w:r>
          </w:p>
        </w:tc>
        <w:tc>
          <w:tcPr>
            <w:tcW w:w="393" w:type="pct"/>
            <w:vMerge w:val="restart"/>
            <w:tcBorders>
              <w:top w:val="single" w:color="000000" w:sz="4" w:space="0"/>
              <w:left w:val="single" w:color="000000" w:sz="4" w:space="0"/>
              <w:bottom w:val="single" w:color="000000" w:sz="4" w:space="0"/>
              <w:right w:val="single" w:color="000000" w:sz="4" w:space="0"/>
            </w:tcBorders>
            <w:vAlign w:val="center"/>
          </w:tcPr>
          <w:p>
            <w:pPr>
              <w:pStyle w:val="21"/>
              <w:ind w:left="124"/>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25</w:t>
            </w:r>
          </w:p>
        </w:tc>
        <w:tc>
          <w:tcPr>
            <w:tcW w:w="429" w:type="pct"/>
            <w:vMerge w:val="restart"/>
            <w:tcBorders>
              <w:top w:val="single" w:color="000000" w:sz="4" w:space="0"/>
              <w:left w:val="single" w:color="000000" w:sz="4" w:space="0"/>
              <w:bottom w:val="single" w:color="000000" w:sz="4" w:space="0"/>
              <w:right w:val="single" w:color="000000" w:sz="4" w:space="0"/>
            </w:tcBorders>
            <w:vAlign w:val="center"/>
          </w:tcPr>
          <w:p>
            <w:pPr>
              <w:pStyle w:val="21"/>
              <w:spacing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资金管理</w:t>
            </w:r>
          </w:p>
        </w:tc>
        <w:tc>
          <w:tcPr>
            <w:tcW w:w="366" w:type="pct"/>
            <w:vMerge w:val="restart"/>
            <w:tcBorders>
              <w:top w:val="single" w:color="000000" w:sz="4" w:space="0"/>
              <w:left w:val="single" w:color="000000" w:sz="4" w:space="0"/>
              <w:bottom w:val="single" w:color="000000" w:sz="4" w:space="0"/>
              <w:right w:val="single" w:color="000000" w:sz="4" w:space="0"/>
            </w:tcBorders>
            <w:vAlign w:val="center"/>
          </w:tcPr>
          <w:p>
            <w:pPr>
              <w:pStyle w:val="21"/>
              <w:ind w:lef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15</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ind w:left="101" w:right="99"/>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资金到位率</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ind w:left="17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3</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实际到位资金与预算资金的比率，用以反映和考核资金落实情况对项目实施的总体保障程度。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521"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93"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429"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6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spacing w:before="5"/>
              <w:jc w:val="center"/>
              <w:rPr>
                <w:rFonts w:asciiTheme="minorEastAsia" w:hAnsiTheme="minorEastAsia" w:eastAsiaTheme="minorEastAsia"/>
                <w:sz w:val="18"/>
                <w:lang w:eastAsia="zh-CN"/>
              </w:rPr>
            </w:pPr>
          </w:p>
          <w:p>
            <w:pPr>
              <w:pStyle w:val="21"/>
              <w:spacing w:before="1"/>
              <w:ind w:left="101" w:right="99"/>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预算执行率</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spacing w:before="1"/>
              <w:ind w:left="17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6</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项目预算资金是否按照计划执行，用以反映或考核项目预算执行情况。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521"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93"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429"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6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zh-CN"/>
              </w:rPr>
              <w:t>资金使用合规性</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ind w:left="17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6</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项目资金使用是否符合相关的财务管理制度规定，用以反映和考核项目资金的规范运行情况。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521"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93"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429" w:type="pct"/>
            <w:vMerge w:val="restart"/>
            <w:tcBorders>
              <w:top w:val="single" w:color="000000" w:sz="4" w:space="0"/>
              <w:left w:val="single" w:color="000000" w:sz="4" w:space="0"/>
              <w:bottom w:val="single" w:color="000000" w:sz="4" w:space="0"/>
              <w:right w:val="single" w:color="000000" w:sz="4" w:space="0"/>
            </w:tcBorders>
            <w:vAlign w:val="center"/>
          </w:tcPr>
          <w:p>
            <w:pPr>
              <w:pStyle w:val="21"/>
              <w:spacing w:before="1"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组织实施</w:t>
            </w:r>
          </w:p>
        </w:tc>
        <w:tc>
          <w:tcPr>
            <w:tcW w:w="366" w:type="pct"/>
            <w:vMerge w:val="restart"/>
            <w:tcBorders>
              <w:top w:val="single" w:color="000000" w:sz="4" w:space="0"/>
              <w:left w:val="single" w:color="000000" w:sz="4" w:space="0"/>
              <w:bottom w:val="single" w:color="000000" w:sz="4" w:space="0"/>
              <w:right w:val="single" w:color="000000" w:sz="4" w:space="0"/>
            </w:tcBorders>
            <w:vAlign w:val="center"/>
          </w:tcPr>
          <w:p>
            <w:pPr>
              <w:pStyle w:val="21"/>
              <w:ind w:lef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10</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管理制度健全性</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ind w:left="17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5</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项目实施单位的财务和业务管理制度是否健全，用以反映和考核财务和业务管理制度对项目顺利实施的保障情况。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521"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93"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429"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6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制度执行有效性</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ind w:left="17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5</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项目实施是否符合相关管理规定，用以反映和考核相关管理制度的有效执行情况。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521" w:type="pct"/>
            <w:vMerge w:val="restart"/>
            <w:tcBorders>
              <w:top w:val="single" w:color="000000" w:sz="4" w:space="0"/>
              <w:left w:val="single" w:color="000000" w:sz="4" w:space="0"/>
              <w:right w:val="single" w:color="000000" w:sz="4" w:space="0"/>
            </w:tcBorders>
            <w:vAlign w:val="center"/>
          </w:tcPr>
          <w:p>
            <w:pPr>
              <w:pStyle w:val="21"/>
              <w:ind w:left="13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产出</w:t>
            </w:r>
          </w:p>
        </w:tc>
        <w:tc>
          <w:tcPr>
            <w:tcW w:w="393" w:type="pct"/>
            <w:vMerge w:val="restart"/>
            <w:tcBorders>
              <w:top w:val="single" w:color="000000" w:sz="4" w:space="0"/>
              <w:left w:val="single" w:color="000000" w:sz="4" w:space="0"/>
              <w:right w:val="single" w:color="000000" w:sz="4" w:space="0"/>
            </w:tcBorders>
            <w:vAlign w:val="center"/>
          </w:tcPr>
          <w:p>
            <w:pPr>
              <w:pStyle w:val="21"/>
              <w:ind w:left="124"/>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35</w:t>
            </w:r>
          </w:p>
        </w:tc>
        <w:tc>
          <w:tcPr>
            <w:tcW w:w="429" w:type="pct"/>
            <w:vMerge w:val="restart"/>
            <w:tcBorders>
              <w:top w:val="single" w:color="000000" w:sz="4" w:space="0"/>
              <w:left w:val="single" w:color="000000" w:sz="4" w:space="0"/>
              <w:right w:val="single" w:color="000000" w:sz="4" w:space="0"/>
            </w:tcBorders>
            <w:vAlign w:val="center"/>
          </w:tcPr>
          <w:p>
            <w:pPr>
              <w:pStyle w:val="21"/>
              <w:spacing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产出数量</w:t>
            </w:r>
          </w:p>
        </w:tc>
        <w:tc>
          <w:tcPr>
            <w:tcW w:w="366" w:type="pct"/>
            <w:vMerge w:val="restart"/>
            <w:tcBorders>
              <w:top w:val="single" w:color="000000" w:sz="4" w:space="0"/>
              <w:left w:val="single" w:color="000000" w:sz="4" w:space="0"/>
              <w:right w:val="single" w:color="000000" w:sz="4" w:space="0"/>
            </w:tcBorders>
            <w:vAlign w:val="center"/>
          </w:tcPr>
          <w:p>
            <w:pPr>
              <w:pStyle w:val="21"/>
              <w:ind w:left="3"/>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8</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修复废弃矿山数量</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ind w:left="176"/>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项目是否达到既定的废弃矿山修复数量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52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9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429"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6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修复废弃矿山面积</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ind w:left="176"/>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项目是否达到既定的矿山修复面积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52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9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429" w:type="pct"/>
            <w:vMerge w:val="restart"/>
            <w:tcBorders>
              <w:top w:val="single" w:color="000000" w:sz="4" w:space="0"/>
              <w:left w:val="single" w:color="000000" w:sz="4" w:space="0"/>
              <w:right w:val="single" w:color="000000" w:sz="4" w:space="0"/>
            </w:tcBorders>
            <w:vAlign w:val="center"/>
          </w:tcPr>
          <w:p>
            <w:pPr>
              <w:pStyle w:val="21"/>
              <w:spacing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产出质量</w:t>
            </w:r>
          </w:p>
        </w:tc>
        <w:tc>
          <w:tcPr>
            <w:tcW w:w="366" w:type="pct"/>
            <w:vMerge w:val="restart"/>
            <w:tcBorders>
              <w:top w:val="single" w:color="000000" w:sz="4" w:space="0"/>
              <w:left w:val="single" w:color="000000" w:sz="4" w:space="0"/>
              <w:right w:val="single" w:color="000000" w:sz="4" w:space="0"/>
            </w:tcBorders>
            <w:vAlign w:val="center"/>
          </w:tcPr>
          <w:p>
            <w:pPr>
              <w:pStyle w:val="21"/>
              <w:ind w:lef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19</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验收合格率</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项目工程验收合格率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52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9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429"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6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asciiTheme="minorEastAsia" w:hAnsiTheme="minorEastAsia" w:eastAsiaTheme="minorEastAsia"/>
                <w:sz w:val="21"/>
                <w:lang w:eastAsia="zh-CN"/>
              </w:rPr>
              <w:t>地质环境稳定程度</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6</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asciiTheme="minorEastAsia" w:hAnsiTheme="minorEastAsia" w:eastAsiaTheme="minorEastAsia"/>
                <w:sz w:val="21"/>
                <w:lang w:eastAsia="zh-CN"/>
              </w:rPr>
              <w:t>修复后的地质环境稳定程度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521" w:type="pct"/>
            <w:vMerge w:val="continue"/>
            <w:tcBorders>
              <w:left w:val="single" w:color="000000" w:sz="4" w:space="0"/>
              <w:right w:val="single" w:color="000000" w:sz="4" w:space="0"/>
            </w:tcBorders>
            <w:vAlign w:val="center"/>
          </w:tcPr>
          <w:p>
            <w:pPr>
              <w:pStyle w:val="21"/>
              <w:jc w:val="center"/>
              <w:rPr>
                <w:rFonts w:asciiTheme="minorEastAsia" w:hAnsiTheme="minorEastAsia" w:eastAsiaTheme="minorEastAsia"/>
                <w:sz w:val="20"/>
                <w:lang w:eastAsia="zh-CN"/>
              </w:rPr>
            </w:pPr>
          </w:p>
        </w:tc>
        <w:tc>
          <w:tcPr>
            <w:tcW w:w="393" w:type="pct"/>
            <w:vMerge w:val="continue"/>
            <w:tcBorders>
              <w:left w:val="single" w:color="000000" w:sz="4" w:space="0"/>
              <w:right w:val="single" w:color="000000" w:sz="4" w:space="0"/>
            </w:tcBorders>
            <w:vAlign w:val="center"/>
          </w:tcPr>
          <w:p>
            <w:pPr>
              <w:pStyle w:val="21"/>
              <w:jc w:val="center"/>
              <w:rPr>
                <w:rFonts w:asciiTheme="minorEastAsia" w:hAnsiTheme="minorEastAsia" w:eastAsiaTheme="minorEastAsia"/>
                <w:sz w:val="20"/>
                <w:lang w:eastAsia="zh-CN"/>
              </w:rPr>
            </w:pPr>
          </w:p>
        </w:tc>
        <w:tc>
          <w:tcPr>
            <w:tcW w:w="429" w:type="pct"/>
            <w:vMerge w:val="continue"/>
            <w:tcBorders>
              <w:left w:val="single" w:color="000000" w:sz="4" w:space="0"/>
              <w:right w:val="single" w:color="000000" w:sz="4" w:space="0"/>
            </w:tcBorders>
            <w:vAlign w:val="center"/>
          </w:tcPr>
          <w:p>
            <w:pPr>
              <w:pStyle w:val="21"/>
              <w:jc w:val="center"/>
              <w:rPr>
                <w:rFonts w:asciiTheme="minorEastAsia" w:hAnsiTheme="minorEastAsia" w:eastAsiaTheme="minorEastAsia"/>
                <w:sz w:val="20"/>
                <w:lang w:eastAsia="zh-CN"/>
              </w:rPr>
            </w:pPr>
          </w:p>
        </w:tc>
        <w:tc>
          <w:tcPr>
            <w:tcW w:w="366" w:type="pct"/>
            <w:vMerge w:val="continue"/>
            <w:tcBorders>
              <w:left w:val="single" w:color="000000" w:sz="4" w:space="0"/>
              <w:right w:val="single" w:color="000000" w:sz="4" w:space="0"/>
            </w:tcBorders>
            <w:vAlign w:val="center"/>
          </w:tcPr>
          <w:p>
            <w:pPr>
              <w:pStyle w:val="21"/>
              <w:jc w:val="center"/>
              <w:rPr>
                <w:rFonts w:asciiTheme="minorEastAsia" w:hAnsiTheme="minorEastAsia" w:eastAsiaTheme="minorEastAsia"/>
                <w:sz w:val="20"/>
                <w:lang w:eastAsia="zh-CN"/>
              </w:rPr>
            </w:pP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asciiTheme="minorEastAsia" w:hAnsiTheme="minorEastAsia" w:eastAsiaTheme="minorEastAsia"/>
                <w:sz w:val="21"/>
                <w:lang w:eastAsia="zh-CN"/>
              </w:rPr>
              <w:t>与周边生态状况的和谐度</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6</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asciiTheme="minorEastAsia" w:hAnsiTheme="minorEastAsia" w:eastAsiaTheme="minorEastAsia"/>
                <w:sz w:val="21"/>
                <w:lang w:eastAsia="zh-CN"/>
              </w:rPr>
              <w:t>修复后与周边生态状况的和谐度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52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9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429"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6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854" w:type="pct"/>
            <w:tcBorders>
              <w:top w:val="single" w:color="000000" w:sz="4" w:space="0"/>
              <w:left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asciiTheme="minorEastAsia" w:hAnsiTheme="minorEastAsia" w:eastAsiaTheme="minorEastAsia"/>
                <w:sz w:val="21"/>
                <w:lang w:eastAsia="zh-CN"/>
              </w:rPr>
              <w:t>土地利用与国土空间规划的符合度</w:t>
            </w:r>
          </w:p>
        </w:tc>
        <w:tc>
          <w:tcPr>
            <w:tcW w:w="366" w:type="pct"/>
            <w:tcBorders>
              <w:top w:val="single" w:color="000000" w:sz="4" w:space="0"/>
              <w:left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c>
          <w:tcPr>
            <w:tcW w:w="2071" w:type="pct"/>
            <w:tcBorders>
              <w:top w:val="single" w:color="000000" w:sz="4" w:space="0"/>
              <w:left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asciiTheme="minorEastAsia" w:hAnsiTheme="minorEastAsia" w:eastAsiaTheme="minorEastAsia"/>
                <w:sz w:val="21"/>
                <w:lang w:eastAsia="zh-CN"/>
              </w:rPr>
              <w:t>修复后土地利用与国土空间规划的符合度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52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9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429" w:type="pct"/>
            <w:vMerge w:val="restart"/>
            <w:tcBorders>
              <w:top w:val="single" w:color="000000" w:sz="4" w:space="0"/>
              <w:left w:val="single" w:color="000000" w:sz="4" w:space="0"/>
              <w:right w:val="single" w:color="000000" w:sz="4" w:space="0"/>
            </w:tcBorders>
            <w:vAlign w:val="center"/>
          </w:tcPr>
          <w:p>
            <w:pPr>
              <w:pStyle w:val="21"/>
              <w:spacing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产出时效</w:t>
            </w:r>
          </w:p>
        </w:tc>
        <w:tc>
          <w:tcPr>
            <w:tcW w:w="366" w:type="pct"/>
            <w:vMerge w:val="restart"/>
            <w:tcBorders>
              <w:top w:val="single" w:color="000000" w:sz="4" w:space="0"/>
              <w:left w:val="single" w:color="000000" w:sz="4" w:space="0"/>
              <w:right w:val="single" w:color="000000" w:sz="4" w:space="0"/>
            </w:tcBorders>
            <w:vAlign w:val="center"/>
          </w:tcPr>
          <w:p>
            <w:pPr>
              <w:pStyle w:val="21"/>
              <w:spacing w:before="1"/>
              <w:ind w:left="3"/>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6</w:t>
            </w:r>
          </w:p>
        </w:tc>
        <w:tc>
          <w:tcPr>
            <w:tcW w:w="854" w:type="pct"/>
            <w:tcBorders>
              <w:top w:val="single" w:color="000000" w:sz="4" w:space="0"/>
              <w:left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asciiTheme="minorEastAsia" w:hAnsiTheme="minorEastAsia" w:eastAsiaTheme="minorEastAsia"/>
                <w:sz w:val="21"/>
                <w:lang w:eastAsia="zh-CN"/>
              </w:rPr>
              <w:t>编制勘查设计</w:t>
            </w:r>
            <w:r>
              <w:rPr>
                <w:rFonts w:hint="eastAsia" w:asciiTheme="minorEastAsia" w:hAnsiTheme="minorEastAsia" w:eastAsiaTheme="minorEastAsia"/>
                <w:sz w:val="21"/>
                <w:lang w:eastAsia="zh-CN"/>
              </w:rPr>
              <w:t>及时性</w:t>
            </w:r>
          </w:p>
        </w:tc>
        <w:tc>
          <w:tcPr>
            <w:tcW w:w="366" w:type="pct"/>
            <w:tcBorders>
              <w:top w:val="single" w:color="000000" w:sz="4" w:space="0"/>
              <w:left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071" w:type="pct"/>
            <w:tcBorders>
              <w:top w:val="single" w:color="000000" w:sz="4" w:space="0"/>
              <w:left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asciiTheme="minorEastAsia" w:hAnsiTheme="minorEastAsia" w:eastAsiaTheme="minorEastAsia"/>
                <w:sz w:val="21"/>
                <w:lang w:eastAsia="zh-CN"/>
              </w:rPr>
              <w:t>按时启动并编制勘查设计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52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9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429"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6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按时开工率</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项目按时开工率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52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9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429"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6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及时完工率</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项目完工率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52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9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429" w:type="pct"/>
            <w:tcBorders>
              <w:top w:val="single" w:color="000000" w:sz="4" w:space="0"/>
              <w:left w:val="single" w:color="000000" w:sz="4" w:space="0"/>
              <w:right w:val="single" w:color="000000" w:sz="4" w:space="0"/>
            </w:tcBorders>
            <w:vAlign w:val="center"/>
          </w:tcPr>
          <w:p>
            <w:pPr>
              <w:pStyle w:val="21"/>
              <w:spacing w:before="101"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产出成本</w:t>
            </w:r>
          </w:p>
        </w:tc>
        <w:tc>
          <w:tcPr>
            <w:tcW w:w="366" w:type="pct"/>
            <w:tcBorders>
              <w:top w:val="single" w:color="000000" w:sz="4" w:space="0"/>
              <w:left w:val="single" w:color="000000" w:sz="4" w:space="0"/>
              <w:right w:val="single" w:color="000000" w:sz="4" w:space="0"/>
            </w:tcBorders>
            <w:vAlign w:val="center"/>
          </w:tcPr>
          <w:p>
            <w:pPr>
              <w:pStyle w:val="21"/>
              <w:ind w:left="17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2</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成本控制</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left="127" w:right="118" w:firstLine="105"/>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项目建设成本是否超预算。如未完工项目，则按当期是否存在工程量追加等情况进行预估计算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521" w:type="pct"/>
            <w:vMerge w:val="restart"/>
            <w:tcBorders>
              <w:left w:val="single" w:color="000000" w:sz="4" w:space="0"/>
              <w:right w:val="single" w:color="000000" w:sz="4" w:space="0"/>
            </w:tcBorders>
            <w:vAlign w:val="center"/>
          </w:tcPr>
          <w:p>
            <w:pPr>
              <w:pStyle w:val="21"/>
              <w:ind w:left="138"/>
              <w:jc w:val="center"/>
              <w:rPr>
                <w:rFonts w:asciiTheme="minorEastAsia" w:hAnsiTheme="minorEastAsia" w:eastAsiaTheme="minorEastAsia"/>
                <w:sz w:val="20"/>
                <w:lang w:eastAsia="en-US"/>
              </w:rPr>
            </w:pPr>
            <w:r>
              <w:rPr>
                <w:rFonts w:hint="eastAsia" w:asciiTheme="minorEastAsia" w:hAnsiTheme="minorEastAsia" w:eastAsiaTheme="minorEastAsia"/>
                <w:sz w:val="21"/>
                <w:lang w:eastAsia="en-US"/>
              </w:rPr>
              <w:t>效益</w:t>
            </w:r>
          </w:p>
        </w:tc>
        <w:tc>
          <w:tcPr>
            <w:tcW w:w="393" w:type="pct"/>
            <w:vMerge w:val="restart"/>
            <w:tcBorders>
              <w:left w:val="single" w:color="000000" w:sz="4" w:space="0"/>
              <w:right w:val="single" w:color="000000" w:sz="4" w:space="0"/>
            </w:tcBorders>
            <w:vAlign w:val="center"/>
          </w:tcPr>
          <w:p>
            <w:pPr>
              <w:pStyle w:val="21"/>
              <w:ind w:left="124"/>
              <w:jc w:val="center"/>
              <w:rPr>
                <w:rFonts w:asciiTheme="minorEastAsia" w:hAnsiTheme="minorEastAsia" w:eastAsiaTheme="minorEastAsia"/>
                <w:sz w:val="20"/>
                <w:lang w:eastAsia="en-US"/>
              </w:rPr>
            </w:pPr>
            <w:r>
              <w:rPr>
                <w:rFonts w:hint="eastAsia" w:asciiTheme="minorEastAsia" w:hAnsiTheme="minorEastAsia" w:eastAsiaTheme="minorEastAsia"/>
                <w:sz w:val="21"/>
                <w:lang w:eastAsia="en-US"/>
              </w:rPr>
              <w:t>25</w:t>
            </w:r>
          </w:p>
        </w:tc>
        <w:tc>
          <w:tcPr>
            <w:tcW w:w="429" w:type="pct"/>
            <w:vMerge w:val="restart"/>
            <w:tcBorders>
              <w:left w:val="single" w:color="000000" w:sz="4" w:space="0"/>
              <w:right w:val="single" w:color="000000" w:sz="4" w:space="0"/>
            </w:tcBorders>
            <w:vAlign w:val="center"/>
          </w:tcPr>
          <w:p>
            <w:pPr>
              <w:pStyle w:val="21"/>
              <w:spacing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社会效益</w:t>
            </w:r>
          </w:p>
        </w:tc>
        <w:tc>
          <w:tcPr>
            <w:tcW w:w="366" w:type="pct"/>
            <w:vMerge w:val="restart"/>
            <w:tcBorders>
              <w:left w:val="single" w:color="000000" w:sz="4" w:space="0"/>
              <w:right w:val="single" w:color="000000" w:sz="4" w:space="0"/>
            </w:tcBorders>
            <w:vAlign w:val="center"/>
          </w:tcPr>
          <w:p>
            <w:pPr>
              <w:pStyle w:val="21"/>
              <w:spacing w:before="1"/>
              <w:ind w:left="3"/>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10</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带动社会资本投资率</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带动社会资本投资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521" w:type="pct"/>
            <w:vMerge w:val="continue"/>
            <w:tcBorders>
              <w:left w:val="single" w:color="000000" w:sz="4" w:space="0"/>
              <w:right w:val="single" w:color="000000" w:sz="4" w:space="0"/>
            </w:tcBorders>
            <w:vAlign w:val="center"/>
          </w:tcPr>
          <w:p>
            <w:pPr>
              <w:pStyle w:val="21"/>
              <w:ind w:left="138"/>
              <w:jc w:val="center"/>
              <w:rPr>
                <w:rFonts w:asciiTheme="minorEastAsia" w:hAnsiTheme="minorEastAsia" w:eastAsiaTheme="minorEastAsia"/>
                <w:sz w:val="20"/>
                <w:lang w:eastAsia="zh-CN"/>
              </w:rPr>
            </w:pPr>
          </w:p>
        </w:tc>
        <w:tc>
          <w:tcPr>
            <w:tcW w:w="393" w:type="pct"/>
            <w:vMerge w:val="continue"/>
            <w:tcBorders>
              <w:left w:val="single" w:color="000000" w:sz="4" w:space="0"/>
              <w:right w:val="single" w:color="000000" w:sz="4" w:space="0"/>
            </w:tcBorders>
            <w:vAlign w:val="center"/>
          </w:tcPr>
          <w:p>
            <w:pPr>
              <w:pStyle w:val="21"/>
              <w:ind w:left="124"/>
              <w:jc w:val="center"/>
              <w:rPr>
                <w:rFonts w:asciiTheme="minorEastAsia" w:hAnsiTheme="minorEastAsia" w:eastAsiaTheme="minorEastAsia"/>
                <w:sz w:val="20"/>
                <w:lang w:eastAsia="zh-CN"/>
              </w:rPr>
            </w:pPr>
          </w:p>
        </w:tc>
        <w:tc>
          <w:tcPr>
            <w:tcW w:w="429" w:type="pct"/>
            <w:vMerge w:val="continue"/>
            <w:tcBorders>
              <w:left w:val="single" w:color="000000" w:sz="4" w:space="0"/>
              <w:right w:val="single" w:color="000000" w:sz="4" w:space="0"/>
            </w:tcBorders>
            <w:vAlign w:val="center"/>
          </w:tcPr>
          <w:p>
            <w:pPr>
              <w:pStyle w:val="21"/>
              <w:spacing w:line="242" w:lineRule="auto"/>
              <w:ind w:left="210" w:right="191"/>
              <w:jc w:val="center"/>
              <w:rPr>
                <w:rFonts w:asciiTheme="minorEastAsia" w:hAnsiTheme="minorEastAsia" w:eastAsiaTheme="minorEastAsia"/>
                <w:sz w:val="21"/>
                <w:lang w:eastAsia="zh-CN"/>
              </w:rPr>
            </w:pPr>
          </w:p>
        </w:tc>
        <w:tc>
          <w:tcPr>
            <w:tcW w:w="366" w:type="pct"/>
            <w:vMerge w:val="continue"/>
            <w:tcBorders>
              <w:left w:val="single" w:color="000000" w:sz="4" w:space="0"/>
              <w:right w:val="single" w:color="000000" w:sz="4" w:space="0"/>
            </w:tcBorders>
            <w:vAlign w:val="center"/>
          </w:tcPr>
          <w:p>
            <w:pPr>
              <w:pStyle w:val="21"/>
              <w:spacing w:before="1"/>
              <w:ind w:left="3"/>
              <w:jc w:val="center"/>
              <w:rPr>
                <w:rFonts w:asciiTheme="minorEastAsia" w:hAnsiTheme="minorEastAsia" w:eastAsiaTheme="minorEastAsia"/>
                <w:sz w:val="21"/>
                <w:lang w:eastAsia="zh-CN"/>
              </w:rPr>
            </w:pP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cs="Times New Roman" w:asciiTheme="minorEastAsia" w:hAnsiTheme="minorEastAsia" w:eastAsiaTheme="minorEastAsia"/>
                <w:sz w:val="24"/>
                <w:szCs w:val="24"/>
                <w:lang w:eastAsia="zh-CN"/>
              </w:rPr>
              <w:t>矿山地质灾害隐患</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left="127" w:right="118"/>
              <w:jc w:val="both"/>
              <w:rPr>
                <w:rFonts w:asciiTheme="minorEastAsia" w:hAnsiTheme="minorEastAsia" w:eastAsiaTheme="minorEastAsia"/>
                <w:sz w:val="21"/>
                <w:lang w:eastAsia="zh-CN"/>
              </w:rPr>
            </w:pPr>
            <w:r>
              <w:rPr>
                <w:rFonts w:hint="eastAsia" w:cs="Times New Roman" w:asciiTheme="minorEastAsia" w:hAnsiTheme="minorEastAsia" w:eastAsiaTheme="minorEastAsia"/>
                <w:sz w:val="24"/>
                <w:szCs w:val="24"/>
                <w:lang w:eastAsia="zh-CN"/>
              </w:rPr>
              <w:t>对</w:t>
            </w:r>
            <w:r>
              <w:rPr>
                <w:rFonts w:cs="Times New Roman" w:asciiTheme="minorEastAsia" w:hAnsiTheme="minorEastAsia" w:eastAsiaTheme="minorEastAsia"/>
                <w:sz w:val="24"/>
                <w:szCs w:val="24"/>
                <w:lang w:eastAsia="zh-CN"/>
              </w:rPr>
              <w:t>实施区域矿山地质灾害隐患</w:t>
            </w:r>
            <w:r>
              <w:rPr>
                <w:rFonts w:hint="eastAsia" w:cs="Times New Roman" w:asciiTheme="minorEastAsia" w:hAnsiTheme="minorEastAsia" w:eastAsiaTheme="minorEastAsia"/>
                <w:sz w:val="24"/>
                <w:szCs w:val="24"/>
                <w:lang w:eastAsia="zh-CN"/>
              </w:rPr>
              <w:t>改善情况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521" w:type="pct"/>
            <w:vMerge w:val="continue"/>
            <w:tcBorders>
              <w:left w:val="single" w:color="000000" w:sz="4" w:space="0"/>
              <w:right w:val="single" w:color="000000" w:sz="4" w:space="0"/>
            </w:tcBorders>
            <w:vAlign w:val="center"/>
          </w:tcPr>
          <w:p>
            <w:pPr>
              <w:pStyle w:val="21"/>
              <w:ind w:left="138"/>
              <w:jc w:val="center"/>
              <w:rPr>
                <w:rFonts w:asciiTheme="minorEastAsia" w:hAnsiTheme="minorEastAsia" w:eastAsiaTheme="minorEastAsia"/>
                <w:sz w:val="21"/>
                <w:lang w:eastAsia="zh-CN"/>
              </w:rPr>
            </w:pPr>
          </w:p>
        </w:tc>
        <w:tc>
          <w:tcPr>
            <w:tcW w:w="393" w:type="pct"/>
            <w:vMerge w:val="continue"/>
            <w:tcBorders>
              <w:left w:val="single" w:color="000000" w:sz="4" w:space="0"/>
              <w:right w:val="single" w:color="000000" w:sz="4" w:space="0"/>
            </w:tcBorders>
            <w:vAlign w:val="center"/>
          </w:tcPr>
          <w:p>
            <w:pPr>
              <w:pStyle w:val="21"/>
              <w:ind w:left="124"/>
              <w:jc w:val="center"/>
              <w:rPr>
                <w:rFonts w:asciiTheme="minorEastAsia" w:hAnsiTheme="minorEastAsia" w:eastAsiaTheme="minorEastAsia"/>
                <w:sz w:val="21"/>
                <w:lang w:eastAsia="zh-CN"/>
              </w:rPr>
            </w:pPr>
          </w:p>
        </w:tc>
        <w:tc>
          <w:tcPr>
            <w:tcW w:w="429" w:type="pct"/>
            <w:vMerge w:val="continue"/>
            <w:tcBorders>
              <w:left w:val="single" w:color="000000" w:sz="4" w:space="0"/>
              <w:right w:val="single" w:color="000000" w:sz="4" w:space="0"/>
            </w:tcBorders>
            <w:vAlign w:val="center"/>
          </w:tcPr>
          <w:p>
            <w:pPr>
              <w:pStyle w:val="21"/>
              <w:spacing w:line="242" w:lineRule="auto"/>
              <w:ind w:left="210" w:right="191"/>
              <w:jc w:val="center"/>
              <w:rPr>
                <w:rFonts w:asciiTheme="minorEastAsia" w:hAnsiTheme="minorEastAsia" w:eastAsiaTheme="minorEastAsia"/>
                <w:sz w:val="21"/>
                <w:lang w:eastAsia="zh-CN"/>
              </w:rPr>
            </w:pPr>
          </w:p>
        </w:tc>
        <w:tc>
          <w:tcPr>
            <w:tcW w:w="366" w:type="pct"/>
            <w:vMerge w:val="continue"/>
            <w:tcBorders>
              <w:left w:val="single" w:color="000000" w:sz="4" w:space="0"/>
              <w:right w:val="single" w:color="000000" w:sz="4" w:space="0"/>
            </w:tcBorders>
            <w:vAlign w:val="center"/>
          </w:tcPr>
          <w:p>
            <w:pPr>
              <w:pStyle w:val="21"/>
              <w:spacing w:before="1"/>
              <w:ind w:left="3"/>
              <w:jc w:val="center"/>
              <w:rPr>
                <w:rFonts w:asciiTheme="minorEastAsia" w:hAnsiTheme="minorEastAsia" w:eastAsiaTheme="minorEastAsia"/>
                <w:sz w:val="21"/>
                <w:lang w:eastAsia="zh-CN"/>
              </w:rPr>
            </w:pPr>
          </w:p>
        </w:tc>
        <w:tc>
          <w:tcPr>
            <w:tcW w:w="854" w:type="pct"/>
            <w:tcBorders>
              <w:top w:val="single" w:color="000000" w:sz="4" w:space="0"/>
              <w:left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cs="Times New Roman" w:asciiTheme="minorEastAsia" w:hAnsiTheme="minorEastAsia" w:eastAsiaTheme="minorEastAsia"/>
                <w:sz w:val="24"/>
                <w:szCs w:val="24"/>
                <w:lang w:eastAsia="zh-CN"/>
              </w:rPr>
              <w:t>群众生命财产安全保障</w:t>
            </w:r>
          </w:p>
        </w:tc>
        <w:tc>
          <w:tcPr>
            <w:tcW w:w="366" w:type="pct"/>
            <w:tcBorders>
              <w:top w:val="single" w:color="000000" w:sz="4" w:space="0"/>
              <w:left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c>
          <w:tcPr>
            <w:tcW w:w="2071" w:type="pct"/>
            <w:tcBorders>
              <w:top w:val="single" w:color="000000" w:sz="4" w:space="0"/>
              <w:left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cs="Times New Roman" w:asciiTheme="minorEastAsia" w:hAnsiTheme="minorEastAsia" w:eastAsiaTheme="minorEastAsia"/>
                <w:sz w:val="24"/>
                <w:szCs w:val="24"/>
                <w:lang w:eastAsia="zh-CN"/>
              </w:rPr>
              <w:t>对</w:t>
            </w:r>
            <w:r>
              <w:rPr>
                <w:rFonts w:cs="Times New Roman" w:asciiTheme="minorEastAsia" w:hAnsiTheme="minorEastAsia" w:eastAsiaTheme="minorEastAsia"/>
                <w:sz w:val="24"/>
                <w:szCs w:val="24"/>
                <w:lang w:eastAsia="zh-CN"/>
              </w:rPr>
              <w:t>实施区域群众生命财产安全保障</w:t>
            </w:r>
            <w:r>
              <w:rPr>
                <w:rFonts w:hint="eastAsia" w:cs="Times New Roman" w:asciiTheme="minorEastAsia" w:hAnsiTheme="minorEastAsia" w:eastAsiaTheme="minorEastAsia"/>
                <w:sz w:val="24"/>
                <w:szCs w:val="24"/>
                <w:lang w:eastAsia="zh-CN"/>
              </w:rPr>
              <w:t>改善情况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52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9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429" w:type="pct"/>
            <w:vMerge w:val="restart"/>
            <w:tcBorders>
              <w:top w:val="single" w:color="000000" w:sz="4" w:space="0"/>
              <w:left w:val="single" w:color="000000" w:sz="4" w:space="0"/>
              <w:right w:val="single" w:color="000000" w:sz="4" w:space="0"/>
            </w:tcBorders>
            <w:vAlign w:val="center"/>
          </w:tcPr>
          <w:p>
            <w:pPr>
              <w:pStyle w:val="21"/>
              <w:spacing w:before="102"/>
              <w:ind w:left="210" w:right="191"/>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生态效益</w:t>
            </w:r>
          </w:p>
        </w:tc>
        <w:tc>
          <w:tcPr>
            <w:tcW w:w="366" w:type="pct"/>
            <w:vMerge w:val="restart"/>
            <w:tcBorders>
              <w:top w:val="single" w:color="000000" w:sz="4" w:space="0"/>
              <w:left w:val="single" w:color="000000" w:sz="4" w:space="0"/>
              <w:right w:val="single" w:color="000000" w:sz="4" w:space="0"/>
            </w:tcBorders>
            <w:vAlign w:val="center"/>
          </w:tcPr>
          <w:p>
            <w:pPr>
              <w:pStyle w:val="21"/>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9</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生态环境改善情况</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改善当地生态环境情况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52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9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429" w:type="pct"/>
            <w:vMerge w:val="continue"/>
            <w:tcBorders>
              <w:left w:val="single" w:color="000000" w:sz="4" w:space="0"/>
              <w:right w:val="single" w:color="000000" w:sz="4" w:space="0"/>
            </w:tcBorders>
            <w:vAlign w:val="center"/>
          </w:tcPr>
          <w:p>
            <w:pPr>
              <w:pStyle w:val="21"/>
              <w:spacing w:before="102"/>
              <w:ind w:left="210" w:right="191"/>
              <w:jc w:val="center"/>
              <w:rPr>
                <w:rFonts w:asciiTheme="minorEastAsia" w:hAnsiTheme="minorEastAsia" w:eastAsiaTheme="minorEastAsia"/>
                <w:sz w:val="21"/>
                <w:lang w:eastAsia="zh-CN"/>
              </w:rPr>
            </w:pPr>
          </w:p>
        </w:tc>
        <w:tc>
          <w:tcPr>
            <w:tcW w:w="366" w:type="pct"/>
            <w:vMerge w:val="continue"/>
            <w:tcBorders>
              <w:left w:val="single" w:color="000000" w:sz="4" w:space="0"/>
              <w:right w:val="single" w:color="000000" w:sz="4" w:space="0"/>
            </w:tcBorders>
            <w:vAlign w:val="center"/>
          </w:tcPr>
          <w:p>
            <w:pPr>
              <w:pStyle w:val="21"/>
              <w:spacing w:before="12"/>
              <w:jc w:val="center"/>
              <w:rPr>
                <w:rFonts w:asciiTheme="minorEastAsia" w:hAnsiTheme="minorEastAsia" w:eastAsiaTheme="minorEastAsia"/>
                <w:sz w:val="28"/>
                <w:lang w:eastAsia="zh-CN"/>
              </w:rPr>
            </w:pPr>
          </w:p>
        </w:tc>
        <w:tc>
          <w:tcPr>
            <w:tcW w:w="854" w:type="pct"/>
            <w:tcBorders>
              <w:top w:val="single" w:color="000000" w:sz="4" w:space="0"/>
              <w:left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露天矿场扬尘情况</w:t>
            </w:r>
          </w:p>
        </w:tc>
        <w:tc>
          <w:tcPr>
            <w:tcW w:w="366" w:type="pct"/>
            <w:tcBorders>
              <w:top w:val="single" w:color="000000" w:sz="4" w:space="0"/>
              <w:left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c>
          <w:tcPr>
            <w:tcW w:w="2071" w:type="pct"/>
            <w:tcBorders>
              <w:top w:val="single" w:color="000000" w:sz="4" w:space="0"/>
              <w:left w:val="single" w:color="000000" w:sz="4" w:space="0"/>
              <w:right w:val="single" w:color="000000" w:sz="4" w:space="0"/>
            </w:tcBorders>
            <w:vAlign w:val="center"/>
          </w:tcPr>
          <w:p>
            <w:pPr>
              <w:pStyle w:val="21"/>
              <w:spacing w:before="101" w:line="242" w:lineRule="auto"/>
              <w:ind w:left="127" w:right="118"/>
              <w:jc w:val="both"/>
              <w:rPr>
                <w:rFonts w:asciiTheme="minorEastAsia" w:hAnsiTheme="minorEastAsia" w:eastAsiaTheme="minorEastAsia"/>
                <w:sz w:val="21"/>
                <w:lang w:eastAsia="zh-CN"/>
              </w:rPr>
            </w:pPr>
            <w:r>
              <w:rPr>
                <w:rFonts w:cs="Times New Roman" w:asciiTheme="minorEastAsia" w:hAnsiTheme="minorEastAsia" w:eastAsiaTheme="minorEastAsia"/>
                <w:sz w:val="24"/>
                <w:szCs w:val="24"/>
                <w:lang w:eastAsia="zh-CN"/>
              </w:rPr>
              <w:t>实施区域露天矿山扬尘</w:t>
            </w:r>
            <w:r>
              <w:rPr>
                <w:rFonts w:hint="eastAsia" w:cs="Times New Roman" w:asciiTheme="minorEastAsia" w:hAnsiTheme="minorEastAsia" w:eastAsiaTheme="minorEastAsia"/>
                <w:sz w:val="24"/>
                <w:szCs w:val="24"/>
                <w:lang w:eastAsia="zh-CN"/>
              </w:rPr>
              <w:t>改善情况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52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9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429" w:type="pct"/>
            <w:vMerge w:val="continue"/>
            <w:tcBorders>
              <w:left w:val="single" w:color="000000" w:sz="4" w:space="0"/>
              <w:right w:val="single" w:color="000000" w:sz="4" w:space="0"/>
            </w:tcBorders>
            <w:vAlign w:val="center"/>
          </w:tcPr>
          <w:p>
            <w:pPr>
              <w:pStyle w:val="21"/>
              <w:spacing w:before="102"/>
              <w:ind w:left="210" w:right="191"/>
              <w:jc w:val="center"/>
              <w:rPr>
                <w:rFonts w:asciiTheme="minorEastAsia" w:hAnsiTheme="minorEastAsia" w:eastAsiaTheme="minorEastAsia"/>
                <w:sz w:val="21"/>
                <w:lang w:eastAsia="zh-CN"/>
              </w:rPr>
            </w:pPr>
          </w:p>
        </w:tc>
        <w:tc>
          <w:tcPr>
            <w:tcW w:w="366" w:type="pct"/>
            <w:vMerge w:val="continue"/>
            <w:tcBorders>
              <w:left w:val="single" w:color="000000" w:sz="4" w:space="0"/>
              <w:right w:val="single" w:color="000000" w:sz="4" w:space="0"/>
            </w:tcBorders>
            <w:vAlign w:val="center"/>
          </w:tcPr>
          <w:p>
            <w:pPr>
              <w:pStyle w:val="21"/>
              <w:spacing w:before="12"/>
              <w:jc w:val="center"/>
              <w:rPr>
                <w:rFonts w:asciiTheme="minorEastAsia" w:hAnsiTheme="minorEastAsia" w:eastAsiaTheme="minorEastAsia"/>
                <w:sz w:val="28"/>
                <w:lang w:eastAsia="zh-CN"/>
              </w:rPr>
            </w:pPr>
          </w:p>
        </w:tc>
        <w:tc>
          <w:tcPr>
            <w:tcW w:w="854" w:type="pct"/>
            <w:tcBorders>
              <w:top w:val="single" w:color="000000" w:sz="4" w:space="0"/>
              <w:left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露天矿场视觉污染</w:t>
            </w:r>
          </w:p>
        </w:tc>
        <w:tc>
          <w:tcPr>
            <w:tcW w:w="366" w:type="pct"/>
            <w:tcBorders>
              <w:top w:val="single" w:color="000000" w:sz="4" w:space="0"/>
              <w:left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c>
          <w:tcPr>
            <w:tcW w:w="2071" w:type="pct"/>
            <w:tcBorders>
              <w:top w:val="single" w:color="000000" w:sz="4" w:space="0"/>
              <w:left w:val="single" w:color="000000" w:sz="4" w:space="0"/>
              <w:right w:val="single" w:color="000000" w:sz="4" w:space="0"/>
            </w:tcBorders>
            <w:vAlign w:val="center"/>
          </w:tcPr>
          <w:p>
            <w:pPr>
              <w:pStyle w:val="21"/>
              <w:spacing w:before="101" w:line="242" w:lineRule="auto"/>
              <w:ind w:left="127" w:right="118"/>
              <w:jc w:val="both"/>
              <w:rPr>
                <w:rFonts w:asciiTheme="minorEastAsia" w:hAnsiTheme="minorEastAsia" w:eastAsiaTheme="minorEastAsia"/>
                <w:sz w:val="21"/>
                <w:lang w:eastAsia="zh-CN"/>
              </w:rPr>
            </w:pPr>
            <w:r>
              <w:rPr>
                <w:rFonts w:cs="Times New Roman" w:asciiTheme="minorEastAsia" w:hAnsiTheme="minorEastAsia" w:eastAsiaTheme="minorEastAsia"/>
                <w:sz w:val="24"/>
                <w:szCs w:val="24"/>
                <w:lang w:eastAsia="zh-CN"/>
              </w:rPr>
              <w:t>实施区域露天矿山视觉污染</w:t>
            </w:r>
            <w:r>
              <w:rPr>
                <w:rFonts w:hint="eastAsia" w:cs="Times New Roman" w:asciiTheme="minorEastAsia" w:hAnsiTheme="minorEastAsia" w:eastAsiaTheme="minorEastAsia"/>
                <w:sz w:val="24"/>
                <w:szCs w:val="24"/>
                <w:lang w:eastAsia="zh-CN"/>
              </w:rPr>
              <w:t>改善情况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521" w:type="pct"/>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93" w:type="pct"/>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429" w:type="pct"/>
            <w:tcBorders>
              <w:top w:val="single" w:color="000000" w:sz="4" w:space="0"/>
              <w:left w:val="single" w:color="000000" w:sz="4" w:space="0"/>
              <w:bottom w:val="single" w:color="000000" w:sz="4" w:space="0"/>
              <w:right w:val="single" w:color="000000" w:sz="4" w:space="0"/>
            </w:tcBorders>
            <w:vAlign w:val="center"/>
          </w:tcPr>
          <w:p>
            <w:pPr>
              <w:pStyle w:val="21"/>
              <w:spacing w:before="102"/>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满意度</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ind w:left="3"/>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6</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公众满意度</w:t>
            </w:r>
          </w:p>
        </w:tc>
        <w:tc>
          <w:tcPr>
            <w:tcW w:w="366"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6</w:t>
            </w:r>
          </w:p>
        </w:tc>
        <w:tc>
          <w:tcPr>
            <w:tcW w:w="2071"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实施区域受益人群对改善环境质量满意度</w:t>
            </w:r>
          </w:p>
        </w:tc>
      </w:tr>
    </w:tbl>
    <w:p>
      <w:pPr>
        <w:spacing w:before="156" w:beforeLines="50" w:after="156" w:afterLines="50" w:line="360" w:lineRule="auto"/>
        <w:ind w:left="105" w:leftChars="50" w:right="105" w:rightChars="50" w:firstLine="602" w:firstLineChars="200"/>
        <w:jc w:val="center"/>
        <w:rPr>
          <w:rFonts w:asciiTheme="minorEastAsia" w:hAnsiTheme="minorEastAsia"/>
          <w:b/>
          <w:sz w:val="30"/>
          <w:szCs w:val="30"/>
        </w:rPr>
      </w:pPr>
    </w:p>
    <w:p>
      <w:pPr>
        <w:pStyle w:val="3"/>
        <w:rPr>
          <w:rFonts w:asciiTheme="minorEastAsia" w:hAnsiTheme="minorEastAsia" w:eastAsiaTheme="minorEastAsia" w:cstheme="minorBidi"/>
          <w:kern w:val="44"/>
          <w:sz w:val="30"/>
          <w:szCs w:val="30"/>
        </w:rPr>
      </w:pPr>
      <w:bookmarkStart w:id="11" w:name="_Toc93918205"/>
      <w:r>
        <w:rPr>
          <w:rFonts w:hint="eastAsia" w:asciiTheme="minorEastAsia" w:hAnsiTheme="minorEastAsia" w:eastAsiaTheme="minorEastAsia" w:cstheme="minorBidi"/>
          <w:kern w:val="44"/>
          <w:sz w:val="30"/>
          <w:szCs w:val="30"/>
        </w:rPr>
        <w:t>（六）绩效评价标准及评价等级</w:t>
      </w:r>
      <w:bookmarkEnd w:id="11"/>
    </w:p>
    <w:p>
      <w:pPr>
        <w:spacing w:before="156" w:beforeLines="50" w:after="156" w:afterLines="50" w:line="360" w:lineRule="auto"/>
        <w:ind w:left="105" w:leftChars="50" w:right="105" w:rightChars="50" w:firstLine="600" w:firstLineChars="200"/>
        <w:rPr>
          <w:sz w:val="30"/>
          <w:szCs w:val="30"/>
        </w:rPr>
      </w:pPr>
      <w:r>
        <w:rPr>
          <w:rFonts w:hint="eastAsia"/>
          <w:sz w:val="30"/>
          <w:szCs w:val="30"/>
        </w:rPr>
        <w:t>本次绩效评价结果采取评分和评级相结合的方式，评分标准以计划标准和行业标准为主，同时依据实际情况参照其他相关标准。</w:t>
      </w:r>
    </w:p>
    <w:p>
      <w:pPr>
        <w:spacing w:before="156" w:beforeLines="50" w:after="156" w:afterLines="50" w:line="360" w:lineRule="auto"/>
        <w:ind w:left="105" w:leftChars="50" w:right="105" w:rightChars="50" w:firstLine="600" w:firstLineChars="200"/>
        <w:rPr>
          <w:sz w:val="30"/>
          <w:szCs w:val="30"/>
        </w:rPr>
      </w:pPr>
      <w:r>
        <w:rPr>
          <w:rFonts w:hint="eastAsia"/>
          <w:sz w:val="30"/>
          <w:szCs w:val="30"/>
        </w:rPr>
        <w:t>绩效评价采取定量和定性相结合的比较方法，总分由各项指标的得分汇总计算形成。总分为100分。绩效评价结果分为优、良、中、差4个等级，其中90(含)-100分为“优”、80(含)-90分为“良”、60(含)-80分为“中”、60分以下为“差”。</w:t>
      </w:r>
    </w:p>
    <w:p>
      <w:pPr>
        <w:pStyle w:val="2"/>
        <w:rPr>
          <w:rFonts w:asciiTheme="minorEastAsia" w:hAnsiTheme="minorEastAsia"/>
          <w:sz w:val="32"/>
          <w:szCs w:val="32"/>
        </w:rPr>
      </w:pPr>
      <w:bookmarkStart w:id="12" w:name="_Toc93918206"/>
      <w:r>
        <w:rPr>
          <w:rFonts w:hint="eastAsia" w:asciiTheme="minorEastAsia" w:hAnsiTheme="minorEastAsia"/>
          <w:sz w:val="32"/>
          <w:szCs w:val="32"/>
        </w:rPr>
        <w:t>三、绩效评价分析</w:t>
      </w:r>
      <w:bookmarkEnd w:id="12"/>
    </w:p>
    <w:p>
      <w:pPr>
        <w:pStyle w:val="3"/>
        <w:rPr>
          <w:rFonts w:asciiTheme="minorEastAsia" w:hAnsiTheme="minorEastAsia"/>
          <w:sz w:val="30"/>
          <w:szCs w:val="30"/>
        </w:rPr>
      </w:pPr>
      <w:bookmarkStart w:id="13" w:name="_Toc93918207"/>
      <w:r>
        <w:rPr>
          <w:rFonts w:hint="eastAsia"/>
          <w:sz w:val="30"/>
          <w:szCs w:val="30"/>
        </w:rPr>
        <w:t>（一）</w:t>
      </w:r>
      <w:r>
        <w:rPr>
          <w:rFonts w:hint="eastAsia" w:asciiTheme="minorEastAsia" w:hAnsiTheme="minorEastAsia"/>
          <w:sz w:val="30"/>
          <w:szCs w:val="30"/>
        </w:rPr>
        <w:t>项目决策情况</w:t>
      </w:r>
      <w:bookmarkEnd w:id="13"/>
    </w:p>
    <w:p>
      <w:pPr>
        <w:spacing w:before="156" w:beforeLines="50" w:after="156" w:afterLines="50" w:line="360" w:lineRule="auto"/>
        <w:ind w:left="105" w:leftChars="50" w:right="105" w:rightChars="50" w:firstLine="600" w:firstLineChars="200"/>
        <w:rPr>
          <w:sz w:val="30"/>
          <w:szCs w:val="30"/>
        </w:rPr>
      </w:pPr>
      <w:r>
        <w:rPr>
          <w:rFonts w:hint="eastAsia"/>
          <w:sz w:val="30"/>
          <w:szCs w:val="30"/>
        </w:rPr>
        <w:t>本项目决策下设“项目立项”、“绩效目标”、“资金投入”三个二级指标，权重15分，综合得分13.8分。单项得分率为92%。各项三级指标得分情况见下表3.1：</w:t>
      </w:r>
    </w:p>
    <w:p>
      <w:pPr>
        <w:spacing w:before="156" w:beforeLines="50" w:after="156" w:afterLines="50" w:line="360" w:lineRule="auto"/>
        <w:ind w:left="105" w:leftChars="50" w:right="105" w:rightChars="50" w:firstLine="600" w:firstLineChars="200"/>
        <w:jc w:val="center"/>
        <w:rPr>
          <w:sz w:val="30"/>
          <w:szCs w:val="30"/>
        </w:rPr>
      </w:pPr>
      <w:r>
        <w:rPr>
          <w:rFonts w:hint="eastAsia"/>
          <w:sz w:val="30"/>
          <w:szCs w:val="30"/>
        </w:rPr>
        <w:t>表3.1  黄河流域历史遗留废弃矿山治理项目</w:t>
      </w:r>
    </w:p>
    <w:p>
      <w:pPr>
        <w:spacing w:before="156" w:beforeLines="50" w:after="156" w:afterLines="50" w:line="360" w:lineRule="auto"/>
        <w:ind w:left="105" w:leftChars="50" w:right="105" w:rightChars="50" w:firstLine="600" w:firstLineChars="200"/>
        <w:jc w:val="center"/>
        <w:rPr>
          <w:sz w:val="30"/>
          <w:szCs w:val="30"/>
        </w:rPr>
      </w:pPr>
      <w:r>
        <w:rPr>
          <w:rFonts w:hint="eastAsia"/>
          <w:sz w:val="30"/>
          <w:szCs w:val="30"/>
        </w:rPr>
        <w:t>绩效评价决策指标得分表</w:t>
      </w:r>
    </w:p>
    <w:tbl>
      <w:tblPr>
        <w:tblStyle w:val="22"/>
        <w:tblW w:w="494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0"/>
        <w:gridCol w:w="424"/>
        <w:gridCol w:w="564"/>
        <w:gridCol w:w="423"/>
        <w:gridCol w:w="1143"/>
        <w:gridCol w:w="3967"/>
        <w:gridCol w:w="568"/>
        <w:gridCol w:w="7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261"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38" w:right="123"/>
              <w:jc w:val="center"/>
              <w:rPr>
                <w:rFonts w:ascii="宋体" w:hAnsi="宋体" w:eastAsia="宋体"/>
                <w:b/>
                <w:sz w:val="21"/>
                <w:szCs w:val="21"/>
                <w:lang w:eastAsia="en-US"/>
              </w:rPr>
            </w:pPr>
            <w:r>
              <w:rPr>
                <w:rFonts w:hint="eastAsia" w:ascii="宋体" w:hAnsi="宋体" w:eastAsia="宋体"/>
                <w:b/>
                <w:sz w:val="21"/>
                <w:szCs w:val="21"/>
                <w:lang w:eastAsia="en-US"/>
              </w:rPr>
              <w:t>一级指标</w:t>
            </w:r>
          </w:p>
        </w:tc>
        <w:tc>
          <w:tcPr>
            <w:tcW w:w="258"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24" w:right="108"/>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343"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205" w:right="195"/>
              <w:jc w:val="center"/>
              <w:rPr>
                <w:rFonts w:ascii="宋体" w:hAnsi="宋体" w:eastAsia="宋体"/>
                <w:b/>
                <w:sz w:val="21"/>
                <w:szCs w:val="21"/>
                <w:lang w:eastAsia="en-US"/>
              </w:rPr>
            </w:pPr>
            <w:r>
              <w:rPr>
                <w:rFonts w:hint="eastAsia" w:ascii="宋体" w:hAnsi="宋体" w:eastAsia="宋体"/>
                <w:b/>
                <w:sz w:val="21"/>
                <w:szCs w:val="21"/>
                <w:lang w:eastAsia="en-US"/>
              </w:rPr>
              <w:t>二级指标</w:t>
            </w:r>
          </w:p>
        </w:tc>
        <w:tc>
          <w:tcPr>
            <w:tcW w:w="257"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18" w:right="113"/>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695" w:type="pct"/>
            <w:tcBorders>
              <w:top w:val="single" w:color="000000" w:sz="4" w:space="0"/>
              <w:left w:val="single" w:color="000000" w:sz="4" w:space="0"/>
              <w:bottom w:val="single" w:color="000000" w:sz="4" w:space="0"/>
              <w:right w:val="single" w:color="000000" w:sz="4" w:space="0"/>
            </w:tcBorders>
            <w:vAlign w:val="center"/>
          </w:tcPr>
          <w:p>
            <w:pPr>
              <w:pStyle w:val="21"/>
              <w:jc w:val="center"/>
              <w:rPr>
                <w:rFonts w:ascii="宋体" w:hAnsi="宋体" w:eastAsia="宋体"/>
                <w:b/>
                <w:sz w:val="21"/>
                <w:szCs w:val="21"/>
                <w:lang w:eastAsia="en-US"/>
              </w:rPr>
            </w:pPr>
            <w:r>
              <w:rPr>
                <w:rFonts w:hint="eastAsia" w:ascii="宋体" w:hAnsi="宋体" w:eastAsia="宋体"/>
                <w:b/>
                <w:sz w:val="21"/>
                <w:szCs w:val="21"/>
                <w:lang w:eastAsia="en-US"/>
              </w:rPr>
              <w:t>三级指标</w:t>
            </w:r>
          </w:p>
        </w:tc>
        <w:tc>
          <w:tcPr>
            <w:tcW w:w="2411" w:type="pct"/>
            <w:tcBorders>
              <w:top w:val="single" w:color="000000" w:sz="4" w:space="0"/>
              <w:left w:val="single" w:color="000000" w:sz="4" w:space="0"/>
              <w:bottom w:val="single" w:color="000000" w:sz="4" w:space="0"/>
              <w:right w:val="single" w:color="000000" w:sz="4" w:space="0"/>
            </w:tcBorders>
            <w:vAlign w:val="center"/>
          </w:tcPr>
          <w:p>
            <w:pPr>
              <w:pStyle w:val="21"/>
              <w:ind w:left="121" w:right="118"/>
              <w:jc w:val="center"/>
              <w:rPr>
                <w:rFonts w:ascii="宋体" w:hAnsi="宋体" w:eastAsia="宋体"/>
                <w:sz w:val="21"/>
                <w:szCs w:val="21"/>
                <w:lang w:eastAsia="en-US"/>
              </w:rPr>
            </w:pPr>
            <w:r>
              <w:rPr>
                <w:rFonts w:hint="eastAsia" w:ascii="宋体" w:hAnsi="宋体" w:eastAsia="宋体"/>
                <w:b/>
                <w:sz w:val="21"/>
                <w:szCs w:val="21"/>
                <w:lang w:eastAsia="en-US"/>
              </w:rPr>
              <w:t>评价标准</w:t>
            </w:r>
          </w:p>
        </w:tc>
        <w:tc>
          <w:tcPr>
            <w:tcW w:w="345" w:type="pct"/>
            <w:tcBorders>
              <w:top w:val="single" w:color="000000" w:sz="4" w:space="0"/>
              <w:left w:val="single" w:color="000000" w:sz="4" w:space="0"/>
              <w:bottom w:val="single" w:color="000000" w:sz="4" w:space="0"/>
              <w:right w:val="single" w:color="000000" w:sz="4" w:space="0"/>
            </w:tcBorders>
            <w:vAlign w:val="center"/>
          </w:tcPr>
          <w:p>
            <w:pPr>
              <w:pStyle w:val="21"/>
              <w:ind w:left="121" w:right="118"/>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1"/>
              <w:ind w:left="121" w:right="118"/>
              <w:jc w:val="center"/>
              <w:rPr>
                <w:rFonts w:ascii="宋体" w:hAnsi="宋体" w:eastAsia="宋体"/>
                <w:b/>
                <w:sz w:val="21"/>
                <w:szCs w:val="21"/>
                <w:lang w:eastAsia="en-US"/>
              </w:rPr>
            </w:pPr>
            <w:r>
              <w:rPr>
                <w:rFonts w:hint="eastAsia" w:ascii="宋体" w:hAnsi="宋体" w:eastAsia="宋体"/>
                <w:b/>
                <w:sz w:val="21"/>
                <w:szCs w:val="21"/>
                <w:lang w:eastAsia="en-US"/>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3" w:hRule="atLeast"/>
        </w:trPr>
        <w:tc>
          <w:tcPr>
            <w:tcW w:w="261" w:type="pct"/>
            <w:vMerge w:val="restart"/>
            <w:tcBorders>
              <w:top w:val="single" w:color="000000" w:sz="4" w:space="0"/>
              <w:left w:val="single" w:color="000000" w:sz="4" w:space="0"/>
              <w:right w:val="single" w:color="000000" w:sz="4" w:space="0"/>
            </w:tcBorders>
            <w:vAlign w:val="center"/>
          </w:tcPr>
          <w:p>
            <w:pPr>
              <w:pStyle w:val="21"/>
              <w:ind w:left="138"/>
              <w:jc w:val="center"/>
              <w:rPr>
                <w:rFonts w:ascii="宋体" w:hAnsi="宋体" w:eastAsia="宋体"/>
                <w:sz w:val="21"/>
                <w:szCs w:val="21"/>
                <w:lang w:eastAsia="en-US"/>
              </w:rPr>
            </w:pPr>
            <w:r>
              <w:rPr>
                <w:rFonts w:hint="eastAsia" w:ascii="宋体" w:hAnsi="宋体" w:eastAsia="宋体"/>
                <w:sz w:val="21"/>
                <w:szCs w:val="21"/>
                <w:lang w:eastAsia="en-US"/>
              </w:rPr>
              <w:t>决策</w:t>
            </w:r>
          </w:p>
        </w:tc>
        <w:tc>
          <w:tcPr>
            <w:tcW w:w="258" w:type="pct"/>
            <w:vMerge w:val="restart"/>
            <w:tcBorders>
              <w:top w:val="single" w:color="000000" w:sz="4" w:space="0"/>
              <w:left w:val="single" w:color="000000" w:sz="4" w:space="0"/>
              <w:right w:val="single" w:color="000000" w:sz="4" w:space="0"/>
            </w:tcBorders>
            <w:vAlign w:val="center"/>
          </w:tcPr>
          <w:p>
            <w:pPr>
              <w:pStyle w:val="21"/>
              <w:ind w:left="124"/>
              <w:jc w:val="center"/>
              <w:rPr>
                <w:rFonts w:ascii="宋体" w:hAnsi="宋体" w:eastAsia="宋体"/>
                <w:sz w:val="21"/>
                <w:szCs w:val="21"/>
                <w:lang w:eastAsia="en-US"/>
              </w:rPr>
            </w:pPr>
            <w:r>
              <w:rPr>
                <w:rFonts w:hint="eastAsia" w:ascii="宋体" w:hAnsi="宋体" w:eastAsia="宋体"/>
                <w:sz w:val="21"/>
                <w:szCs w:val="21"/>
                <w:lang w:eastAsia="en-US"/>
              </w:rPr>
              <w:t>15</w:t>
            </w:r>
          </w:p>
        </w:tc>
        <w:tc>
          <w:tcPr>
            <w:tcW w:w="343" w:type="pct"/>
            <w:vMerge w:val="restart"/>
            <w:tcBorders>
              <w:top w:val="single" w:color="000000" w:sz="4" w:space="0"/>
              <w:left w:val="single" w:color="000000" w:sz="4" w:space="0"/>
              <w:right w:val="single" w:color="000000" w:sz="4" w:space="0"/>
            </w:tcBorders>
            <w:vAlign w:val="center"/>
          </w:tcPr>
          <w:p>
            <w:pPr>
              <w:pStyle w:val="21"/>
              <w:spacing w:before="97" w:line="242" w:lineRule="auto"/>
              <w:ind w:left="210" w:right="191"/>
              <w:jc w:val="center"/>
              <w:rPr>
                <w:rFonts w:ascii="宋体" w:hAnsi="宋体" w:eastAsia="宋体"/>
                <w:sz w:val="21"/>
                <w:szCs w:val="21"/>
                <w:lang w:eastAsia="en-US"/>
              </w:rPr>
            </w:pPr>
            <w:r>
              <w:rPr>
                <w:rFonts w:hint="eastAsia" w:ascii="宋体" w:hAnsi="宋体" w:eastAsia="宋体"/>
                <w:sz w:val="21"/>
                <w:szCs w:val="21"/>
                <w:lang w:eastAsia="en-US"/>
              </w:rPr>
              <w:t>项目立项</w:t>
            </w:r>
          </w:p>
        </w:tc>
        <w:tc>
          <w:tcPr>
            <w:tcW w:w="257" w:type="pct"/>
            <w:vMerge w:val="restart"/>
            <w:tcBorders>
              <w:top w:val="single" w:color="000000" w:sz="4" w:space="0"/>
              <w:left w:val="single" w:color="000000" w:sz="4" w:space="0"/>
              <w:right w:val="single" w:color="000000" w:sz="4" w:space="0"/>
            </w:tcBorders>
            <w:vAlign w:val="center"/>
          </w:tcPr>
          <w:p>
            <w:pPr>
              <w:pStyle w:val="21"/>
              <w:ind w:left="3"/>
              <w:jc w:val="center"/>
              <w:rPr>
                <w:rFonts w:ascii="宋体" w:hAnsi="宋体" w:eastAsia="宋体"/>
                <w:sz w:val="21"/>
                <w:szCs w:val="21"/>
                <w:lang w:eastAsia="en-US"/>
              </w:rPr>
            </w:pPr>
            <w:r>
              <w:rPr>
                <w:rFonts w:hint="eastAsia" w:ascii="宋体" w:hAnsi="宋体" w:eastAsia="宋体"/>
                <w:sz w:val="21"/>
                <w:szCs w:val="21"/>
                <w:lang w:eastAsia="en-US"/>
              </w:rPr>
              <w:t>5</w:t>
            </w:r>
          </w:p>
        </w:tc>
        <w:tc>
          <w:tcPr>
            <w:tcW w:w="695"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立项依据充分性</w:t>
            </w:r>
          </w:p>
        </w:tc>
        <w:tc>
          <w:tcPr>
            <w:tcW w:w="2411" w:type="pct"/>
            <w:tcBorders>
              <w:top w:val="single" w:color="000000" w:sz="4" w:space="0"/>
              <w:left w:val="single" w:color="000000" w:sz="4" w:space="0"/>
              <w:bottom w:val="single" w:color="000000" w:sz="4" w:space="0"/>
              <w:right w:val="single" w:color="000000" w:sz="4" w:space="0"/>
            </w:tcBorders>
          </w:tcPr>
          <w:p>
            <w:pPr>
              <w:pStyle w:val="21"/>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1、立项合法合规(1分)</w:t>
            </w:r>
          </w:p>
          <w:p>
            <w:pPr>
              <w:pStyle w:val="21"/>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2、项目立项与部门职责范围相</w:t>
            </w:r>
            <w:r>
              <w:rPr>
                <w:rFonts w:hint="eastAsia" w:ascii="宋体" w:hAnsi="宋体" w:eastAsia="宋体"/>
                <w:sz w:val="21"/>
                <w:szCs w:val="21"/>
                <w:lang w:eastAsia="zh-CN"/>
              </w:rPr>
              <w:t>符</w:t>
            </w:r>
            <w:r>
              <w:rPr>
                <w:rFonts w:ascii="宋体" w:hAnsi="宋体" w:eastAsia="宋体"/>
                <w:sz w:val="21"/>
                <w:szCs w:val="21"/>
                <w:lang w:eastAsia="zh-CN"/>
              </w:rPr>
              <w:t>(0.5分)</w:t>
            </w:r>
          </w:p>
          <w:p>
            <w:pPr>
              <w:pStyle w:val="21"/>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3、项目属于公共财政支持范围(0.5分)</w:t>
            </w:r>
          </w:p>
        </w:tc>
        <w:tc>
          <w:tcPr>
            <w:tcW w:w="345"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2</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left="233" w:right="118" w:hanging="106"/>
              <w:jc w:val="center"/>
              <w:rPr>
                <w:rFonts w:ascii="宋体" w:hAnsi="宋体" w:eastAsia="宋体"/>
                <w:sz w:val="21"/>
                <w:szCs w:val="21"/>
                <w:lang w:eastAsia="zh-CN"/>
              </w:rPr>
            </w:pPr>
            <w:r>
              <w:rPr>
                <w:rFonts w:hint="eastAsia" w:ascii="宋体" w:hAnsi="宋体" w:eastAsia="宋体"/>
                <w:sz w:val="21"/>
                <w:szCs w:val="21"/>
                <w:lang w:eastAsia="zh-CN"/>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261" w:type="pct"/>
            <w:vMerge w:val="continue"/>
            <w:tcBorders>
              <w:left w:val="single" w:color="000000" w:sz="4" w:space="0"/>
              <w:right w:val="single" w:color="000000" w:sz="4" w:space="0"/>
            </w:tcBorders>
            <w:vAlign w:val="center"/>
          </w:tcPr>
          <w:p>
            <w:pPr>
              <w:pStyle w:val="21"/>
              <w:jc w:val="center"/>
              <w:rPr>
                <w:rFonts w:ascii="宋体" w:hAnsi="宋体" w:eastAsia="宋体"/>
                <w:sz w:val="21"/>
                <w:szCs w:val="21"/>
                <w:lang w:eastAsia="en-US"/>
              </w:rPr>
            </w:pPr>
          </w:p>
        </w:tc>
        <w:tc>
          <w:tcPr>
            <w:tcW w:w="258" w:type="pct"/>
            <w:vMerge w:val="continue"/>
            <w:tcBorders>
              <w:left w:val="single" w:color="000000" w:sz="4" w:space="0"/>
              <w:right w:val="single" w:color="000000" w:sz="4" w:space="0"/>
            </w:tcBorders>
            <w:vAlign w:val="center"/>
          </w:tcPr>
          <w:p>
            <w:pPr>
              <w:pStyle w:val="21"/>
              <w:jc w:val="center"/>
              <w:rPr>
                <w:rFonts w:ascii="宋体" w:hAnsi="宋体" w:eastAsia="宋体"/>
                <w:sz w:val="21"/>
                <w:szCs w:val="21"/>
                <w:lang w:eastAsia="en-US"/>
              </w:rPr>
            </w:pPr>
          </w:p>
        </w:tc>
        <w:tc>
          <w:tcPr>
            <w:tcW w:w="343" w:type="pct"/>
            <w:vMerge w:val="continue"/>
            <w:tcBorders>
              <w:left w:val="single" w:color="000000" w:sz="4" w:space="0"/>
              <w:bottom w:val="single" w:color="000000" w:sz="4" w:space="0"/>
              <w:right w:val="single" w:color="000000" w:sz="4" w:space="0"/>
            </w:tcBorders>
            <w:vAlign w:val="center"/>
          </w:tcPr>
          <w:p>
            <w:pPr>
              <w:pStyle w:val="21"/>
              <w:jc w:val="center"/>
              <w:rPr>
                <w:rFonts w:ascii="宋体" w:hAnsi="宋体" w:eastAsia="宋体"/>
                <w:sz w:val="21"/>
                <w:szCs w:val="21"/>
                <w:lang w:eastAsia="en-US"/>
              </w:rPr>
            </w:pPr>
          </w:p>
        </w:tc>
        <w:tc>
          <w:tcPr>
            <w:tcW w:w="257" w:type="pct"/>
            <w:vMerge w:val="continue"/>
            <w:tcBorders>
              <w:left w:val="single" w:color="000000" w:sz="4" w:space="0"/>
              <w:bottom w:val="single" w:color="000000" w:sz="4" w:space="0"/>
              <w:right w:val="single" w:color="000000" w:sz="4" w:space="0"/>
            </w:tcBorders>
            <w:vAlign w:val="center"/>
          </w:tcPr>
          <w:p>
            <w:pPr>
              <w:pStyle w:val="21"/>
              <w:jc w:val="center"/>
              <w:rPr>
                <w:rFonts w:ascii="宋体" w:hAnsi="宋体" w:eastAsia="宋体"/>
                <w:sz w:val="21"/>
                <w:szCs w:val="21"/>
                <w:lang w:eastAsia="en-US"/>
              </w:rPr>
            </w:pPr>
          </w:p>
        </w:tc>
        <w:tc>
          <w:tcPr>
            <w:tcW w:w="695"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立项程序规范性</w:t>
            </w:r>
          </w:p>
        </w:tc>
        <w:tc>
          <w:tcPr>
            <w:tcW w:w="2411" w:type="pct"/>
            <w:tcBorders>
              <w:top w:val="single" w:color="000000" w:sz="4" w:space="0"/>
              <w:left w:val="single" w:color="000000" w:sz="4" w:space="0"/>
              <w:bottom w:val="single" w:color="000000" w:sz="4" w:space="0"/>
              <w:right w:val="single" w:color="000000" w:sz="4" w:space="0"/>
            </w:tcBorders>
          </w:tcPr>
          <w:p>
            <w:pPr>
              <w:pStyle w:val="21"/>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1、项目按规定程序申请设立(1分)</w:t>
            </w:r>
          </w:p>
          <w:p>
            <w:pPr>
              <w:pStyle w:val="21"/>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2、审批文件、材料符合要求范性(1分)</w:t>
            </w:r>
          </w:p>
          <w:p>
            <w:pPr>
              <w:pStyle w:val="21"/>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3、事前经过评估、集体决策(1分)</w:t>
            </w:r>
          </w:p>
        </w:tc>
        <w:tc>
          <w:tcPr>
            <w:tcW w:w="345"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3</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left="233" w:right="118" w:hanging="106"/>
              <w:jc w:val="center"/>
              <w:rPr>
                <w:rFonts w:ascii="宋体" w:hAnsi="宋体" w:eastAsia="宋体"/>
                <w:sz w:val="21"/>
                <w:szCs w:val="21"/>
                <w:lang w:eastAsia="zh-CN"/>
              </w:rPr>
            </w:pPr>
            <w:r>
              <w:rPr>
                <w:rFonts w:hint="eastAsia" w:ascii="宋体" w:hAnsi="宋体" w:eastAsia="宋体"/>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261"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8"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43" w:type="pct"/>
            <w:vMerge w:val="restart"/>
            <w:tcBorders>
              <w:top w:val="single" w:color="000000" w:sz="4" w:space="0"/>
              <w:left w:val="single" w:color="000000" w:sz="4" w:space="0"/>
              <w:bottom w:val="single" w:color="000000" w:sz="4" w:space="0"/>
              <w:right w:val="single" w:color="000000" w:sz="4" w:space="0"/>
            </w:tcBorders>
            <w:vAlign w:val="center"/>
          </w:tcPr>
          <w:p>
            <w:pPr>
              <w:pStyle w:val="21"/>
              <w:spacing w:before="1" w:line="242" w:lineRule="auto"/>
              <w:ind w:left="210" w:right="191"/>
              <w:jc w:val="center"/>
              <w:rPr>
                <w:rFonts w:ascii="宋体" w:hAnsi="宋体" w:eastAsia="宋体"/>
                <w:sz w:val="21"/>
                <w:szCs w:val="21"/>
                <w:lang w:eastAsia="en-US"/>
              </w:rPr>
            </w:pPr>
            <w:r>
              <w:rPr>
                <w:rFonts w:hint="eastAsia" w:ascii="宋体" w:hAnsi="宋体" w:eastAsia="宋体"/>
                <w:sz w:val="21"/>
                <w:szCs w:val="21"/>
                <w:lang w:eastAsia="en-US"/>
              </w:rPr>
              <w:t>绩效目标</w:t>
            </w:r>
          </w:p>
        </w:tc>
        <w:tc>
          <w:tcPr>
            <w:tcW w:w="257" w:type="pct"/>
            <w:vMerge w:val="restart"/>
            <w:tcBorders>
              <w:top w:val="single" w:color="000000" w:sz="4" w:space="0"/>
              <w:left w:val="single" w:color="000000" w:sz="4" w:space="0"/>
              <w:bottom w:val="single" w:color="000000" w:sz="4" w:space="0"/>
              <w:right w:val="single" w:color="000000" w:sz="4" w:space="0"/>
            </w:tcBorders>
            <w:vAlign w:val="center"/>
          </w:tcPr>
          <w:p>
            <w:pPr>
              <w:pStyle w:val="21"/>
              <w:ind w:left="3"/>
              <w:jc w:val="center"/>
              <w:rPr>
                <w:rFonts w:ascii="宋体" w:hAnsi="宋体" w:eastAsia="宋体"/>
                <w:sz w:val="21"/>
                <w:szCs w:val="21"/>
                <w:lang w:eastAsia="en-US"/>
              </w:rPr>
            </w:pPr>
            <w:r>
              <w:rPr>
                <w:rFonts w:hint="eastAsia" w:ascii="宋体" w:hAnsi="宋体" w:eastAsia="宋体"/>
                <w:sz w:val="21"/>
                <w:szCs w:val="21"/>
                <w:lang w:eastAsia="en-US"/>
              </w:rPr>
              <w:t>6</w:t>
            </w:r>
          </w:p>
        </w:tc>
        <w:tc>
          <w:tcPr>
            <w:tcW w:w="695"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绩效目标合理性</w:t>
            </w:r>
          </w:p>
        </w:tc>
        <w:tc>
          <w:tcPr>
            <w:tcW w:w="2411" w:type="pct"/>
            <w:tcBorders>
              <w:top w:val="single" w:color="000000" w:sz="4" w:space="0"/>
              <w:left w:val="single" w:color="000000" w:sz="4" w:space="0"/>
              <w:bottom w:val="single" w:color="000000" w:sz="4" w:space="0"/>
              <w:right w:val="single" w:color="000000" w:sz="4" w:space="0"/>
            </w:tcBorders>
          </w:tcPr>
          <w:p>
            <w:pPr>
              <w:pStyle w:val="21"/>
              <w:spacing w:before="102" w:line="242" w:lineRule="auto"/>
              <w:ind w:left="127" w:right="118"/>
              <w:jc w:val="both"/>
              <w:rPr>
                <w:rFonts w:ascii="宋体" w:hAnsi="宋体" w:eastAsia="宋体"/>
                <w:sz w:val="21"/>
                <w:szCs w:val="21"/>
                <w:lang w:eastAsia="zh-CN"/>
              </w:rPr>
            </w:pPr>
            <w:r>
              <w:rPr>
                <w:rFonts w:ascii="宋体" w:hAnsi="宋体" w:eastAsia="宋体"/>
                <w:sz w:val="21"/>
                <w:szCs w:val="21"/>
                <w:lang w:eastAsia="zh-CN"/>
              </w:rPr>
              <w:t>1、项目有绩效目标(0.5分)</w:t>
            </w:r>
          </w:p>
          <w:p>
            <w:pPr>
              <w:pStyle w:val="21"/>
              <w:spacing w:before="102" w:line="242" w:lineRule="auto"/>
              <w:ind w:left="127" w:right="118"/>
              <w:jc w:val="both"/>
              <w:rPr>
                <w:rFonts w:ascii="宋体" w:hAnsi="宋体" w:eastAsia="宋体"/>
                <w:sz w:val="21"/>
                <w:szCs w:val="21"/>
                <w:lang w:eastAsia="zh-CN"/>
              </w:rPr>
            </w:pPr>
            <w:r>
              <w:rPr>
                <w:rFonts w:ascii="宋体" w:hAnsi="宋体" w:eastAsia="宋体"/>
                <w:sz w:val="21"/>
                <w:szCs w:val="21"/>
                <w:lang w:eastAsia="zh-CN"/>
              </w:rPr>
              <w:t>2、绩效目标与工作内容相关(0.5分)</w:t>
            </w:r>
          </w:p>
          <w:p>
            <w:pPr>
              <w:pStyle w:val="21"/>
              <w:spacing w:before="102" w:line="242" w:lineRule="auto"/>
              <w:ind w:right="118" w:firstLine="105" w:firstLineChars="50"/>
              <w:jc w:val="both"/>
              <w:rPr>
                <w:rFonts w:ascii="宋体" w:hAnsi="宋体" w:eastAsia="宋体"/>
                <w:sz w:val="21"/>
                <w:szCs w:val="21"/>
                <w:lang w:eastAsia="zh-CN"/>
              </w:rPr>
            </w:pPr>
            <w:r>
              <w:rPr>
                <w:rFonts w:ascii="宋体" w:hAnsi="宋体" w:eastAsia="宋体"/>
                <w:sz w:val="21"/>
                <w:szCs w:val="21"/>
                <w:lang w:eastAsia="zh-CN"/>
              </w:rPr>
              <w:t>3、预期产出和效果符合正常水平(2分)。若项目无绩效标，该指标不得分。</w:t>
            </w:r>
          </w:p>
        </w:tc>
        <w:tc>
          <w:tcPr>
            <w:tcW w:w="345"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27" w:right="118"/>
              <w:jc w:val="center"/>
              <w:rPr>
                <w:rFonts w:ascii="宋体" w:hAnsi="宋体" w:eastAsia="宋体"/>
                <w:sz w:val="21"/>
                <w:szCs w:val="21"/>
                <w:lang w:eastAsia="en-US"/>
              </w:rPr>
            </w:pPr>
            <w:r>
              <w:rPr>
                <w:rFonts w:hint="eastAsia" w:ascii="宋体" w:hAnsi="宋体" w:eastAsia="宋体"/>
                <w:sz w:val="21"/>
                <w:szCs w:val="21"/>
                <w:lang w:eastAsia="en-US"/>
              </w:rPr>
              <w:t>3</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27" w:right="118"/>
              <w:jc w:val="center"/>
              <w:rPr>
                <w:rFonts w:ascii="宋体" w:hAnsi="宋体" w:eastAsia="宋体"/>
                <w:sz w:val="21"/>
                <w:szCs w:val="21"/>
                <w:lang w:eastAsia="zh-CN"/>
              </w:rPr>
            </w:pPr>
            <w:r>
              <w:rPr>
                <w:rFonts w:hint="eastAsia" w:ascii="宋体" w:hAnsi="宋体" w:eastAsia="宋体"/>
                <w:sz w:val="21"/>
                <w:szCs w:val="21"/>
                <w:lang w:eastAsia="zh-CN"/>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261"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8"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43"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7"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695"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right="118" w:firstLine="105" w:firstLineChars="50"/>
              <w:jc w:val="center"/>
              <w:rPr>
                <w:rFonts w:ascii="宋体" w:hAnsi="宋体" w:eastAsia="宋体"/>
                <w:sz w:val="21"/>
                <w:szCs w:val="21"/>
                <w:lang w:eastAsia="en-US"/>
              </w:rPr>
            </w:pPr>
            <w:r>
              <w:rPr>
                <w:rFonts w:hint="eastAsia" w:ascii="宋体" w:hAnsi="宋体" w:eastAsia="宋体"/>
                <w:sz w:val="21"/>
                <w:szCs w:val="21"/>
                <w:lang w:eastAsia="en-US"/>
              </w:rPr>
              <w:t>绩效指标明确性</w:t>
            </w:r>
          </w:p>
        </w:tc>
        <w:tc>
          <w:tcPr>
            <w:tcW w:w="2411" w:type="pct"/>
            <w:tcBorders>
              <w:top w:val="single" w:color="000000" w:sz="4" w:space="0"/>
              <w:left w:val="single" w:color="000000" w:sz="4" w:space="0"/>
              <w:bottom w:val="single" w:color="000000" w:sz="4" w:space="0"/>
              <w:right w:val="single" w:color="000000" w:sz="4" w:space="0"/>
            </w:tcBorders>
          </w:tcPr>
          <w:p>
            <w:pPr>
              <w:pStyle w:val="21"/>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1、绩效目标细化(1分)</w:t>
            </w:r>
          </w:p>
          <w:p>
            <w:pPr>
              <w:pStyle w:val="21"/>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2、指标值清晰可衡量(1分)</w:t>
            </w:r>
          </w:p>
          <w:p>
            <w:pPr>
              <w:pStyle w:val="21"/>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3、指标与计划数相对应(1分</w:t>
            </w:r>
          </w:p>
        </w:tc>
        <w:tc>
          <w:tcPr>
            <w:tcW w:w="345"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3</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left="233" w:right="118" w:hanging="106"/>
              <w:jc w:val="center"/>
              <w:rPr>
                <w:rFonts w:ascii="宋体" w:hAnsi="宋体" w:eastAsia="宋体"/>
                <w:sz w:val="21"/>
                <w:szCs w:val="21"/>
                <w:lang w:eastAsia="zh-CN"/>
              </w:rPr>
            </w:pPr>
            <w:r>
              <w:rPr>
                <w:rFonts w:hint="eastAsia" w:ascii="宋体" w:hAnsi="宋体" w:eastAsia="宋体"/>
                <w:sz w:val="21"/>
                <w:szCs w:val="21"/>
                <w:lang w:eastAsia="zh-CN"/>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5" w:hRule="atLeast"/>
        </w:trPr>
        <w:tc>
          <w:tcPr>
            <w:tcW w:w="261"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8"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43" w:type="pct"/>
            <w:vMerge w:val="restart"/>
            <w:tcBorders>
              <w:top w:val="single" w:color="000000" w:sz="4" w:space="0"/>
              <w:left w:val="single" w:color="000000" w:sz="4" w:space="0"/>
              <w:bottom w:val="single" w:color="000000" w:sz="4" w:space="0"/>
              <w:right w:val="single" w:color="000000" w:sz="4" w:space="0"/>
            </w:tcBorders>
            <w:vAlign w:val="center"/>
          </w:tcPr>
          <w:p>
            <w:pPr>
              <w:pStyle w:val="21"/>
              <w:spacing w:line="242" w:lineRule="auto"/>
              <w:ind w:left="210" w:right="191"/>
              <w:jc w:val="center"/>
              <w:rPr>
                <w:rFonts w:ascii="宋体" w:hAnsi="宋体" w:eastAsia="宋体"/>
                <w:sz w:val="21"/>
                <w:szCs w:val="21"/>
                <w:lang w:eastAsia="en-US"/>
              </w:rPr>
            </w:pPr>
            <w:r>
              <w:rPr>
                <w:rFonts w:hint="eastAsia" w:ascii="宋体" w:hAnsi="宋体" w:eastAsia="宋体"/>
                <w:sz w:val="21"/>
                <w:szCs w:val="21"/>
                <w:lang w:eastAsia="en-US"/>
              </w:rPr>
              <w:t>资金投入</w:t>
            </w:r>
          </w:p>
        </w:tc>
        <w:tc>
          <w:tcPr>
            <w:tcW w:w="257" w:type="pct"/>
            <w:vMerge w:val="restart"/>
            <w:tcBorders>
              <w:top w:val="single" w:color="000000" w:sz="4" w:space="0"/>
              <w:left w:val="single" w:color="000000" w:sz="4" w:space="0"/>
              <w:bottom w:val="single" w:color="000000" w:sz="4" w:space="0"/>
              <w:right w:val="single" w:color="000000" w:sz="4" w:space="0"/>
            </w:tcBorders>
            <w:vAlign w:val="center"/>
          </w:tcPr>
          <w:p>
            <w:pPr>
              <w:pStyle w:val="21"/>
              <w:ind w:left="3"/>
              <w:jc w:val="center"/>
              <w:rPr>
                <w:rFonts w:ascii="宋体" w:hAnsi="宋体" w:eastAsia="宋体"/>
                <w:sz w:val="21"/>
                <w:szCs w:val="21"/>
                <w:lang w:eastAsia="en-US"/>
              </w:rPr>
            </w:pPr>
            <w:r>
              <w:rPr>
                <w:rFonts w:hint="eastAsia" w:ascii="宋体" w:hAnsi="宋体" w:eastAsia="宋体"/>
                <w:sz w:val="21"/>
                <w:szCs w:val="21"/>
                <w:lang w:eastAsia="en-US"/>
              </w:rPr>
              <w:t>4</w:t>
            </w:r>
          </w:p>
        </w:tc>
        <w:tc>
          <w:tcPr>
            <w:tcW w:w="695"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预算编制科学性</w:t>
            </w:r>
          </w:p>
        </w:tc>
        <w:tc>
          <w:tcPr>
            <w:tcW w:w="2411" w:type="pct"/>
            <w:tcBorders>
              <w:top w:val="single" w:color="000000" w:sz="4" w:space="0"/>
              <w:left w:val="single" w:color="000000" w:sz="4" w:space="0"/>
              <w:bottom w:val="single" w:color="000000" w:sz="4" w:space="0"/>
              <w:right w:val="single" w:color="000000" w:sz="4" w:space="0"/>
            </w:tcBorders>
          </w:tcPr>
          <w:p>
            <w:pPr>
              <w:pStyle w:val="21"/>
              <w:spacing w:before="102"/>
              <w:ind w:left="127" w:right="118"/>
              <w:jc w:val="both"/>
              <w:rPr>
                <w:rFonts w:ascii="宋体" w:hAnsi="宋体" w:eastAsia="宋体"/>
                <w:sz w:val="21"/>
                <w:szCs w:val="21"/>
                <w:lang w:eastAsia="zh-CN"/>
              </w:rPr>
            </w:pPr>
            <w:r>
              <w:rPr>
                <w:rFonts w:ascii="宋体" w:hAnsi="宋体" w:eastAsia="宋体"/>
                <w:sz w:val="21"/>
                <w:szCs w:val="21"/>
                <w:lang w:eastAsia="zh-CN"/>
              </w:rPr>
              <w:t>1、预算编制是否经过科学论证;(1分)</w:t>
            </w:r>
          </w:p>
          <w:p>
            <w:pPr>
              <w:pStyle w:val="21"/>
              <w:spacing w:before="102"/>
              <w:ind w:left="127" w:right="118"/>
              <w:jc w:val="both"/>
              <w:rPr>
                <w:rFonts w:ascii="宋体" w:hAnsi="宋体" w:eastAsia="宋体"/>
                <w:sz w:val="21"/>
                <w:szCs w:val="21"/>
                <w:lang w:eastAsia="zh-CN"/>
              </w:rPr>
            </w:pPr>
            <w:r>
              <w:rPr>
                <w:rFonts w:ascii="宋体" w:hAnsi="宋体" w:eastAsia="宋体"/>
                <w:sz w:val="21"/>
                <w:szCs w:val="21"/>
                <w:lang w:eastAsia="zh-CN"/>
              </w:rPr>
              <w:t>2、预算内容与项目内容是否匹</w:t>
            </w:r>
            <w:r>
              <w:rPr>
                <w:rFonts w:hint="eastAsia" w:ascii="宋体" w:hAnsi="宋体" w:eastAsia="宋体"/>
                <w:sz w:val="21"/>
                <w:szCs w:val="21"/>
                <w:lang w:eastAsia="zh-CN"/>
              </w:rPr>
              <w:t>配</w:t>
            </w:r>
            <w:r>
              <w:rPr>
                <w:rFonts w:ascii="宋体" w:hAnsi="宋体" w:eastAsia="宋体"/>
                <w:sz w:val="21"/>
                <w:szCs w:val="21"/>
                <w:lang w:eastAsia="zh-CN"/>
              </w:rPr>
              <w:t>;(0.5分)</w:t>
            </w:r>
          </w:p>
          <w:p>
            <w:pPr>
              <w:pStyle w:val="21"/>
              <w:spacing w:before="102"/>
              <w:ind w:left="127" w:right="118"/>
              <w:jc w:val="both"/>
              <w:rPr>
                <w:rFonts w:ascii="宋体" w:hAnsi="宋体" w:eastAsia="宋体"/>
                <w:sz w:val="21"/>
                <w:szCs w:val="21"/>
                <w:lang w:eastAsia="en-US"/>
              </w:rPr>
            </w:pPr>
            <w:r>
              <w:rPr>
                <w:rFonts w:ascii="宋体" w:hAnsi="宋体" w:eastAsia="宋体"/>
                <w:sz w:val="21"/>
                <w:szCs w:val="21"/>
                <w:lang w:eastAsia="zh-CN"/>
              </w:rPr>
              <w:t>3、预算额度测算依据是否充分。</w:t>
            </w:r>
            <w:r>
              <w:rPr>
                <w:rFonts w:ascii="宋体" w:hAnsi="宋体" w:eastAsia="宋体"/>
                <w:sz w:val="21"/>
                <w:szCs w:val="21"/>
                <w:lang w:eastAsia="en-US"/>
              </w:rPr>
              <w:t>(0.5分)</w:t>
            </w:r>
          </w:p>
        </w:tc>
        <w:tc>
          <w:tcPr>
            <w:tcW w:w="345" w:type="pct"/>
            <w:tcBorders>
              <w:top w:val="single" w:color="000000" w:sz="4" w:space="0"/>
              <w:left w:val="single" w:color="000000" w:sz="4" w:space="0"/>
              <w:bottom w:val="single" w:color="000000" w:sz="4" w:space="0"/>
              <w:right w:val="single" w:color="000000" w:sz="4" w:space="0"/>
            </w:tcBorders>
            <w:vAlign w:val="center"/>
          </w:tcPr>
          <w:p>
            <w:pPr>
              <w:pStyle w:val="21"/>
              <w:spacing w:before="102"/>
              <w:ind w:left="127" w:right="118"/>
              <w:jc w:val="center"/>
              <w:rPr>
                <w:rFonts w:ascii="宋体" w:hAnsi="宋体" w:eastAsia="宋体"/>
                <w:sz w:val="21"/>
                <w:szCs w:val="21"/>
                <w:lang w:eastAsia="zh-CN"/>
              </w:rPr>
            </w:pPr>
            <w:r>
              <w:rPr>
                <w:rFonts w:hint="eastAsia" w:ascii="宋体" w:hAnsi="宋体" w:eastAsia="宋体"/>
                <w:sz w:val="21"/>
                <w:szCs w:val="21"/>
                <w:lang w:eastAsia="zh-CN"/>
              </w:rPr>
              <w:t>2</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1"/>
              <w:spacing w:before="102"/>
              <w:ind w:left="127" w:right="118"/>
              <w:jc w:val="center"/>
              <w:rPr>
                <w:rFonts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261"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8"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43"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7"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695"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资金分配合理性</w:t>
            </w:r>
          </w:p>
        </w:tc>
        <w:tc>
          <w:tcPr>
            <w:tcW w:w="2411" w:type="pct"/>
            <w:tcBorders>
              <w:top w:val="single" w:color="000000" w:sz="4" w:space="0"/>
              <w:left w:val="single" w:color="000000" w:sz="4" w:space="0"/>
              <w:bottom w:val="single" w:color="000000" w:sz="4" w:space="0"/>
              <w:right w:val="single" w:color="000000" w:sz="4" w:space="0"/>
            </w:tcBorders>
          </w:tcPr>
          <w:p>
            <w:pPr>
              <w:pStyle w:val="21"/>
              <w:spacing w:before="101"/>
              <w:ind w:left="127" w:right="118"/>
              <w:jc w:val="both"/>
              <w:rPr>
                <w:rFonts w:ascii="宋体" w:hAnsi="宋体" w:eastAsia="宋体"/>
                <w:sz w:val="21"/>
                <w:szCs w:val="21"/>
                <w:lang w:eastAsia="zh-CN"/>
              </w:rPr>
            </w:pPr>
            <w:r>
              <w:rPr>
                <w:rFonts w:hint="eastAsia" w:ascii="宋体" w:hAnsi="宋体" w:eastAsia="宋体"/>
                <w:sz w:val="21"/>
                <w:szCs w:val="21"/>
                <w:lang w:eastAsia="zh-CN"/>
              </w:rPr>
              <w:t>1、预算资金分配依据是否充分</w:t>
            </w:r>
            <w:r>
              <w:rPr>
                <w:rFonts w:ascii="宋体" w:hAnsi="宋体" w:eastAsia="宋体"/>
                <w:sz w:val="21"/>
                <w:szCs w:val="21"/>
                <w:lang w:eastAsia="zh-CN"/>
              </w:rPr>
              <w:t>;(1分)</w:t>
            </w:r>
          </w:p>
          <w:p>
            <w:pPr>
              <w:pStyle w:val="21"/>
              <w:spacing w:before="101"/>
              <w:ind w:left="127" w:right="118"/>
              <w:jc w:val="both"/>
              <w:rPr>
                <w:rFonts w:ascii="宋体" w:hAnsi="宋体" w:eastAsia="宋体"/>
                <w:sz w:val="21"/>
                <w:szCs w:val="21"/>
                <w:lang w:eastAsia="en-US"/>
              </w:rPr>
            </w:pPr>
            <w:r>
              <w:rPr>
                <w:rFonts w:ascii="宋体" w:hAnsi="宋体" w:eastAsia="宋体"/>
                <w:sz w:val="21"/>
                <w:szCs w:val="21"/>
                <w:lang w:eastAsia="zh-CN"/>
              </w:rPr>
              <w:t>2、资金分配额度是否合理。</w:t>
            </w:r>
            <w:r>
              <w:rPr>
                <w:rFonts w:ascii="宋体" w:hAnsi="宋体" w:eastAsia="宋体"/>
                <w:sz w:val="21"/>
                <w:szCs w:val="21"/>
                <w:lang w:eastAsia="en-US"/>
              </w:rPr>
              <w:t>(1分)</w:t>
            </w:r>
          </w:p>
        </w:tc>
        <w:tc>
          <w:tcPr>
            <w:tcW w:w="345"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宋体" w:hAnsi="宋体" w:eastAsia="宋体"/>
                <w:sz w:val="21"/>
                <w:szCs w:val="21"/>
                <w:lang w:eastAsia="zh-CN"/>
              </w:rPr>
            </w:pPr>
            <w:r>
              <w:rPr>
                <w:rFonts w:hint="eastAsia" w:ascii="宋体" w:hAnsi="宋体" w:eastAsia="宋体"/>
                <w:sz w:val="21"/>
                <w:szCs w:val="21"/>
                <w:lang w:eastAsia="zh-CN"/>
              </w:rPr>
              <w:t>2</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4225" w:type="pct"/>
            <w:gridSpan w:val="6"/>
            <w:tcBorders>
              <w:left w:val="single" w:color="000000" w:sz="4" w:space="0"/>
              <w:bottom w:val="single" w:color="000000" w:sz="4" w:space="0"/>
              <w:right w:val="single" w:color="000000" w:sz="4" w:space="0"/>
            </w:tcBorders>
            <w:vAlign w:val="center"/>
          </w:tcPr>
          <w:p>
            <w:pPr>
              <w:pStyle w:val="21"/>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合   计</w:t>
            </w:r>
          </w:p>
        </w:tc>
        <w:tc>
          <w:tcPr>
            <w:tcW w:w="345"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15</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宋体" w:hAnsi="宋体" w:eastAsia="宋体"/>
                <w:sz w:val="21"/>
                <w:szCs w:val="21"/>
                <w:lang w:eastAsia="zh-CN"/>
              </w:rPr>
            </w:pPr>
            <w:r>
              <w:rPr>
                <w:rFonts w:hint="eastAsia" w:ascii="宋体" w:hAnsi="宋体" w:eastAsia="宋体"/>
                <w:sz w:val="21"/>
                <w:szCs w:val="21"/>
                <w:lang w:eastAsia="zh-CN"/>
              </w:rPr>
              <w:t>13.8</w:t>
            </w:r>
          </w:p>
        </w:tc>
      </w:tr>
    </w:tbl>
    <w:p>
      <w:pPr>
        <w:spacing w:before="156" w:beforeLines="50" w:after="156" w:afterLines="50" w:line="360" w:lineRule="auto"/>
        <w:ind w:left="105" w:leftChars="50" w:right="105" w:rightChars="50" w:firstLine="600" w:firstLineChars="200"/>
        <w:rPr>
          <w:sz w:val="30"/>
          <w:szCs w:val="30"/>
        </w:rPr>
      </w:pPr>
    </w:p>
    <w:p>
      <w:pPr>
        <w:spacing w:before="156" w:beforeLines="50" w:after="156" w:afterLines="50" w:line="360" w:lineRule="auto"/>
        <w:ind w:left="105" w:leftChars="50" w:right="105" w:rightChars="50" w:firstLine="600" w:firstLineChars="200"/>
        <w:rPr>
          <w:sz w:val="30"/>
          <w:szCs w:val="30"/>
        </w:rPr>
      </w:pPr>
      <w:r>
        <w:rPr>
          <w:rFonts w:hint="eastAsia"/>
          <w:sz w:val="30"/>
          <w:szCs w:val="30"/>
        </w:rPr>
        <w:t>决策指标部分</w:t>
      </w:r>
      <w:r>
        <w:rPr>
          <w:rFonts w:hint="eastAsia"/>
          <w:b/>
          <w:sz w:val="30"/>
          <w:szCs w:val="30"/>
        </w:rPr>
        <w:t>主要得分点</w:t>
      </w:r>
      <w:r>
        <w:rPr>
          <w:rFonts w:hint="eastAsia"/>
          <w:sz w:val="30"/>
          <w:szCs w:val="30"/>
        </w:rPr>
        <w:t>：根据《关于下达中央2020年度重点生态保护修复治理资金的通知》（豫财环资【2020】18号）文件要求，下达中央补助资金3600万元用于三门峡市黄河流域历史遗留废弃矿山治理，三门峡市</w:t>
      </w:r>
      <w:r>
        <w:rPr>
          <w:rFonts w:hint="eastAsia" w:asciiTheme="minorEastAsia" w:hAnsiTheme="minorEastAsia"/>
          <w:sz w:val="30"/>
          <w:szCs w:val="30"/>
        </w:rPr>
        <w:t>三门峡市陕州区自然资源局</w:t>
      </w:r>
      <w:r>
        <w:rPr>
          <w:rFonts w:hint="eastAsia"/>
          <w:sz w:val="30"/>
          <w:szCs w:val="30"/>
        </w:rPr>
        <w:t>按照文件要求编制项目实施方案，勘察设计报告，立项依据充分，绩效目标明确，</w:t>
      </w:r>
      <w:r>
        <w:rPr>
          <w:rFonts w:hint="eastAsia"/>
          <w:color w:val="000000" w:themeColor="text1"/>
          <w:sz w:val="30"/>
          <w:szCs w:val="30"/>
        </w:rPr>
        <w:t>根据开展历史遗留工矿废弃生态保护修复治理，完成自然资源部下达图斑治理，改善区域生态环境，提升区域生态环境质量，降低区域矿山地质灾害的发生率，保障区域生态安全，促进黄河流域生态保护和高质量发展，</w:t>
      </w:r>
      <w:r>
        <w:rPr>
          <w:rFonts w:hint="eastAsia"/>
          <w:sz w:val="30"/>
          <w:szCs w:val="30"/>
        </w:rPr>
        <w:t>符合实际情况。项目的预算编制经过科学论证，预算资金分配合理。</w:t>
      </w:r>
    </w:p>
    <w:p>
      <w:pPr>
        <w:pStyle w:val="3"/>
        <w:rPr>
          <w:rFonts w:asciiTheme="minorEastAsia" w:hAnsiTheme="minorEastAsia"/>
          <w:sz w:val="30"/>
          <w:szCs w:val="30"/>
        </w:rPr>
      </w:pPr>
      <w:bookmarkStart w:id="14" w:name="_Toc93918208"/>
      <w:r>
        <w:rPr>
          <w:rFonts w:hint="eastAsia"/>
          <w:sz w:val="30"/>
          <w:szCs w:val="30"/>
        </w:rPr>
        <w:t>（二）</w:t>
      </w:r>
      <w:r>
        <w:rPr>
          <w:rFonts w:hint="eastAsia" w:asciiTheme="minorEastAsia" w:hAnsiTheme="minorEastAsia"/>
          <w:sz w:val="30"/>
          <w:szCs w:val="30"/>
        </w:rPr>
        <w:t>项目过程情况</w:t>
      </w:r>
      <w:bookmarkEnd w:id="14"/>
    </w:p>
    <w:p>
      <w:pPr>
        <w:spacing w:before="156" w:beforeLines="50" w:after="156" w:afterLines="50" w:line="360" w:lineRule="auto"/>
        <w:ind w:left="105" w:leftChars="50" w:right="105" w:rightChars="50" w:firstLine="600" w:firstLineChars="200"/>
        <w:rPr>
          <w:sz w:val="30"/>
          <w:szCs w:val="30"/>
        </w:rPr>
      </w:pPr>
      <w:r>
        <w:rPr>
          <w:rFonts w:hint="eastAsia"/>
          <w:sz w:val="30"/>
          <w:szCs w:val="30"/>
        </w:rPr>
        <w:t>本项目过程下设“资金管理”、“组织实施”两个二级指标，权重25分，综合得分15.2分。单项得分率为60.8%。各项三级指标得分情况见下表：</w:t>
      </w:r>
    </w:p>
    <w:p>
      <w:pPr>
        <w:spacing w:before="156" w:beforeLines="50" w:after="156" w:afterLines="50" w:line="360" w:lineRule="auto"/>
        <w:ind w:left="105" w:leftChars="50" w:right="105" w:rightChars="50" w:firstLine="600" w:firstLineChars="200"/>
        <w:jc w:val="center"/>
        <w:rPr>
          <w:sz w:val="30"/>
          <w:szCs w:val="30"/>
        </w:rPr>
      </w:pPr>
      <w:r>
        <w:rPr>
          <w:rFonts w:hint="eastAsia"/>
          <w:sz w:val="30"/>
          <w:szCs w:val="30"/>
        </w:rPr>
        <w:t>表4  黄河流域历史遗留废弃矿山治理项目</w:t>
      </w:r>
    </w:p>
    <w:p>
      <w:pPr>
        <w:spacing w:before="156" w:beforeLines="50" w:after="156" w:afterLines="50" w:line="360" w:lineRule="auto"/>
        <w:ind w:left="105" w:leftChars="50" w:right="105" w:rightChars="50" w:firstLine="600" w:firstLineChars="200"/>
        <w:jc w:val="center"/>
        <w:rPr>
          <w:sz w:val="30"/>
          <w:szCs w:val="30"/>
        </w:rPr>
      </w:pPr>
      <w:r>
        <w:rPr>
          <w:rFonts w:hint="eastAsia"/>
          <w:sz w:val="30"/>
          <w:szCs w:val="30"/>
        </w:rPr>
        <w:t>绩效评价过程指标得分表</w:t>
      </w:r>
    </w:p>
    <w:tbl>
      <w:tblPr>
        <w:tblStyle w:val="2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
        <w:gridCol w:w="426"/>
        <w:gridCol w:w="564"/>
        <w:gridCol w:w="422"/>
        <w:gridCol w:w="719"/>
        <w:gridCol w:w="4396"/>
        <w:gridCol w:w="565"/>
        <w:gridCol w:w="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256"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38" w:right="123"/>
              <w:jc w:val="center"/>
              <w:rPr>
                <w:rFonts w:ascii="宋体" w:hAnsi="宋体" w:eastAsia="宋体"/>
                <w:b/>
                <w:sz w:val="21"/>
                <w:szCs w:val="21"/>
                <w:lang w:eastAsia="en-US"/>
              </w:rPr>
            </w:pPr>
            <w:r>
              <w:rPr>
                <w:rFonts w:hint="eastAsia" w:ascii="宋体" w:hAnsi="宋体" w:eastAsia="宋体"/>
                <w:b/>
                <w:sz w:val="21"/>
                <w:szCs w:val="21"/>
                <w:lang w:eastAsia="en-US"/>
              </w:rPr>
              <w:t>一级指标</w:t>
            </w:r>
          </w:p>
        </w:tc>
        <w:tc>
          <w:tcPr>
            <w:tcW w:w="256"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24" w:right="108"/>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339"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205" w:right="195"/>
              <w:jc w:val="center"/>
              <w:rPr>
                <w:rFonts w:ascii="宋体" w:hAnsi="宋体" w:eastAsia="宋体"/>
                <w:b/>
                <w:sz w:val="21"/>
                <w:szCs w:val="21"/>
                <w:lang w:eastAsia="en-US"/>
              </w:rPr>
            </w:pPr>
            <w:r>
              <w:rPr>
                <w:rFonts w:hint="eastAsia" w:ascii="宋体" w:hAnsi="宋体" w:eastAsia="宋体"/>
                <w:b/>
                <w:sz w:val="21"/>
                <w:szCs w:val="21"/>
                <w:lang w:eastAsia="en-US"/>
              </w:rPr>
              <w:t>二级指标</w:t>
            </w:r>
          </w:p>
        </w:tc>
        <w:tc>
          <w:tcPr>
            <w:tcW w:w="254"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18" w:right="113"/>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432" w:type="pct"/>
            <w:tcBorders>
              <w:top w:val="single" w:color="000000" w:sz="4" w:space="0"/>
              <w:left w:val="single" w:color="000000" w:sz="4" w:space="0"/>
              <w:bottom w:val="single" w:color="000000" w:sz="4" w:space="0"/>
              <w:right w:val="single" w:color="000000" w:sz="4" w:space="0"/>
            </w:tcBorders>
            <w:vAlign w:val="center"/>
          </w:tcPr>
          <w:p>
            <w:pPr>
              <w:pStyle w:val="21"/>
              <w:jc w:val="center"/>
              <w:rPr>
                <w:rFonts w:ascii="宋体" w:hAnsi="宋体" w:eastAsia="宋体"/>
                <w:b/>
                <w:sz w:val="21"/>
                <w:szCs w:val="21"/>
                <w:lang w:eastAsia="en-US"/>
              </w:rPr>
            </w:pPr>
            <w:r>
              <w:rPr>
                <w:rFonts w:hint="eastAsia" w:ascii="宋体" w:hAnsi="宋体" w:eastAsia="宋体"/>
                <w:b/>
                <w:sz w:val="21"/>
                <w:szCs w:val="21"/>
                <w:lang w:eastAsia="en-US"/>
              </w:rPr>
              <w:t>三级指标</w:t>
            </w:r>
          </w:p>
        </w:tc>
        <w:tc>
          <w:tcPr>
            <w:tcW w:w="2643" w:type="pct"/>
            <w:tcBorders>
              <w:top w:val="single" w:color="000000" w:sz="4" w:space="0"/>
              <w:left w:val="single" w:color="000000" w:sz="4" w:space="0"/>
              <w:bottom w:val="single" w:color="000000" w:sz="4" w:space="0"/>
              <w:right w:val="single" w:color="000000" w:sz="4" w:space="0"/>
            </w:tcBorders>
            <w:vAlign w:val="center"/>
          </w:tcPr>
          <w:p>
            <w:pPr>
              <w:pStyle w:val="21"/>
              <w:ind w:left="121" w:right="118"/>
              <w:jc w:val="center"/>
              <w:rPr>
                <w:rFonts w:ascii="宋体" w:hAnsi="宋体" w:eastAsia="宋体"/>
                <w:sz w:val="21"/>
                <w:szCs w:val="21"/>
                <w:lang w:eastAsia="en-US"/>
              </w:rPr>
            </w:pPr>
            <w:r>
              <w:rPr>
                <w:rFonts w:hint="eastAsia" w:ascii="宋体" w:hAnsi="宋体" w:eastAsia="宋体"/>
                <w:b/>
                <w:sz w:val="21"/>
                <w:szCs w:val="21"/>
                <w:lang w:eastAsia="en-US"/>
              </w:rPr>
              <w:t>评价标准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1"/>
              <w:ind w:left="121" w:right="118"/>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ind w:left="121" w:right="118"/>
              <w:jc w:val="center"/>
              <w:rPr>
                <w:rFonts w:ascii="宋体" w:hAnsi="宋体" w:eastAsia="宋体"/>
                <w:b/>
                <w:sz w:val="21"/>
                <w:szCs w:val="21"/>
                <w:lang w:eastAsia="en-US"/>
              </w:rPr>
            </w:pPr>
            <w:r>
              <w:rPr>
                <w:rFonts w:hint="eastAsia" w:ascii="宋体" w:hAnsi="宋体" w:eastAsia="宋体"/>
                <w:b/>
                <w:sz w:val="21"/>
                <w:szCs w:val="21"/>
                <w:lang w:eastAsia="en-US"/>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1" w:hRule="atLeast"/>
        </w:trPr>
        <w:tc>
          <w:tcPr>
            <w:tcW w:w="256" w:type="pct"/>
            <w:vMerge w:val="restart"/>
            <w:tcBorders>
              <w:top w:val="single" w:color="000000" w:sz="4" w:space="0"/>
              <w:left w:val="single" w:color="000000" w:sz="4" w:space="0"/>
              <w:bottom w:val="single" w:color="000000" w:sz="4" w:space="0"/>
              <w:right w:val="single" w:color="000000" w:sz="4" w:space="0"/>
            </w:tcBorders>
            <w:vAlign w:val="center"/>
          </w:tcPr>
          <w:p>
            <w:pPr>
              <w:pStyle w:val="21"/>
              <w:ind w:left="138"/>
              <w:jc w:val="center"/>
              <w:rPr>
                <w:rFonts w:ascii="宋体" w:hAnsi="宋体" w:eastAsia="宋体"/>
                <w:sz w:val="21"/>
                <w:szCs w:val="21"/>
                <w:lang w:eastAsia="en-US"/>
              </w:rPr>
            </w:pPr>
            <w:r>
              <w:rPr>
                <w:rFonts w:hint="eastAsia" w:ascii="宋体" w:hAnsi="宋体" w:eastAsia="宋体"/>
                <w:sz w:val="21"/>
                <w:szCs w:val="21"/>
                <w:lang w:eastAsia="en-US"/>
              </w:rPr>
              <w:t>过程</w:t>
            </w:r>
          </w:p>
        </w:tc>
        <w:tc>
          <w:tcPr>
            <w:tcW w:w="256" w:type="pct"/>
            <w:vMerge w:val="restart"/>
            <w:tcBorders>
              <w:top w:val="single" w:color="000000" w:sz="4" w:space="0"/>
              <w:left w:val="single" w:color="000000" w:sz="4" w:space="0"/>
              <w:bottom w:val="single" w:color="000000" w:sz="4" w:space="0"/>
              <w:right w:val="single" w:color="000000" w:sz="4" w:space="0"/>
            </w:tcBorders>
            <w:vAlign w:val="center"/>
          </w:tcPr>
          <w:p>
            <w:pPr>
              <w:pStyle w:val="21"/>
              <w:ind w:left="124"/>
              <w:jc w:val="center"/>
              <w:rPr>
                <w:rFonts w:ascii="宋体" w:hAnsi="宋体" w:eastAsia="宋体"/>
                <w:sz w:val="21"/>
                <w:szCs w:val="21"/>
                <w:lang w:eastAsia="en-US"/>
              </w:rPr>
            </w:pPr>
            <w:r>
              <w:rPr>
                <w:rFonts w:hint="eastAsia" w:ascii="宋体" w:hAnsi="宋体" w:eastAsia="宋体"/>
                <w:sz w:val="21"/>
                <w:szCs w:val="21"/>
                <w:lang w:eastAsia="en-US"/>
              </w:rPr>
              <w:t>25</w:t>
            </w:r>
          </w:p>
        </w:tc>
        <w:tc>
          <w:tcPr>
            <w:tcW w:w="339" w:type="pct"/>
            <w:vMerge w:val="restart"/>
            <w:tcBorders>
              <w:top w:val="single" w:color="000000" w:sz="4" w:space="0"/>
              <w:left w:val="single" w:color="000000" w:sz="4" w:space="0"/>
              <w:bottom w:val="single" w:color="000000" w:sz="4" w:space="0"/>
              <w:right w:val="single" w:color="000000" w:sz="4" w:space="0"/>
            </w:tcBorders>
            <w:vAlign w:val="center"/>
          </w:tcPr>
          <w:p>
            <w:pPr>
              <w:pStyle w:val="21"/>
              <w:spacing w:line="242" w:lineRule="auto"/>
              <w:ind w:left="210" w:right="191"/>
              <w:jc w:val="center"/>
              <w:rPr>
                <w:rFonts w:ascii="宋体" w:hAnsi="宋体" w:eastAsia="宋体"/>
                <w:sz w:val="21"/>
                <w:szCs w:val="21"/>
                <w:lang w:eastAsia="en-US"/>
              </w:rPr>
            </w:pPr>
            <w:r>
              <w:rPr>
                <w:rFonts w:hint="eastAsia" w:ascii="宋体" w:hAnsi="宋体" w:eastAsia="宋体"/>
                <w:sz w:val="21"/>
                <w:szCs w:val="21"/>
                <w:lang w:eastAsia="en-US"/>
              </w:rPr>
              <w:t>资金管理</w:t>
            </w:r>
          </w:p>
        </w:tc>
        <w:tc>
          <w:tcPr>
            <w:tcW w:w="254" w:type="pct"/>
            <w:vMerge w:val="restart"/>
            <w:tcBorders>
              <w:top w:val="single" w:color="000000" w:sz="4" w:space="0"/>
              <w:left w:val="single" w:color="000000" w:sz="4" w:space="0"/>
              <w:bottom w:val="single" w:color="000000" w:sz="4" w:space="0"/>
              <w:right w:val="single" w:color="000000" w:sz="4" w:space="0"/>
            </w:tcBorders>
            <w:vAlign w:val="center"/>
          </w:tcPr>
          <w:p>
            <w:pPr>
              <w:pStyle w:val="21"/>
              <w:ind w:left="118"/>
              <w:jc w:val="center"/>
              <w:rPr>
                <w:rFonts w:ascii="宋体" w:hAnsi="宋体" w:eastAsia="宋体"/>
                <w:sz w:val="21"/>
                <w:szCs w:val="21"/>
                <w:lang w:eastAsia="en-US"/>
              </w:rPr>
            </w:pPr>
            <w:r>
              <w:rPr>
                <w:rFonts w:hint="eastAsia" w:ascii="宋体" w:hAnsi="宋体" w:eastAsia="宋体"/>
                <w:sz w:val="21"/>
                <w:szCs w:val="21"/>
                <w:lang w:eastAsia="en-US"/>
              </w:rPr>
              <w:t>15</w:t>
            </w:r>
          </w:p>
        </w:tc>
        <w:tc>
          <w:tcPr>
            <w:tcW w:w="432" w:type="pct"/>
            <w:tcBorders>
              <w:top w:val="single" w:color="000000" w:sz="4" w:space="0"/>
              <w:left w:val="single" w:color="000000" w:sz="4" w:space="0"/>
              <w:bottom w:val="single" w:color="000000" w:sz="4" w:space="0"/>
              <w:right w:val="single" w:color="000000" w:sz="4" w:space="0"/>
            </w:tcBorders>
            <w:vAlign w:val="center"/>
          </w:tcPr>
          <w:p>
            <w:pPr>
              <w:pStyle w:val="21"/>
              <w:ind w:left="101" w:right="99"/>
              <w:jc w:val="center"/>
              <w:rPr>
                <w:rFonts w:ascii="宋体" w:hAnsi="宋体" w:eastAsia="宋体"/>
                <w:sz w:val="21"/>
                <w:szCs w:val="21"/>
                <w:lang w:eastAsia="en-US"/>
              </w:rPr>
            </w:pPr>
            <w:r>
              <w:rPr>
                <w:rFonts w:hint="eastAsia" w:ascii="宋体" w:hAnsi="宋体" w:eastAsia="宋体"/>
                <w:sz w:val="21"/>
                <w:szCs w:val="21"/>
                <w:lang w:eastAsia="en-US"/>
              </w:rPr>
              <w:t>资金到位率</w:t>
            </w:r>
          </w:p>
        </w:tc>
        <w:tc>
          <w:tcPr>
            <w:tcW w:w="2643"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宋体" w:hAnsi="宋体" w:eastAsia="宋体"/>
                <w:sz w:val="21"/>
                <w:szCs w:val="21"/>
                <w:lang w:eastAsia="zh-CN"/>
              </w:rPr>
            </w:pPr>
            <w:r>
              <w:rPr>
                <w:rFonts w:hint="eastAsia" w:ascii="宋体" w:hAnsi="宋体" w:eastAsia="宋体"/>
                <w:sz w:val="21"/>
                <w:szCs w:val="21"/>
                <w:lang w:eastAsia="zh-CN"/>
              </w:rPr>
              <w:t>到位率≤</w:t>
            </w:r>
            <w:r>
              <w:rPr>
                <w:rFonts w:ascii="宋体" w:hAnsi="宋体" w:eastAsia="宋体"/>
                <w:sz w:val="21"/>
                <w:szCs w:val="21"/>
                <w:lang w:eastAsia="zh-CN"/>
              </w:rPr>
              <w:t>100％，且未对项目开展造成不良影响，得分等于本指标权重分值×到位率;到位率＜100％，且对项目开展造成不良影</w:t>
            </w:r>
            <w:r>
              <w:rPr>
                <w:rFonts w:hint="eastAsia" w:ascii="宋体" w:hAnsi="宋体" w:eastAsia="宋体"/>
                <w:sz w:val="21"/>
                <w:szCs w:val="21"/>
                <w:lang w:eastAsia="zh-CN"/>
              </w:rPr>
              <w:t>响，除按照指标分值到位率计算外，还应酌情扣分。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3</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宋体" w:hAnsi="宋体" w:eastAsia="宋体"/>
                <w:sz w:val="21"/>
                <w:szCs w:val="21"/>
                <w:lang w:eastAsia="zh-CN"/>
              </w:rPr>
            </w:pPr>
            <w:r>
              <w:rPr>
                <w:rFonts w:hint="eastAsia" w:ascii="宋体" w:hAnsi="宋体" w:eastAsia="宋体"/>
                <w:sz w:val="21"/>
                <w:szCs w:val="21"/>
                <w:lang w:eastAsia="zh-CN"/>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5" w:hRule="atLeast"/>
        </w:trPr>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9"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4"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432" w:type="pct"/>
            <w:tcBorders>
              <w:top w:val="single" w:color="000000" w:sz="4" w:space="0"/>
              <w:left w:val="single" w:color="000000" w:sz="4" w:space="0"/>
              <w:bottom w:val="single" w:color="000000" w:sz="4" w:space="0"/>
              <w:right w:val="single" w:color="000000" w:sz="4" w:space="0"/>
            </w:tcBorders>
            <w:vAlign w:val="center"/>
          </w:tcPr>
          <w:p>
            <w:pPr>
              <w:pStyle w:val="21"/>
              <w:spacing w:before="1"/>
              <w:ind w:left="101" w:right="99"/>
              <w:jc w:val="center"/>
              <w:rPr>
                <w:rFonts w:ascii="宋体" w:hAnsi="宋体" w:eastAsia="宋体"/>
                <w:sz w:val="21"/>
                <w:szCs w:val="21"/>
                <w:lang w:eastAsia="en-US"/>
              </w:rPr>
            </w:pPr>
            <w:r>
              <w:rPr>
                <w:rFonts w:hint="eastAsia" w:ascii="宋体" w:hAnsi="宋体" w:eastAsia="宋体"/>
                <w:sz w:val="21"/>
                <w:szCs w:val="21"/>
                <w:lang w:eastAsia="en-US"/>
              </w:rPr>
              <w:t>预算执行率</w:t>
            </w:r>
          </w:p>
        </w:tc>
        <w:tc>
          <w:tcPr>
            <w:tcW w:w="2643"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宋体" w:hAnsi="宋体" w:eastAsia="宋体"/>
                <w:sz w:val="21"/>
                <w:szCs w:val="21"/>
                <w:lang w:eastAsia="zh-CN"/>
              </w:rPr>
            </w:pPr>
            <w:r>
              <w:rPr>
                <w:rFonts w:hint="eastAsia" w:ascii="宋体" w:hAnsi="宋体" w:eastAsia="宋体"/>
                <w:sz w:val="21"/>
                <w:szCs w:val="21"/>
                <w:lang w:eastAsia="zh-CN"/>
              </w:rPr>
              <w:t>执行率</w:t>
            </w:r>
            <w:r>
              <w:rPr>
                <w:rFonts w:ascii="宋体" w:hAnsi="宋体" w:eastAsia="宋体"/>
                <w:sz w:val="21"/>
                <w:szCs w:val="21"/>
                <w:lang w:eastAsia="zh-CN"/>
              </w:rPr>
              <w:t>100％，且未对项目开展造成不良影响，得分等于本指标权重分值到位率;执行率</w:t>
            </w:r>
            <w:r>
              <w:rPr>
                <w:rFonts w:hint="eastAsia" w:ascii="宋体" w:hAnsi="宋体" w:eastAsia="宋体"/>
                <w:sz w:val="21"/>
                <w:szCs w:val="21"/>
                <w:lang w:eastAsia="zh-CN"/>
              </w:rPr>
              <w:t>＜</w:t>
            </w:r>
            <w:r>
              <w:rPr>
                <w:rFonts w:ascii="宋体" w:hAnsi="宋体" w:eastAsia="宋体"/>
                <w:sz w:val="21"/>
                <w:szCs w:val="21"/>
                <w:lang w:eastAsia="zh-CN"/>
              </w:rPr>
              <w:t>100％，且对项目开展造成不良影响，除按照指标分值执行率计算外，还应酌情扣分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6</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宋体" w:hAnsi="宋体" w:eastAsia="宋体"/>
                <w:sz w:val="21"/>
                <w:szCs w:val="21"/>
                <w:lang w:eastAsia="zh-CN"/>
              </w:rPr>
            </w:pPr>
            <w:r>
              <w:rPr>
                <w:rFonts w:hint="eastAsia" w:ascii="宋体" w:hAnsi="宋体" w:eastAsia="宋体"/>
                <w:sz w:val="21"/>
                <w:szCs w:val="21"/>
                <w:lang w:eastAsia="zh-CN"/>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9"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4"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432"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资金使用合规性</w:t>
            </w:r>
          </w:p>
        </w:tc>
        <w:tc>
          <w:tcPr>
            <w:tcW w:w="2643"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宋体" w:hAnsi="宋体" w:eastAsia="宋体"/>
                <w:sz w:val="21"/>
                <w:szCs w:val="21"/>
                <w:lang w:eastAsia="zh-CN"/>
              </w:rPr>
            </w:pPr>
            <w:r>
              <w:rPr>
                <w:rFonts w:ascii="宋体" w:hAnsi="宋体" w:eastAsia="宋体"/>
                <w:sz w:val="21"/>
                <w:szCs w:val="21"/>
                <w:lang w:eastAsia="zh-CN"/>
              </w:rPr>
              <w:t>1、是否符合国家财经法规和财</w:t>
            </w:r>
            <w:r>
              <w:rPr>
                <w:rFonts w:hint="eastAsia" w:ascii="宋体" w:hAnsi="宋体" w:eastAsia="宋体"/>
                <w:sz w:val="21"/>
                <w:szCs w:val="21"/>
                <w:lang w:eastAsia="zh-CN"/>
              </w:rPr>
              <w:t>务管理制度以及有关专项资金管理办法的规定</w:t>
            </w:r>
            <w:r>
              <w:rPr>
                <w:rFonts w:ascii="宋体" w:hAnsi="宋体" w:eastAsia="宋体"/>
                <w:sz w:val="21"/>
                <w:szCs w:val="21"/>
                <w:lang w:eastAsia="zh-CN"/>
              </w:rPr>
              <w:t>(1分)</w:t>
            </w:r>
          </w:p>
          <w:p>
            <w:pPr>
              <w:pStyle w:val="21"/>
              <w:spacing w:before="101"/>
              <w:ind w:left="127" w:right="118"/>
              <w:jc w:val="both"/>
              <w:rPr>
                <w:rFonts w:ascii="宋体" w:hAnsi="宋体" w:eastAsia="宋体"/>
                <w:sz w:val="21"/>
                <w:szCs w:val="21"/>
                <w:lang w:eastAsia="zh-CN"/>
              </w:rPr>
            </w:pPr>
            <w:r>
              <w:rPr>
                <w:rFonts w:ascii="宋体" w:hAnsi="宋体" w:eastAsia="宋体"/>
                <w:sz w:val="21"/>
                <w:szCs w:val="21"/>
                <w:lang w:eastAsia="zh-CN"/>
              </w:rPr>
              <w:t>2、资金的拨付是否有完整的审批程序和手续(1分)</w:t>
            </w:r>
          </w:p>
          <w:p>
            <w:pPr>
              <w:pStyle w:val="21"/>
              <w:spacing w:before="101"/>
              <w:ind w:left="127" w:right="118"/>
              <w:jc w:val="both"/>
              <w:rPr>
                <w:rFonts w:ascii="宋体" w:hAnsi="宋体" w:eastAsia="宋体"/>
                <w:sz w:val="21"/>
                <w:szCs w:val="21"/>
                <w:lang w:eastAsia="zh-CN"/>
              </w:rPr>
            </w:pPr>
            <w:r>
              <w:rPr>
                <w:rFonts w:ascii="宋体" w:hAnsi="宋体" w:eastAsia="宋体"/>
                <w:sz w:val="21"/>
                <w:szCs w:val="21"/>
                <w:lang w:eastAsia="zh-CN"/>
              </w:rPr>
              <w:t>3、是否符合项目预算批复或合同规定的用途(2分)</w:t>
            </w:r>
          </w:p>
          <w:p>
            <w:pPr>
              <w:pStyle w:val="21"/>
              <w:spacing w:before="101"/>
              <w:ind w:left="127" w:right="118"/>
              <w:jc w:val="both"/>
              <w:rPr>
                <w:rFonts w:ascii="宋体" w:hAnsi="宋体" w:eastAsia="宋体"/>
                <w:sz w:val="21"/>
                <w:szCs w:val="21"/>
                <w:lang w:eastAsia="zh-CN"/>
              </w:rPr>
            </w:pPr>
            <w:r>
              <w:rPr>
                <w:rFonts w:ascii="宋体" w:hAnsi="宋体" w:eastAsia="宋体"/>
                <w:sz w:val="21"/>
                <w:szCs w:val="21"/>
                <w:lang w:eastAsia="zh-CN"/>
              </w:rPr>
              <w:t>4、是否存在截留、挤占、挪用、虚列支出等情况(2分)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6</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宋体" w:hAnsi="宋体" w:eastAsia="宋体"/>
                <w:sz w:val="21"/>
                <w:szCs w:val="21"/>
                <w:lang w:eastAsia="zh-CN"/>
              </w:rPr>
            </w:pPr>
            <w:r>
              <w:rPr>
                <w:rFonts w:hint="eastAsia" w:ascii="宋体" w:hAnsi="宋体" w:eastAsia="宋体"/>
                <w:sz w:val="21"/>
                <w:szCs w:val="21"/>
                <w:lang w:eastAsia="zh-CN"/>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1" w:hRule="atLeast"/>
        </w:trPr>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9" w:type="pct"/>
            <w:vMerge w:val="restart"/>
            <w:tcBorders>
              <w:top w:val="single" w:color="000000" w:sz="4" w:space="0"/>
              <w:left w:val="single" w:color="000000" w:sz="4" w:space="0"/>
              <w:bottom w:val="single" w:color="000000" w:sz="4" w:space="0"/>
              <w:right w:val="single" w:color="000000" w:sz="4" w:space="0"/>
            </w:tcBorders>
            <w:vAlign w:val="center"/>
          </w:tcPr>
          <w:p>
            <w:pPr>
              <w:pStyle w:val="21"/>
              <w:spacing w:before="1" w:line="242" w:lineRule="auto"/>
              <w:ind w:left="210" w:right="191"/>
              <w:jc w:val="center"/>
              <w:rPr>
                <w:rFonts w:ascii="宋体" w:hAnsi="宋体" w:eastAsia="宋体"/>
                <w:sz w:val="21"/>
                <w:szCs w:val="21"/>
                <w:lang w:eastAsia="en-US"/>
              </w:rPr>
            </w:pPr>
            <w:r>
              <w:rPr>
                <w:rFonts w:hint="eastAsia" w:ascii="宋体" w:hAnsi="宋体" w:eastAsia="宋体"/>
                <w:sz w:val="21"/>
                <w:szCs w:val="21"/>
                <w:lang w:eastAsia="en-US"/>
              </w:rPr>
              <w:t>组织实施</w:t>
            </w:r>
          </w:p>
        </w:tc>
        <w:tc>
          <w:tcPr>
            <w:tcW w:w="254" w:type="pct"/>
            <w:vMerge w:val="restart"/>
            <w:tcBorders>
              <w:top w:val="single" w:color="000000" w:sz="4" w:space="0"/>
              <w:left w:val="single" w:color="000000" w:sz="4" w:space="0"/>
              <w:bottom w:val="single" w:color="000000" w:sz="4" w:space="0"/>
              <w:right w:val="single" w:color="000000" w:sz="4" w:space="0"/>
            </w:tcBorders>
            <w:vAlign w:val="center"/>
          </w:tcPr>
          <w:p>
            <w:pPr>
              <w:pStyle w:val="21"/>
              <w:ind w:left="118"/>
              <w:jc w:val="center"/>
              <w:rPr>
                <w:rFonts w:ascii="宋体" w:hAnsi="宋体" w:eastAsia="宋体"/>
                <w:sz w:val="21"/>
                <w:szCs w:val="21"/>
                <w:lang w:eastAsia="en-US"/>
              </w:rPr>
            </w:pPr>
            <w:r>
              <w:rPr>
                <w:rFonts w:hint="eastAsia" w:ascii="宋体" w:hAnsi="宋体" w:eastAsia="宋体"/>
                <w:sz w:val="21"/>
                <w:szCs w:val="21"/>
                <w:lang w:eastAsia="en-US"/>
              </w:rPr>
              <w:t>10</w:t>
            </w:r>
          </w:p>
        </w:tc>
        <w:tc>
          <w:tcPr>
            <w:tcW w:w="432"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管理制度健全性</w:t>
            </w:r>
          </w:p>
        </w:tc>
        <w:tc>
          <w:tcPr>
            <w:tcW w:w="2643"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left="127" w:right="118"/>
              <w:jc w:val="both"/>
              <w:rPr>
                <w:rFonts w:ascii="宋体" w:hAnsi="宋体" w:eastAsia="宋体"/>
                <w:sz w:val="21"/>
                <w:szCs w:val="21"/>
                <w:lang w:eastAsia="zh-CN"/>
              </w:rPr>
            </w:pPr>
            <w:r>
              <w:rPr>
                <w:rFonts w:ascii="宋体" w:hAnsi="宋体" w:eastAsia="宋体"/>
                <w:sz w:val="21"/>
                <w:szCs w:val="21"/>
                <w:lang w:eastAsia="zh-CN"/>
              </w:rPr>
              <w:t>1、是否已制定或具有相应的财务和业务管理制度(2分)</w:t>
            </w:r>
          </w:p>
          <w:p>
            <w:pPr>
              <w:pStyle w:val="21"/>
              <w:spacing w:before="97" w:line="242" w:lineRule="auto"/>
              <w:ind w:left="127" w:right="118"/>
              <w:jc w:val="both"/>
              <w:rPr>
                <w:rFonts w:ascii="宋体" w:hAnsi="宋体" w:eastAsia="宋体"/>
                <w:sz w:val="21"/>
                <w:szCs w:val="21"/>
                <w:lang w:eastAsia="zh-CN"/>
              </w:rPr>
            </w:pPr>
            <w:r>
              <w:rPr>
                <w:rFonts w:ascii="宋体" w:hAnsi="宋体" w:eastAsia="宋体"/>
                <w:sz w:val="21"/>
                <w:szCs w:val="21"/>
                <w:lang w:eastAsia="zh-CN"/>
              </w:rPr>
              <w:t>2、财务和业务管理制度是否合法、合规、完整(3分)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left="127" w:right="118"/>
              <w:jc w:val="center"/>
              <w:rPr>
                <w:rFonts w:ascii="宋体" w:hAnsi="宋体" w:eastAsia="宋体"/>
                <w:sz w:val="21"/>
                <w:szCs w:val="21"/>
                <w:lang w:eastAsia="en-US"/>
              </w:rPr>
            </w:pPr>
            <w:r>
              <w:rPr>
                <w:rFonts w:hint="eastAsia" w:ascii="宋体" w:hAnsi="宋体" w:eastAsia="宋体"/>
                <w:sz w:val="21"/>
                <w:szCs w:val="21"/>
                <w:lang w:eastAsia="en-US"/>
              </w:rPr>
              <w:t>5</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left="127" w:right="118"/>
              <w:jc w:val="center"/>
              <w:rPr>
                <w:rFonts w:ascii="宋体" w:hAnsi="宋体" w:eastAsia="宋体"/>
                <w:sz w:val="21"/>
                <w:szCs w:val="21"/>
                <w:lang w:eastAsia="zh-CN"/>
              </w:rPr>
            </w:pPr>
            <w:r>
              <w:rPr>
                <w:rFonts w:hint="eastAsia" w:ascii="宋体" w:hAnsi="宋体" w:eastAsia="宋体"/>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9" w:hRule="atLeast"/>
        </w:trPr>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9"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4"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432"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制度执行有效性</w:t>
            </w:r>
          </w:p>
        </w:tc>
        <w:tc>
          <w:tcPr>
            <w:tcW w:w="2643"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宋体" w:hAnsi="宋体" w:eastAsia="宋体"/>
                <w:sz w:val="21"/>
                <w:szCs w:val="21"/>
                <w:lang w:eastAsia="zh-CN"/>
              </w:rPr>
            </w:pPr>
            <w:r>
              <w:rPr>
                <w:rFonts w:ascii="宋体" w:hAnsi="宋体" w:eastAsia="宋体"/>
                <w:sz w:val="21"/>
                <w:szCs w:val="21"/>
                <w:lang w:eastAsia="zh-CN"/>
              </w:rPr>
              <w:t>1、是否遵守相关法律法规和相关管理规定(1分)</w:t>
            </w:r>
          </w:p>
          <w:p>
            <w:pPr>
              <w:pStyle w:val="21"/>
              <w:spacing w:before="97" w:line="242" w:lineRule="auto"/>
              <w:ind w:left="127" w:right="118"/>
              <w:jc w:val="both"/>
              <w:rPr>
                <w:rFonts w:ascii="宋体" w:hAnsi="宋体" w:eastAsia="宋体"/>
                <w:sz w:val="21"/>
                <w:szCs w:val="21"/>
                <w:lang w:eastAsia="zh-CN"/>
              </w:rPr>
            </w:pPr>
            <w:r>
              <w:rPr>
                <w:rFonts w:ascii="宋体" w:hAnsi="宋体" w:eastAsia="宋体"/>
                <w:sz w:val="21"/>
                <w:szCs w:val="21"/>
                <w:lang w:eastAsia="zh-CN"/>
              </w:rPr>
              <w:t>2、项目调整及支出调整手续是否完备(2分)</w:t>
            </w:r>
          </w:p>
          <w:p>
            <w:pPr>
              <w:pStyle w:val="21"/>
              <w:spacing w:before="101"/>
              <w:ind w:left="127" w:right="118"/>
              <w:jc w:val="both"/>
              <w:rPr>
                <w:rFonts w:ascii="宋体" w:hAnsi="宋体" w:eastAsia="宋体"/>
                <w:sz w:val="21"/>
                <w:szCs w:val="21"/>
                <w:lang w:eastAsia="zh-CN"/>
              </w:rPr>
            </w:pPr>
            <w:r>
              <w:rPr>
                <w:rFonts w:ascii="宋体" w:hAnsi="宋体" w:eastAsia="宋体"/>
                <w:sz w:val="21"/>
                <w:szCs w:val="21"/>
                <w:lang w:eastAsia="zh-CN"/>
              </w:rPr>
              <w:t>3、项目合同书、检查记录等资料</w:t>
            </w:r>
            <w:r>
              <w:rPr>
                <w:rFonts w:hint="eastAsia" w:ascii="宋体" w:hAnsi="宋体" w:eastAsia="宋体"/>
                <w:sz w:val="21"/>
                <w:szCs w:val="21"/>
                <w:lang w:eastAsia="zh-CN"/>
              </w:rPr>
              <w:t>是否齐全并及时归档（2分）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5</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宋体" w:hAnsi="宋体" w:eastAsia="宋体"/>
                <w:sz w:val="21"/>
                <w:szCs w:val="21"/>
                <w:lang w:eastAsia="zh-CN"/>
              </w:rPr>
            </w:pPr>
            <w:r>
              <w:rPr>
                <w:rFonts w:hint="eastAsia" w:ascii="宋体" w:hAnsi="宋体" w:eastAsia="宋体"/>
                <w:sz w:val="21"/>
                <w:szCs w:val="21"/>
                <w:lang w:eastAsia="zh-CN"/>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4180" w:type="pct"/>
            <w:gridSpan w:val="6"/>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合   计</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25</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宋体" w:hAnsi="宋体" w:eastAsia="宋体"/>
                <w:sz w:val="21"/>
                <w:szCs w:val="21"/>
                <w:lang w:eastAsia="zh-CN"/>
              </w:rPr>
            </w:pPr>
            <w:r>
              <w:rPr>
                <w:rFonts w:hint="eastAsia" w:ascii="宋体" w:hAnsi="宋体" w:eastAsia="宋体"/>
                <w:sz w:val="21"/>
                <w:szCs w:val="21"/>
                <w:lang w:eastAsia="zh-CN"/>
              </w:rPr>
              <w:t>15.2</w:t>
            </w:r>
          </w:p>
        </w:tc>
      </w:tr>
    </w:tbl>
    <w:p>
      <w:pPr>
        <w:spacing w:before="156" w:beforeLines="50" w:after="156" w:afterLines="50" w:line="360" w:lineRule="auto"/>
        <w:ind w:left="105" w:leftChars="50" w:right="105" w:rightChars="50" w:firstLine="600" w:firstLineChars="200"/>
        <w:rPr>
          <w:sz w:val="30"/>
          <w:szCs w:val="30"/>
        </w:rPr>
      </w:pPr>
      <w:r>
        <w:rPr>
          <w:rFonts w:hint="eastAsia"/>
          <w:sz w:val="30"/>
          <w:szCs w:val="30"/>
        </w:rPr>
        <w:t>过程指标部分</w:t>
      </w:r>
      <w:r>
        <w:rPr>
          <w:rFonts w:hint="eastAsia"/>
          <w:b/>
          <w:sz w:val="30"/>
          <w:szCs w:val="30"/>
        </w:rPr>
        <w:t>主要得分点</w:t>
      </w:r>
      <w:r>
        <w:rPr>
          <w:rFonts w:hint="eastAsia"/>
          <w:sz w:val="30"/>
          <w:szCs w:val="30"/>
        </w:rPr>
        <w:t>：项目单位具备完善的财务管理和资金制度，并严格按照制度管理和使用资金。</w:t>
      </w:r>
    </w:p>
    <w:p>
      <w:pPr>
        <w:spacing w:before="156" w:beforeLines="50" w:after="156" w:afterLines="50" w:line="360" w:lineRule="auto"/>
        <w:ind w:left="105" w:leftChars="50" w:right="105" w:rightChars="50" w:firstLine="600" w:firstLineChars="200"/>
        <w:rPr>
          <w:sz w:val="30"/>
          <w:szCs w:val="30"/>
        </w:rPr>
      </w:pPr>
      <w:r>
        <w:rPr>
          <w:rFonts w:hint="eastAsia"/>
          <w:sz w:val="30"/>
          <w:szCs w:val="30"/>
        </w:rPr>
        <w:t>过程指标部分</w:t>
      </w:r>
      <w:r>
        <w:rPr>
          <w:rFonts w:hint="eastAsia"/>
          <w:b/>
          <w:sz w:val="30"/>
          <w:szCs w:val="30"/>
        </w:rPr>
        <w:t>主要扣分点</w:t>
      </w:r>
      <w:r>
        <w:rPr>
          <w:rFonts w:hint="eastAsia"/>
          <w:sz w:val="30"/>
          <w:szCs w:val="30"/>
        </w:rPr>
        <w:t>：根据资金使用及拨付情况，项目预算申报金额为1412.5万元，其中包括中央奖补资金800万，其他资金612.5万元，2021年度申请中央奖补资金268万元，执行资金268万元，预算资金到位率33.5%，根据评价组收回的数据资料，中央奖补资金800万，主要用于黄河流域张茅乡苏村、贯沟村历史遗留废弃矿山治理、黄河流域西李村乡青石岭历史遗留废弃矿山治理两个标段（第一、三标段）的实施，剩余两个标段（第二、四标段）的实施资金来源为出售废弃矿石收入，该部分资金不具备支付凭证以及合同协议等相关资料，绩效评价专家组对于该部分资金到位情况及执行情况无法给予准确的判断，整体而言，资金到位率及资金执行率较低。</w:t>
      </w:r>
    </w:p>
    <w:p>
      <w:pPr>
        <w:pStyle w:val="3"/>
        <w:rPr>
          <w:rFonts w:asciiTheme="minorEastAsia" w:hAnsiTheme="minorEastAsia"/>
          <w:sz w:val="30"/>
          <w:szCs w:val="30"/>
        </w:rPr>
      </w:pPr>
      <w:bookmarkStart w:id="15" w:name="_Toc93918209"/>
      <w:r>
        <w:rPr>
          <w:rFonts w:hint="eastAsia"/>
          <w:sz w:val="30"/>
          <w:szCs w:val="30"/>
        </w:rPr>
        <w:t>（三）</w:t>
      </w:r>
      <w:r>
        <w:rPr>
          <w:rFonts w:hint="eastAsia" w:asciiTheme="minorEastAsia" w:hAnsiTheme="minorEastAsia"/>
          <w:sz w:val="30"/>
          <w:szCs w:val="30"/>
        </w:rPr>
        <w:t>项目产出情况</w:t>
      </w:r>
      <w:bookmarkEnd w:id="15"/>
    </w:p>
    <w:p>
      <w:pPr>
        <w:spacing w:before="156" w:beforeLines="50" w:after="156" w:afterLines="50" w:line="360" w:lineRule="auto"/>
        <w:ind w:left="105" w:leftChars="50" w:right="105" w:rightChars="50" w:firstLine="600" w:firstLineChars="200"/>
        <w:rPr>
          <w:sz w:val="30"/>
          <w:szCs w:val="30"/>
        </w:rPr>
      </w:pPr>
      <w:r>
        <w:rPr>
          <w:rFonts w:hint="eastAsia"/>
          <w:sz w:val="30"/>
          <w:szCs w:val="30"/>
        </w:rPr>
        <w:t>本项目产出下设“产出数量”、“产出质量”、“产出时效”、“产出成本”四个二级指标，权重35分，综合得分31分。单项得分率为88.57%。各项三级指标得分情况见下表：</w:t>
      </w:r>
    </w:p>
    <w:p>
      <w:pPr>
        <w:spacing w:before="156" w:beforeLines="50" w:after="156" w:afterLines="50" w:line="360" w:lineRule="auto"/>
        <w:ind w:left="105" w:leftChars="50" w:right="105" w:rightChars="50" w:firstLine="600" w:firstLineChars="200"/>
        <w:jc w:val="center"/>
        <w:rPr>
          <w:sz w:val="30"/>
          <w:szCs w:val="30"/>
        </w:rPr>
      </w:pPr>
      <w:r>
        <w:rPr>
          <w:rFonts w:hint="eastAsia"/>
          <w:sz w:val="30"/>
          <w:szCs w:val="30"/>
        </w:rPr>
        <w:t>表5  黄河流域历史遗留废弃矿山治理项目</w:t>
      </w:r>
    </w:p>
    <w:p>
      <w:pPr>
        <w:spacing w:before="156" w:beforeLines="50" w:after="156" w:afterLines="50" w:line="360" w:lineRule="auto"/>
        <w:ind w:left="105" w:leftChars="50" w:right="105" w:rightChars="50" w:firstLine="600" w:firstLineChars="200"/>
        <w:jc w:val="center"/>
        <w:rPr>
          <w:sz w:val="30"/>
          <w:szCs w:val="30"/>
        </w:rPr>
      </w:pPr>
      <w:r>
        <w:rPr>
          <w:rFonts w:hint="eastAsia"/>
          <w:sz w:val="30"/>
          <w:szCs w:val="30"/>
        </w:rPr>
        <w:t>绩效评价产出指标得分表</w:t>
      </w:r>
    </w:p>
    <w:tbl>
      <w:tblPr>
        <w:tblStyle w:val="2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5"/>
        <w:gridCol w:w="567"/>
        <w:gridCol w:w="567"/>
        <w:gridCol w:w="565"/>
        <w:gridCol w:w="1133"/>
        <w:gridCol w:w="3543"/>
        <w:gridCol w:w="569"/>
        <w:gridCol w:w="7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346" w:type="pct"/>
            <w:tcBorders>
              <w:top w:val="single" w:color="000000" w:sz="4" w:space="0"/>
              <w:left w:val="single" w:color="000000" w:sz="4" w:space="0"/>
              <w:bottom w:val="single" w:color="000000" w:sz="4" w:space="0"/>
              <w:right w:val="single" w:color="000000" w:sz="4" w:space="0"/>
            </w:tcBorders>
            <w:vAlign w:val="center"/>
          </w:tcPr>
          <w:p>
            <w:pPr>
              <w:pStyle w:val="21"/>
              <w:ind w:left="121" w:right="11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一级指标</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24" w:right="10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分值</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205" w:right="195"/>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二级指标</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18" w:right="113"/>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分值</w:t>
            </w:r>
          </w:p>
        </w:tc>
        <w:tc>
          <w:tcPr>
            <w:tcW w:w="681" w:type="pct"/>
            <w:tcBorders>
              <w:top w:val="single" w:color="000000" w:sz="4" w:space="0"/>
              <w:left w:val="single" w:color="000000" w:sz="4" w:space="0"/>
              <w:bottom w:val="single" w:color="000000" w:sz="4" w:space="0"/>
              <w:right w:val="single" w:color="000000" w:sz="4" w:space="0"/>
            </w:tcBorders>
            <w:vAlign w:val="center"/>
          </w:tcPr>
          <w:p>
            <w:pPr>
              <w:pStyle w:val="21"/>
              <w:ind w:left="121" w:right="11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三级指标</w:t>
            </w:r>
          </w:p>
        </w:tc>
        <w:tc>
          <w:tcPr>
            <w:tcW w:w="2130" w:type="pct"/>
            <w:tcBorders>
              <w:top w:val="single" w:color="000000" w:sz="4" w:space="0"/>
              <w:left w:val="single" w:color="000000" w:sz="4" w:space="0"/>
              <w:bottom w:val="single" w:color="000000" w:sz="4" w:space="0"/>
              <w:right w:val="single" w:color="000000" w:sz="4" w:space="0"/>
            </w:tcBorders>
            <w:vAlign w:val="center"/>
          </w:tcPr>
          <w:p>
            <w:pPr>
              <w:pStyle w:val="21"/>
              <w:ind w:left="121" w:right="118"/>
              <w:jc w:val="center"/>
              <w:rPr>
                <w:rFonts w:asciiTheme="minorEastAsia" w:hAnsiTheme="minorEastAsia" w:eastAsiaTheme="minorEastAsia"/>
                <w:sz w:val="18"/>
                <w:lang w:eastAsia="en-US"/>
              </w:rPr>
            </w:pPr>
            <w:r>
              <w:rPr>
                <w:rFonts w:hint="eastAsia" w:asciiTheme="minorEastAsia" w:hAnsiTheme="minorEastAsia" w:eastAsiaTheme="minorEastAsia"/>
                <w:b/>
                <w:sz w:val="21"/>
                <w:lang w:eastAsia="en-US"/>
              </w:rPr>
              <w:t>评价标准</w:t>
            </w:r>
          </w:p>
        </w:tc>
        <w:tc>
          <w:tcPr>
            <w:tcW w:w="342" w:type="pct"/>
            <w:tcBorders>
              <w:top w:val="single" w:color="000000" w:sz="4" w:space="0"/>
              <w:left w:val="single" w:color="000000" w:sz="4" w:space="0"/>
              <w:bottom w:val="single" w:color="000000" w:sz="4" w:space="0"/>
              <w:right w:val="single" w:color="000000" w:sz="4" w:space="0"/>
            </w:tcBorders>
            <w:vAlign w:val="center"/>
          </w:tcPr>
          <w:p>
            <w:pPr>
              <w:pStyle w:val="21"/>
              <w:ind w:left="121" w:right="11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zh-CN"/>
              </w:rPr>
              <w:t>分值</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ind w:left="121" w:right="118"/>
              <w:jc w:val="center"/>
              <w:rPr>
                <w:rFonts w:asciiTheme="minorEastAsia" w:hAnsiTheme="minorEastAsia" w:eastAsiaTheme="minorEastAsia"/>
                <w:b/>
                <w:sz w:val="21"/>
                <w:lang w:eastAsia="zh-CN"/>
              </w:rPr>
            </w:pPr>
            <w:r>
              <w:rPr>
                <w:rFonts w:hint="eastAsia" w:asciiTheme="minorEastAsia" w:hAnsiTheme="minorEastAsia" w:eastAsiaTheme="minorEastAsia"/>
                <w:b/>
                <w:sz w:val="21"/>
                <w:lang w:eastAsia="zh-CN"/>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4" w:hRule="atLeast"/>
        </w:trPr>
        <w:tc>
          <w:tcPr>
            <w:tcW w:w="346" w:type="pct"/>
            <w:vMerge w:val="restart"/>
            <w:tcBorders>
              <w:top w:val="single" w:color="000000" w:sz="4" w:space="0"/>
              <w:left w:val="single" w:color="000000" w:sz="4" w:space="0"/>
              <w:right w:val="single" w:color="000000" w:sz="4" w:space="0"/>
            </w:tcBorders>
            <w:vAlign w:val="center"/>
          </w:tcPr>
          <w:p>
            <w:pPr>
              <w:pStyle w:val="21"/>
              <w:ind w:left="13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产出</w:t>
            </w:r>
          </w:p>
        </w:tc>
        <w:tc>
          <w:tcPr>
            <w:tcW w:w="341" w:type="pct"/>
            <w:vMerge w:val="restart"/>
            <w:tcBorders>
              <w:top w:val="single" w:color="000000" w:sz="4" w:space="0"/>
              <w:left w:val="single" w:color="000000" w:sz="4" w:space="0"/>
              <w:right w:val="single" w:color="000000" w:sz="4" w:space="0"/>
            </w:tcBorders>
            <w:vAlign w:val="center"/>
          </w:tcPr>
          <w:p>
            <w:pPr>
              <w:pStyle w:val="21"/>
              <w:ind w:left="124"/>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35</w:t>
            </w:r>
          </w:p>
        </w:tc>
        <w:tc>
          <w:tcPr>
            <w:tcW w:w="341" w:type="pct"/>
            <w:vMerge w:val="restart"/>
            <w:tcBorders>
              <w:top w:val="single" w:color="000000" w:sz="4" w:space="0"/>
              <w:left w:val="single" w:color="000000" w:sz="4" w:space="0"/>
              <w:right w:val="single" w:color="000000" w:sz="4" w:space="0"/>
            </w:tcBorders>
            <w:vAlign w:val="center"/>
          </w:tcPr>
          <w:p>
            <w:pPr>
              <w:pStyle w:val="21"/>
              <w:spacing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产出数量</w:t>
            </w:r>
          </w:p>
        </w:tc>
        <w:tc>
          <w:tcPr>
            <w:tcW w:w="340" w:type="pct"/>
            <w:vMerge w:val="restart"/>
            <w:tcBorders>
              <w:top w:val="single" w:color="000000" w:sz="4" w:space="0"/>
              <w:left w:val="single" w:color="000000" w:sz="4" w:space="0"/>
              <w:right w:val="single" w:color="000000" w:sz="4" w:space="0"/>
            </w:tcBorders>
            <w:vAlign w:val="center"/>
          </w:tcPr>
          <w:p>
            <w:pPr>
              <w:pStyle w:val="21"/>
              <w:ind w:left="3"/>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8</w:t>
            </w:r>
          </w:p>
        </w:tc>
        <w:tc>
          <w:tcPr>
            <w:tcW w:w="681"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zh-CN"/>
              </w:rPr>
              <w:t>修复废弃矿山数量</w:t>
            </w:r>
          </w:p>
        </w:tc>
        <w:tc>
          <w:tcPr>
            <w:tcW w:w="213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项目计划实施共涉及8个矿区，达到该数量本项得满分，未达到酌情减分</w:t>
            </w:r>
          </w:p>
        </w:tc>
        <w:tc>
          <w:tcPr>
            <w:tcW w:w="342"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681"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en-US"/>
              </w:rPr>
            </w:pPr>
            <w:r>
              <w:rPr>
                <w:rFonts w:hint="eastAsia" w:asciiTheme="minorEastAsia" w:hAnsiTheme="minorEastAsia" w:eastAsiaTheme="minorEastAsia"/>
                <w:sz w:val="21"/>
                <w:lang w:eastAsia="zh-CN"/>
              </w:rPr>
              <w:t>修复废弃矿山面积</w:t>
            </w:r>
          </w:p>
        </w:tc>
        <w:tc>
          <w:tcPr>
            <w:tcW w:w="213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项目涉及矿山修复面积159.17公顷，达到该目标本项得满分，未达到酌情减分</w:t>
            </w:r>
          </w:p>
        </w:tc>
        <w:tc>
          <w:tcPr>
            <w:tcW w:w="342"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1" w:type="pct"/>
            <w:vMerge w:val="restart"/>
            <w:tcBorders>
              <w:top w:val="single" w:color="000000" w:sz="4" w:space="0"/>
              <w:left w:val="single" w:color="000000" w:sz="4" w:space="0"/>
              <w:right w:val="single" w:color="000000" w:sz="4" w:space="0"/>
            </w:tcBorders>
            <w:vAlign w:val="center"/>
          </w:tcPr>
          <w:p>
            <w:pPr>
              <w:pStyle w:val="21"/>
              <w:spacing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产出质量</w:t>
            </w:r>
          </w:p>
        </w:tc>
        <w:tc>
          <w:tcPr>
            <w:tcW w:w="340" w:type="pct"/>
            <w:vMerge w:val="restart"/>
            <w:tcBorders>
              <w:top w:val="single" w:color="000000" w:sz="4" w:space="0"/>
              <w:left w:val="single" w:color="000000" w:sz="4" w:space="0"/>
              <w:right w:val="single" w:color="000000" w:sz="4" w:space="0"/>
            </w:tcBorders>
            <w:vAlign w:val="center"/>
          </w:tcPr>
          <w:p>
            <w:pPr>
              <w:pStyle w:val="21"/>
              <w:ind w:lef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en-US"/>
              </w:rPr>
              <w:t>1</w:t>
            </w:r>
            <w:r>
              <w:rPr>
                <w:rFonts w:hint="eastAsia" w:asciiTheme="minorEastAsia" w:hAnsiTheme="minorEastAsia" w:eastAsiaTheme="minorEastAsia"/>
                <w:sz w:val="21"/>
                <w:lang w:eastAsia="zh-CN"/>
              </w:rPr>
              <w:t>9</w:t>
            </w:r>
          </w:p>
        </w:tc>
        <w:tc>
          <w:tcPr>
            <w:tcW w:w="681"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right="148" w:firstLine="105" w:firstLineChars="50"/>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zh-CN"/>
              </w:rPr>
              <w:t>验收合格率</w:t>
            </w:r>
          </w:p>
        </w:tc>
        <w:tc>
          <w:tcPr>
            <w:tcW w:w="213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val="en-US" w:eastAsia="zh-CN"/>
              </w:rPr>
            </w:pPr>
            <w:r>
              <w:rPr>
                <w:rFonts w:hint="eastAsia" w:asciiTheme="minorEastAsia" w:hAnsiTheme="minorEastAsia" w:eastAsiaTheme="minorEastAsia"/>
                <w:sz w:val="21"/>
                <w:lang w:eastAsia="zh-CN"/>
              </w:rPr>
              <w:t>项目竣工验收合格率达到</w:t>
            </w:r>
            <w:r>
              <w:rPr>
                <w:rFonts w:hint="eastAsia" w:asciiTheme="minorEastAsia" w:hAnsiTheme="minorEastAsia" w:eastAsiaTheme="minorEastAsia"/>
                <w:sz w:val="21"/>
                <w:lang w:val="en-US" w:eastAsia="zh-CN"/>
              </w:rPr>
              <w:t>95%，本项得满分，未达到本项不得分</w:t>
            </w:r>
          </w:p>
        </w:tc>
        <w:tc>
          <w:tcPr>
            <w:tcW w:w="342"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681"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right="148" w:firstLine="105" w:firstLineChars="50"/>
              <w:jc w:val="center"/>
              <w:rPr>
                <w:rFonts w:asciiTheme="minorEastAsia" w:hAnsiTheme="minorEastAsia" w:eastAsiaTheme="minorEastAsia"/>
                <w:sz w:val="21"/>
                <w:lang w:eastAsia="zh-CN"/>
              </w:rPr>
            </w:pPr>
            <w:r>
              <w:rPr>
                <w:rFonts w:asciiTheme="minorEastAsia" w:hAnsiTheme="minorEastAsia" w:eastAsiaTheme="minorEastAsia"/>
                <w:sz w:val="21"/>
                <w:lang w:eastAsia="zh-CN"/>
              </w:rPr>
              <w:t>地质环境稳定程度</w:t>
            </w:r>
          </w:p>
        </w:tc>
        <w:tc>
          <w:tcPr>
            <w:tcW w:w="213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val="en-US" w:eastAsia="zh-CN"/>
              </w:rPr>
            </w:pPr>
            <w:r>
              <w:rPr>
                <w:rFonts w:asciiTheme="minorEastAsia" w:hAnsiTheme="minorEastAsia" w:eastAsiaTheme="minorEastAsia"/>
                <w:sz w:val="21"/>
                <w:lang w:eastAsia="zh-CN"/>
              </w:rPr>
              <w:t>修复后的地质环境稳定程度</w:t>
            </w:r>
            <w:r>
              <w:rPr>
                <w:rFonts w:hint="eastAsia" w:asciiTheme="minorEastAsia" w:hAnsiTheme="minorEastAsia" w:eastAsiaTheme="minorEastAsia"/>
                <w:sz w:val="21"/>
                <w:lang w:eastAsia="zh-CN"/>
              </w:rPr>
              <w:t>明显改善该项得满分，反之该项不得分</w:t>
            </w:r>
          </w:p>
        </w:tc>
        <w:tc>
          <w:tcPr>
            <w:tcW w:w="342"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6</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681"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right="148" w:firstLine="105" w:firstLineChars="50"/>
              <w:jc w:val="center"/>
              <w:rPr>
                <w:rFonts w:asciiTheme="minorEastAsia" w:hAnsiTheme="minorEastAsia" w:eastAsiaTheme="minorEastAsia"/>
                <w:sz w:val="21"/>
                <w:lang w:eastAsia="en-US"/>
              </w:rPr>
            </w:pPr>
            <w:r>
              <w:rPr>
                <w:rFonts w:asciiTheme="minorEastAsia" w:hAnsiTheme="minorEastAsia" w:eastAsiaTheme="minorEastAsia"/>
                <w:sz w:val="21"/>
                <w:lang w:eastAsia="zh-CN"/>
              </w:rPr>
              <w:t>与周边生态状况的和谐度</w:t>
            </w:r>
          </w:p>
        </w:tc>
        <w:tc>
          <w:tcPr>
            <w:tcW w:w="213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asciiTheme="minorEastAsia" w:hAnsiTheme="minorEastAsia" w:eastAsiaTheme="minorEastAsia"/>
                <w:sz w:val="21"/>
                <w:lang w:eastAsia="zh-CN"/>
              </w:rPr>
              <w:t>修复后与周边生态状况的和谐度</w:t>
            </w:r>
            <w:r>
              <w:rPr>
                <w:rFonts w:hint="eastAsia" w:asciiTheme="minorEastAsia" w:hAnsiTheme="minorEastAsia" w:eastAsiaTheme="minorEastAsia"/>
                <w:sz w:val="21"/>
                <w:lang w:eastAsia="zh-CN"/>
              </w:rPr>
              <w:t>明显提升该项得满分，房子该项不得分</w:t>
            </w:r>
          </w:p>
        </w:tc>
        <w:tc>
          <w:tcPr>
            <w:tcW w:w="342"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6</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4"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681"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right="148" w:firstLine="105" w:firstLineChars="50"/>
              <w:jc w:val="center"/>
              <w:rPr>
                <w:rFonts w:asciiTheme="minorEastAsia" w:hAnsiTheme="minorEastAsia" w:eastAsiaTheme="minorEastAsia"/>
                <w:sz w:val="21"/>
                <w:lang w:eastAsia="en-US"/>
              </w:rPr>
            </w:pPr>
            <w:r>
              <w:rPr>
                <w:rFonts w:asciiTheme="minorEastAsia" w:hAnsiTheme="minorEastAsia" w:eastAsiaTheme="minorEastAsia"/>
                <w:sz w:val="21"/>
                <w:lang w:eastAsia="zh-CN"/>
              </w:rPr>
              <w:t>土地利用与国土空间规划的符合度</w:t>
            </w:r>
          </w:p>
        </w:tc>
        <w:tc>
          <w:tcPr>
            <w:tcW w:w="213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asciiTheme="minorEastAsia" w:hAnsiTheme="minorEastAsia" w:eastAsiaTheme="minorEastAsia"/>
                <w:sz w:val="21"/>
                <w:lang w:eastAsia="zh-CN"/>
              </w:rPr>
              <w:t>修复后土地利用与国土空间规划的符合度</w:t>
            </w:r>
            <w:r>
              <w:rPr>
                <w:rFonts w:hint="eastAsia" w:asciiTheme="minorEastAsia" w:hAnsiTheme="minorEastAsia" w:eastAsiaTheme="minorEastAsia"/>
                <w:sz w:val="21"/>
                <w:lang w:eastAsia="zh-CN"/>
              </w:rPr>
              <w:t>该项得满分，反之该项不得分</w:t>
            </w:r>
          </w:p>
        </w:tc>
        <w:tc>
          <w:tcPr>
            <w:tcW w:w="342"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1" w:type="pct"/>
            <w:vMerge w:val="restart"/>
            <w:tcBorders>
              <w:top w:val="single" w:color="000000" w:sz="4" w:space="0"/>
              <w:left w:val="single" w:color="000000" w:sz="4" w:space="0"/>
              <w:right w:val="single" w:color="000000" w:sz="4" w:space="0"/>
            </w:tcBorders>
            <w:vAlign w:val="center"/>
          </w:tcPr>
          <w:p>
            <w:pPr>
              <w:pStyle w:val="21"/>
              <w:spacing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产出时效</w:t>
            </w:r>
          </w:p>
        </w:tc>
        <w:tc>
          <w:tcPr>
            <w:tcW w:w="340" w:type="pct"/>
            <w:vMerge w:val="restart"/>
            <w:tcBorders>
              <w:top w:val="single" w:color="000000" w:sz="4" w:space="0"/>
              <w:left w:val="single" w:color="000000" w:sz="4" w:space="0"/>
              <w:right w:val="single" w:color="000000" w:sz="4" w:space="0"/>
            </w:tcBorders>
            <w:vAlign w:val="center"/>
          </w:tcPr>
          <w:p>
            <w:pPr>
              <w:pStyle w:val="21"/>
              <w:spacing w:before="1"/>
              <w:ind w:left="3"/>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6</w:t>
            </w:r>
          </w:p>
        </w:tc>
        <w:tc>
          <w:tcPr>
            <w:tcW w:w="681" w:type="pct"/>
            <w:tcBorders>
              <w:top w:val="single" w:color="000000" w:sz="4" w:space="0"/>
              <w:left w:val="single" w:color="000000" w:sz="4" w:space="0"/>
              <w:bottom w:val="single" w:color="000000" w:sz="4" w:space="0"/>
              <w:right w:val="single" w:color="000000" w:sz="4" w:space="0"/>
            </w:tcBorders>
            <w:vAlign w:val="center"/>
          </w:tcPr>
          <w:p>
            <w:pPr>
              <w:pStyle w:val="21"/>
              <w:spacing w:before="102"/>
              <w:ind w:left="152" w:right="148"/>
              <w:jc w:val="center"/>
              <w:rPr>
                <w:rFonts w:asciiTheme="minorEastAsia" w:hAnsiTheme="minorEastAsia" w:eastAsiaTheme="minorEastAsia"/>
                <w:sz w:val="21"/>
                <w:lang w:eastAsia="en-US"/>
              </w:rPr>
            </w:pPr>
            <w:r>
              <w:rPr>
                <w:rFonts w:asciiTheme="minorEastAsia" w:hAnsiTheme="minorEastAsia" w:eastAsiaTheme="minorEastAsia"/>
                <w:sz w:val="21"/>
                <w:lang w:eastAsia="zh-CN"/>
              </w:rPr>
              <w:t>编制勘查设计</w:t>
            </w:r>
            <w:r>
              <w:rPr>
                <w:rFonts w:hint="eastAsia" w:asciiTheme="minorEastAsia" w:hAnsiTheme="minorEastAsia" w:eastAsiaTheme="minorEastAsia"/>
                <w:sz w:val="21"/>
                <w:lang w:eastAsia="zh-CN"/>
              </w:rPr>
              <w:t>及时性</w:t>
            </w:r>
          </w:p>
        </w:tc>
        <w:tc>
          <w:tcPr>
            <w:tcW w:w="213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按计划时间</w:t>
            </w:r>
            <w:r>
              <w:rPr>
                <w:rFonts w:asciiTheme="minorEastAsia" w:hAnsiTheme="minorEastAsia" w:eastAsiaTheme="minorEastAsia"/>
                <w:sz w:val="21"/>
                <w:lang w:eastAsia="zh-CN"/>
              </w:rPr>
              <w:t>编制勘查设计</w:t>
            </w:r>
            <w:r>
              <w:rPr>
                <w:rFonts w:hint="eastAsia" w:asciiTheme="minorEastAsia" w:hAnsiTheme="minorEastAsia" w:eastAsiaTheme="minorEastAsia"/>
                <w:sz w:val="21"/>
                <w:lang w:eastAsia="zh-CN"/>
              </w:rPr>
              <w:t>该项得满分，延期一个月扣一分</w:t>
            </w:r>
          </w:p>
        </w:tc>
        <w:tc>
          <w:tcPr>
            <w:tcW w:w="342"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681"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right="148" w:firstLine="105" w:firstLineChars="50"/>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zh-CN"/>
              </w:rPr>
              <w:t>按时开工率</w:t>
            </w:r>
          </w:p>
        </w:tc>
        <w:tc>
          <w:tcPr>
            <w:tcW w:w="213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按合同约定时间开工该项得满分，延期一个月扣一分</w:t>
            </w:r>
          </w:p>
        </w:tc>
        <w:tc>
          <w:tcPr>
            <w:tcW w:w="342"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681"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right="148" w:firstLine="105" w:firstLineChars="50"/>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zh-CN"/>
              </w:rPr>
              <w:t>及时完工率</w:t>
            </w:r>
          </w:p>
        </w:tc>
        <w:tc>
          <w:tcPr>
            <w:tcW w:w="213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按合同约定时间完工该项得满分，延期一个月扣一分</w:t>
            </w:r>
          </w:p>
        </w:tc>
        <w:tc>
          <w:tcPr>
            <w:tcW w:w="342"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1" w:type="pct"/>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产出成本</w:t>
            </w:r>
          </w:p>
        </w:tc>
        <w:tc>
          <w:tcPr>
            <w:tcW w:w="340" w:type="pct"/>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681" w:type="pct"/>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right="148" w:firstLine="105" w:firstLineChars="50"/>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成本控制</w:t>
            </w:r>
          </w:p>
        </w:tc>
        <w:tc>
          <w:tcPr>
            <w:tcW w:w="213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项目建设成本≤申报数据该项得满分，反之该项不得分</w:t>
            </w:r>
          </w:p>
        </w:tc>
        <w:tc>
          <w:tcPr>
            <w:tcW w:w="342"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4179" w:type="pct"/>
            <w:gridSpan w:val="6"/>
            <w:tcBorders>
              <w:left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合   计</w:t>
            </w:r>
          </w:p>
        </w:tc>
        <w:tc>
          <w:tcPr>
            <w:tcW w:w="342"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35</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31</w:t>
            </w:r>
          </w:p>
        </w:tc>
      </w:tr>
    </w:tbl>
    <w:p>
      <w:pPr>
        <w:spacing w:before="156" w:beforeLines="50" w:after="156" w:afterLines="50" w:line="360" w:lineRule="auto"/>
        <w:ind w:left="105" w:leftChars="50" w:right="105" w:rightChars="50" w:firstLine="600" w:firstLineChars="200"/>
        <w:jc w:val="center"/>
        <w:rPr>
          <w:sz w:val="30"/>
          <w:szCs w:val="30"/>
        </w:rPr>
      </w:pPr>
    </w:p>
    <w:p>
      <w:pPr>
        <w:spacing w:before="156" w:beforeLines="50" w:after="156" w:afterLines="50" w:line="360" w:lineRule="auto"/>
        <w:ind w:left="105" w:leftChars="50" w:right="105" w:rightChars="50" w:firstLine="600" w:firstLineChars="200"/>
        <w:rPr>
          <w:sz w:val="30"/>
          <w:szCs w:val="30"/>
        </w:rPr>
      </w:pPr>
      <w:r>
        <w:rPr>
          <w:rFonts w:hint="eastAsia"/>
          <w:sz w:val="30"/>
          <w:szCs w:val="30"/>
        </w:rPr>
        <w:t>产出指标部分</w:t>
      </w:r>
      <w:r>
        <w:rPr>
          <w:rFonts w:hint="eastAsia"/>
          <w:b/>
          <w:sz w:val="30"/>
          <w:szCs w:val="30"/>
        </w:rPr>
        <w:t>主要得分点</w:t>
      </w:r>
      <w:r>
        <w:rPr>
          <w:rFonts w:hint="eastAsia"/>
          <w:sz w:val="30"/>
          <w:szCs w:val="30"/>
        </w:rPr>
        <w:t>：</w:t>
      </w:r>
      <w:r>
        <w:rPr>
          <w:sz w:val="30"/>
          <w:szCs w:val="30"/>
        </w:rPr>
        <w:t>黄河流域历史遗留废弃</w:t>
      </w:r>
      <w:r>
        <w:rPr>
          <w:rFonts w:hint="eastAsia"/>
          <w:sz w:val="30"/>
          <w:szCs w:val="30"/>
        </w:rPr>
        <w:t>矿山治理</w:t>
      </w:r>
      <w:r>
        <w:rPr>
          <w:sz w:val="30"/>
          <w:szCs w:val="30"/>
        </w:rPr>
        <w:t>项目</w:t>
      </w:r>
      <w:r>
        <w:rPr>
          <w:rFonts w:hint="eastAsia"/>
          <w:sz w:val="30"/>
          <w:szCs w:val="30"/>
        </w:rPr>
        <w:t>陕州区域内本次</w:t>
      </w:r>
      <w:r>
        <w:rPr>
          <w:sz w:val="30"/>
          <w:szCs w:val="30"/>
        </w:rPr>
        <w:t>实施</w:t>
      </w:r>
      <w:r>
        <w:rPr>
          <w:rFonts w:hint="eastAsia"/>
          <w:sz w:val="30"/>
          <w:szCs w:val="30"/>
        </w:rPr>
        <w:t>范围主要包括黄河流域张茅乡沟口村历史遗留废弃矿山治理，黄河流域张茅乡苏村、贯沟村历史遗留废弃矿山治理、黄河流域西李村乡青石岭历史遗留废弃矿山治理，黄河流域观音堂镇石壕村槐沟历史遗留废弃矿山治理，共5个图斑破坏区域，破坏面积约为47.07公顷</w:t>
      </w:r>
      <w:r>
        <w:rPr>
          <w:rFonts w:hint="eastAsia"/>
          <w:b/>
          <w:szCs w:val="30"/>
        </w:rPr>
        <w:t>，</w:t>
      </w:r>
      <w:r>
        <w:rPr>
          <w:rFonts w:hint="eastAsia"/>
          <w:sz w:val="30"/>
          <w:szCs w:val="30"/>
        </w:rPr>
        <w:t>根据项目资料，修复废弃矿山数量及治理面积符合项目实施计划的要求。</w:t>
      </w:r>
    </w:p>
    <w:p>
      <w:pPr>
        <w:spacing w:before="156" w:beforeLines="50" w:after="156" w:afterLines="50" w:line="360" w:lineRule="auto"/>
        <w:ind w:left="105" w:leftChars="50" w:right="105" w:rightChars="50" w:firstLine="600" w:firstLineChars="200"/>
        <w:rPr>
          <w:rFonts w:hint="eastAsia"/>
          <w:sz w:val="30"/>
          <w:szCs w:val="30"/>
        </w:rPr>
      </w:pPr>
      <w:r>
        <w:rPr>
          <w:rFonts w:hint="eastAsia"/>
          <w:sz w:val="30"/>
          <w:szCs w:val="30"/>
        </w:rPr>
        <w:t>项目实施通过</w:t>
      </w:r>
      <w:r>
        <w:rPr>
          <w:sz w:val="30"/>
          <w:szCs w:val="30"/>
        </w:rPr>
        <w:t>采用危岩清理与削坡工程对不稳定边坡进行整理，对采坑进行回填，对渣堆进行放坡平整，整平后的平台覆土恢复成旱地，平台间的斜坡覆土植树种草，对自然恢复效果不好的区域采取补植树木，</w:t>
      </w:r>
      <w:r>
        <w:rPr>
          <w:rFonts w:hint="eastAsia"/>
          <w:sz w:val="30"/>
          <w:szCs w:val="30"/>
        </w:rPr>
        <w:t>种植侧柏、小叶杨等植被，</w:t>
      </w:r>
      <w:r>
        <w:rPr>
          <w:sz w:val="30"/>
          <w:szCs w:val="30"/>
        </w:rPr>
        <w:t>修筑排水沟、田埂等</w:t>
      </w:r>
      <w:r>
        <w:rPr>
          <w:rFonts w:hint="eastAsia"/>
          <w:sz w:val="30"/>
          <w:szCs w:val="30"/>
        </w:rPr>
        <w:t>一系列工程有效地</w:t>
      </w:r>
      <w:r>
        <w:rPr>
          <w:sz w:val="30"/>
          <w:szCs w:val="30"/>
        </w:rPr>
        <w:t>防治水土流失，并对治理区进行养护</w:t>
      </w:r>
      <w:r>
        <w:rPr>
          <w:rFonts w:hint="eastAsia"/>
          <w:sz w:val="30"/>
          <w:szCs w:val="30"/>
        </w:rPr>
        <w:t>，降低了矿山地质灾害的发生率，提高了整体地质环境的稳定性，进一步优化了矿山区域与周边区域的环境和谐度。项目建设成本及预算编制符合项目申报计划的要求。项目实施涉及的矿区修复数量及修复面积达到既定目标。</w:t>
      </w:r>
    </w:p>
    <w:p>
      <w:pPr>
        <w:spacing w:before="156" w:beforeLines="50" w:after="156" w:afterLines="50" w:line="360" w:lineRule="auto"/>
        <w:ind w:left="105" w:leftChars="50" w:right="105" w:rightChars="50" w:firstLine="600" w:firstLineChars="200"/>
        <w:rPr>
          <w:sz w:val="30"/>
          <w:szCs w:val="30"/>
        </w:rPr>
      </w:pPr>
      <w:r>
        <w:rPr>
          <w:rFonts w:hint="eastAsia"/>
          <w:sz w:val="30"/>
          <w:szCs w:val="30"/>
        </w:rPr>
        <w:t>根据工作组收回的数据，项目第一标段与第三标段具备完善的招投标资料、项目施工合同、验收资料、审计资料等工程资料，第二标段与第四标段验收资料完善，项目各标段验收合格率均达到95%以上。</w:t>
      </w:r>
    </w:p>
    <w:p>
      <w:pPr>
        <w:spacing w:before="156" w:beforeLines="50" w:after="156" w:afterLines="50" w:line="360" w:lineRule="auto"/>
        <w:ind w:left="105" w:leftChars="50" w:right="105" w:rightChars="50" w:firstLine="600" w:firstLineChars="200"/>
        <w:rPr>
          <w:b/>
          <w:szCs w:val="30"/>
        </w:rPr>
      </w:pPr>
      <w:r>
        <w:rPr>
          <w:rFonts w:hint="eastAsia"/>
          <w:sz w:val="30"/>
          <w:szCs w:val="30"/>
        </w:rPr>
        <w:t>产出指标部分</w:t>
      </w:r>
      <w:r>
        <w:rPr>
          <w:rFonts w:hint="eastAsia"/>
          <w:b/>
          <w:sz w:val="30"/>
          <w:szCs w:val="30"/>
        </w:rPr>
        <w:t>主要扣分点</w:t>
      </w:r>
      <w:r>
        <w:rPr>
          <w:rFonts w:hint="eastAsia"/>
          <w:sz w:val="30"/>
          <w:szCs w:val="30"/>
        </w:rPr>
        <w:t>：项目第一标段与第三标段具备完善的招投标资料、项目施工合同、验收资料、审计资料等工程资料，第二标段与第四标段施工合同相关资料不完善，验收合格率及项目开工完工时间无法判断，经专家组沟通，该项扣除相应分数。</w:t>
      </w:r>
    </w:p>
    <w:p>
      <w:pPr>
        <w:pStyle w:val="3"/>
        <w:rPr>
          <w:rFonts w:asciiTheme="minorEastAsia" w:hAnsiTheme="minorEastAsia"/>
          <w:sz w:val="30"/>
          <w:szCs w:val="30"/>
        </w:rPr>
      </w:pPr>
      <w:bookmarkStart w:id="16" w:name="_Toc93918210"/>
      <w:r>
        <w:rPr>
          <w:rFonts w:hint="eastAsia"/>
          <w:sz w:val="30"/>
          <w:szCs w:val="30"/>
        </w:rPr>
        <w:t>（四）</w:t>
      </w:r>
      <w:r>
        <w:rPr>
          <w:rFonts w:hint="eastAsia" w:asciiTheme="minorEastAsia" w:hAnsiTheme="minorEastAsia"/>
          <w:sz w:val="30"/>
          <w:szCs w:val="30"/>
        </w:rPr>
        <w:t>项目效益情况</w:t>
      </w:r>
      <w:bookmarkEnd w:id="16"/>
    </w:p>
    <w:p>
      <w:pPr>
        <w:spacing w:before="156" w:beforeLines="50" w:after="156" w:afterLines="50" w:line="360" w:lineRule="auto"/>
        <w:ind w:left="105" w:leftChars="50" w:right="105" w:rightChars="50" w:firstLine="600" w:firstLineChars="200"/>
        <w:rPr>
          <w:sz w:val="30"/>
          <w:szCs w:val="30"/>
        </w:rPr>
      </w:pPr>
      <w:r>
        <w:rPr>
          <w:rFonts w:hint="eastAsia"/>
          <w:sz w:val="30"/>
          <w:szCs w:val="30"/>
        </w:rPr>
        <w:t>本项目效益下设“社会效益”、“生态效益”、“满意度”三个二级指标，权重25分，综合得分20.3分。单项得分率为81.2%。各项三级指标得分情况见下表：</w:t>
      </w:r>
    </w:p>
    <w:p>
      <w:pPr>
        <w:spacing w:before="156" w:beforeLines="50" w:after="156" w:afterLines="50" w:line="360" w:lineRule="auto"/>
        <w:ind w:left="105" w:leftChars="50" w:right="105" w:rightChars="50" w:firstLine="600" w:firstLineChars="200"/>
        <w:jc w:val="center"/>
        <w:rPr>
          <w:sz w:val="30"/>
          <w:szCs w:val="30"/>
        </w:rPr>
      </w:pPr>
      <w:r>
        <w:rPr>
          <w:rFonts w:hint="eastAsia"/>
          <w:sz w:val="30"/>
          <w:szCs w:val="30"/>
        </w:rPr>
        <w:t>表6  黄河流域历史遗留废弃矿山治理项目</w:t>
      </w:r>
    </w:p>
    <w:p>
      <w:pPr>
        <w:spacing w:before="156" w:beforeLines="50" w:after="156" w:afterLines="50" w:line="360" w:lineRule="auto"/>
        <w:ind w:left="105" w:leftChars="50" w:right="105" w:rightChars="50" w:firstLine="600" w:firstLineChars="200"/>
        <w:jc w:val="center"/>
        <w:rPr>
          <w:sz w:val="30"/>
          <w:szCs w:val="30"/>
        </w:rPr>
      </w:pPr>
      <w:r>
        <w:rPr>
          <w:rFonts w:hint="eastAsia"/>
          <w:sz w:val="30"/>
          <w:szCs w:val="30"/>
        </w:rPr>
        <w:t>绩效评价效益指标得分表</w:t>
      </w:r>
    </w:p>
    <w:tbl>
      <w:tblPr>
        <w:tblStyle w:val="2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6"/>
        <w:gridCol w:w="567"/>
        <w:gridCol w:w="567"/>
        <w:gridCol w:w="567"/>
        <w:gridCol w:w="1134"/>
        <w:gridCol w:w="3401"/>
        <w:gridCol w:w="707"/>
        <w:gridCol w:w="7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346"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18" w:right="113"/>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一级指标</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24" w:right="10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分值</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205" w:right="195"/>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二级指标</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18" w:right="113"/>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分值</w:t>
            </w:r>
          </w:p>
        </w:tc>
        <w:tc>
          <w:tcPr>
            <w:tcW w:w="682" w:type="pct"/>
            <w:tcBorders>
              <w:top w:val="single" w:color="000000" w:sz="4" w:space="0"/>
              <w:left w:val="single" w:color="000000" w:sz="4" w:space="0"/>
              <w:bottom w:val="single" w:color="000000" w:sz="4" w:space="0"/>
              <w:right w:val="single" w:color="000000" w:sz="4" w:space="0"/>
            </w:tcBorders>
            <w:vAlign w:val="center"/>
          </w:tcPr>
          <w:p>
            <w:pPr>
              <w:pStyle w:val="21"/>
              <w:ind w:left="25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三级指标</w:t>
            </w:r>
          </w:p>
        </w:tc>
        <w:tc>
          <w:tcPr>
            <w:tcW w:w="2045" w:type="pct"/>
            <w:tcBorders>
              <w:top w:val="single" w:color="000000" w:sz="4" w:space="0"/>
              <w:left w:val="single" w:color="000000" w:sz="4" w:space="0"/>
              <w:bottom w:val="single" w:color="000000" w:sz="4" w:space="0"/>
              <w:right w:val="single" w:color="000000" w:sz="4" w:space="0"/>
            </w:tcBorders>
            <w:vAlign w:val="center"/>
          </w:tcPr>
          <w:p>
            <w:pPr>
              <w:pStyle w:val="21"/>
              <w:ind w:left="121" w:right="118"/>
              <w:jc w:val="center"/>
              <w:rPr>
                <w:rFonts w:asciiTheme="minorEastAsia" w:hAnsiTheme="minorEastAsia" w:eastAsiaTheme="minorEastAsia"/>
                <w:sz w:val="18"/>
                <w:lang w:eastAsia="en-US"/>
              </w:rPr>
            </w:pPr>
            <w:r>
              <w:rPr>
                <w:rFonts w:hint="eastAsia" w:asciiTheme="minorEastAsia" w:hAnsiTheme="minorEastAsia" w:eastAsiaTheme="minorEastAsia"/>
                <w:b/>
                <w:sz w:val="21"/>
                <w:lang w:eastAsia="en-US"/>
              </w:rPr>
              <w:t>评价标准</w:t>
            </w:r>
          </w:p>
        </w:tc>
        <w:tc>
          <w:tcPr>
            <w:tcW w:w="425" w:type="pct"/>
            <w:tcBorders>
              <w:top w:val="single" w:color="000000" w:sz="4" w:space="0"/>
              <w:left w:val="single" w:color="000000" w:sz="4" w:space="0"/>
              <w:bottom w:val="single" w:color="000000" w:sz="4" w:space="0"/>
              <w:right w:val="single" w:color="000000" w:sz="4" w:space="0"/>
            </w:tcBorders>
            <w:vAlign w:val="center"/>
          </w:tcPr>
          <w:p>
            <w:pPr>
              <w:pStyle w:val="21"/>
              <w:ind w:left="121" w:right="11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zh-CN"/>
              </w:rPr>
              <w:t>分值</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ind w:left="121" w:right="118"/>
              <w:jc w:val="center"/>
              <w:rPr>
                <w:rFonts w:asciiTheme="minorEastAsia" w:hAnsiTheme="minorEastAsia" w:eastAsiaTheme="minorEastAsia"/>
                <w:b/>
                <w:sz w:val="21"/>
                <w:lang w:eastAsia="zh-CN"/>
              </w:rPr>
            </w:pPr>
            <w:r>
              <w:rPr>
                <w:rFonts w:hint="eastAsia" w:asciiTheme="minorEastAsia" w:hAnsiTheme="minorEastAsia" w:eastAsiaTheme="minorEastAsia"/>
                <w:b/>
                <w:sz w:val="21"/>
                <w:lang w:eastAsia="zh-CN"/>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3" w:hRule="atLeast"/>
        </w:trPr>
        <w:tc>
          <w:tcPr>
            <w:tcW w:w="346" w:type="pct"/>
            <w:vMerge w:val="restart"/>
            <w:tcBorders>
              <w:left w:val="single" w:color="000000" w:sz="4" w:space="0"/>
              <w:right w:val="single" w:color="000000" w:sz="4" w:space="0"/>
            </w:tcBorders>
            <w:vAlign w:val="center"/>
          </w:tcPr>
          <w:p>
            <w:pPr>
              <w:pStyle w:val="21"/>
              <w:spacing w:before="102" w:line="242" w:lineRule="auto"/>
              <w:ind w:left="118" w:right="113"/>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效益</w:t>
            </w:r>
          </w:p>
        </w:tc>
        <w:tc>
          <w:tcPr>
            <w:tcW w:w="341" w:type="pct"/>
            <w:vMerge w:val="restart"/>
            <w:tcBorders>
              <w:left w:val="single" w:color="000000" w:sz="4" w:space="0"/>
              <w:right w:val="single" w:color="000000" w:sz="4" w:space="0"/>
            </w:tcBorders>
            <w:vAlign w:val="center"/>
          </w:tcPr>
          <w:p>
            <w:pPr>
              <w:pStyle w:val="21"/>
              <w:ind w:left="124"/>
              <w:jc w:val="center"/>
              <w:rPr>
                <w:rFonts w:asciiTheme="minorEastAsia" w:hAnsiTheme="minorEastAsia" w:eastAsiaTheme="minorEastAsia"/>
                <w:sz w:val="20"/>
                <w:lang w:eastAsia="en-US"/>
              </w:rPr>
            </w:pPr>
            <w:r>
              <w:rPr>
                <w:rFonts w:hint="eastAsia" w:asciiTheme="minorEastAsia" w:hAnsiTheme="minorEastAsia" w:eastAsiaTheme="minorEastAsia"/>
                <w:sz w:val="21"/>
                <w:lang w:eastAsia="en-US"/>
              </w:rPr>
              <w:t>25</w:t>
            </w:r>
          </w:p>
        </w:tc>
        <w:tc>
          <w:tcPr>
            <w:tcW w:w="341" w:type="pct"/>
            <w:vMerge w:val="restart"/>
            <w:tcBorders>
              <w:left w:val="single" w:color="000000" w:sz="4" w:space="0"/>
              <w:right w:val="single" w:color="000000" w:sz="4" w:space="0"/>
            </w:tcBorders>
            <w:vAlign w:val="center"/>
          </w:tcPr>
          <w:p>
            <w:pPr>
              <w:pStyle w:val="21"/>
              <w:spacing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社会效益</w:t>
            </w:r>
          </w:p>
        </w:tc>
        <w:tc>
          <w:tcPr>
            <w:tcW w:w="341" w:type="pct"/>
            <w:vMerge w:val="restart"/>
            <w:tcBorders>
              <w:left w:val="single" w:color="000000" w:sz="4" w:space="0"/>
              <w:right w:val="single" w:color="000000" w:sz="4" w:space="0"/>
            </w:tcBorders>
            <w:vAlign w:val="center"/>
          </w:tcPr>
          <w:p>
            <w:pPr>
              <w:pStyle w:val="21"/>
              <w:spacing w:before="1"/>
              <w:ind w:left="3"/>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10</w:t>
            </w:r>
          </w:p>
        </w:tc>
        <w:tc>
          <w:tcPr>
            <w:tcW w:w="682"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52" w:right="148"/>
              <w:jc w:val="center"/>
              <w:rPr>
                <w:rFonts w:cs="Times New Roman" w:asciiTheme="minorEastAsia" w:hAnsiTheme="minorEastAsia" w:eastAsiaTheme="minorEastAsia"/>
                <w:sz w:val="24"/>
                <w:szCs w:val="24"/>
                <w:lang w:eastAsia="zh-CN"/>
              </w:rPr>
            </w:pPr>
            <w:r>
              <w:rPr>
                <w:rFonts w:hint="eastAsia" w:cs="Times New Roman" w:asciiTheme="minorEastAsia" w:hAnsiTheme="minorEastAsia" w:eastAsiaTheme="minorEastAsia"/>
                <w:sz w:val="24"/>
                <w:szCs w:val="24"/>
                <w:lang w:eastAsia="zh-CN"/>
              </w:rPr>
              <w:t>带动社会资本投资</w:t>
            </w:r>
          </w:p>
        </w:tc>
        <w:tc>
          <w:tcPr>
            <w:tcW w:w="2045"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left="127" w:right="118" w:firstLine="105"/>
              <w:jc w:val="both"/>
              <w:rPr>
                <w:rFonts w:cs="Times New Roman" w:asciiTheme="minorEastAsia" w:hAnsiTheme="minorEastAsia" w:eastAsiaTheme="minorEastAsia"/>
                <w:sz w:val="24"/>
                <w:szCs w:val="24"/>
                <w:lang w:eastAsia="zh-CN"/>
              </w:rPr>
            </w:pPr>
            <w:r>
              <w:rPr>
                <w:rFonts w:hint="eastAsia" w:cs="Times New Roman" w:asciiTheme="minorEastAsia" w:hAnsiTheme="minorEastAsia" w:eastAsiaTheme="minorEastAsia"/>
                <w:sz w:val="24"/>
                <w:szCs w:val="24"/>
                <w:lang w:eastAsia="zh-CN"/>
              </w:rPr>
              <w:t>项目实施带动社会资本投资该项得满分，反之该项不得分</w:t>
            </w:r>
          </w:p>
        </w:tc>
        <w:tc>
          <w:tcPr>
            <w:tcW w:w="425"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left="127" w:right="118" w:firstLine="105"/>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left="127" w:right="118" w:firstLine="105"/>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1" w:hRule="atLeast"/>
        </w:trPr>
        <w:tc>
          <w:tcPr>
            <w:tcW w:w="346" w:type="pct"/>
            <w:vMerge w:val="continue"/>
            <w:tcBorders>
              <w:left w:val="single" w:color="000000" w:sz="4" w:space="0"/>
              <w:right w:val="single" w:color="000000" w:sz="4" w:space="0"/>
            </w:tcBorders>
            <w:vAlign w:val="center"/>
          </w:tcPr>
          <w:p>
            <w:pPr>
              <w:pStyle w:val="21"/>
              <w:ind w:left="138"/>
              <w:jc w:val="center"/>
              <w:rPr>
                <w:rFonts w:asciiTheme="minorEastAsia" w:hAnsiTheme="minorEastAsia" w:eastAsiaTheme="minorEastAsia"/>
                <w:sz w:val="21"/>
                <w:lang w:eastAsia="zh-CN"/>
              </w:rPr>
            </w:pPr>
          </w:p>
        </w:tc>
        <w:tc>
          <w:tcPr>
            <w:tcW w:w="341" w:type="pct"/>
            <w:vMerge w:val="continue"/>
            <w:tcBorders>
              <w:left w:val="single" w:color="000000" w:sz="4" w:space="0"/>
              <w:right w:val="single" w:color="000000" w:sz="4" w:space="0"/>
            </w:tcBorders>
            <w:vAlign w:val="center"/>
          </w:tcPr>
          <w:p>
            <w:pPr>
              <w:pStyle w:val="21"/>
              <w:ind w:left="124"/>
              <w:jc w:val="center"/>
              <w:rPr>
                <w:rFonts w:asciiTheme="minorEastAsia" w:hAnsiTheme="minorEastAsia" w:eastAsiaTheme="minorEastAsia"/>
                <w:sz w:val="21"/>
                <w:lang w:eastAsia="zh-CN"/>
              </w:rPr>
            </w:pPr>
          </w:p>
        </w:tc>
        <w:tc>
          <w:tcPr>
            <w:tcW w:w="341" w:type="pct"/>
            <w:vMerge w:val="continue"/>
            <w:tcBorders>
              <w:left w:val="single" w:color="000000" w:sz="4" w:space="0"/>
              <w:right w:val="single" w:color="000000" w:sz="4" w:space="0"/>
            </w:tcBorders>
            <w:vAlign w:val="center"/>
          </w:tcPr>
          <w:p>
            <w:pPr>
              <w:pStyle w:val="21"/>
              <w:spacing w:line="242" w:lineRule="auto"/>
              <w:ind w:left="210" w:right="191"/>
              <w:jc w:val="center"/>
              <w:rPr>
                <w:rFonts w:asciiTheme="minorEastAsia" w:hAnsiTheme="minorEastAsia" w:eastAsiaTheme="minorEastAsia"/>
                <w:sz w:val="21"/>
                <w:lang w:eastAsia="zh-CN"/>
              </w:rPr>
            </w:pPr>
          </w:p>
        </w:tc>
        <w:tc>
          <w:tcPr>
            <w:tcW w:w="341" w:type="pct"/>
            <w:vMerge w:val="continue"/>
            <w:tcBorders>
              <w:left w:val="single" w:color="000000" w:sz="4" w:space="0"/>
              <w:right w:val="single" w:color="000000" w:sz="4" w:space="0"/>
            </w:tcBorders>
            <w:vAlign w:val="center"/>
          </w:tcPr>
          <w:p>
            <w:pPr>
              <w:pStyle w:val="21"/>
              <w:spacing w:before="1"/>
              <w:ind w:left="3"/>
              <w:jc w:val="center"/>
              <w:rPr>
                <w:rFonts w:asciiTheme="minorEastAsia" w:hAnsiTheme="minorEastAsia" w:eastAsiaTheme="minorEastAsia"/>
                <w:sz w:val="21"/>
                <w:lang w:eastAsia="zh-CN"/>
              </w:rPr>
            </w:pPr>
          </w:p>
        </w:tc>
        <w:tc>
          <w:tcPr>
            <w:tcW w:w="682"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52" w:right="148"/>
              <w:jc w:val="center"/>
              <w:rPr>
                <w:rFonts w:asciiTheme="minorEastAsia" w:hAnsiTheme="minorEastAsia" w:eastAsiaTheme="minorEastAsia"/>
                <w:sz w:val="21"/>
                <w:lang w:eastAsia="zh-CN"/>
              </w:rPr>
            </w:pPr>
            <w:r>
              <w:rPr>
                <w:rFonts w:cs="Times New Roman" w:asciiTheme="minorEastAsia" w:hAnsiTheme="minorEastAsia" w:eastAsiaTheme="minorEastAsia"/>
                <w:sz w:val="24"/>
                <w:szCs w:val="24"/>
                <w:lang w:eastAsia="zh-CN"/>
              </w:rPr>
              <w:t>矿山地质灾害隐患</w:t>
            </w:r>
          </w:p>
        </w:tc>
        <w:tc>
          <w:tcPr>
            <w:tcW w:w="2045"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left="127" w:right="118" w:firstLine="105"/>
              <w:jc w:val="both"/>
              <w:rPr>
                <w:rFonts w:asciiTheme="minorEastAsia" w:hAnsiTheme="minorEastAsia" w:eastAsiaTheme="minorEastAsia"/>
                <w:sz w:val="21"/>
                <w:lang w:eastAsia="zh-CN"/>
              </w:rPr>
            </w:pPr>
            <w:r>
              <w:rPr>
                <w:rFonts w:hint="eastAsia" w:cs="Times New Roman" w:asciiTheme="minorEastAsia" w:hAnsiTheme="minorEastAsia" w:eastAsiaTheme="minorEastAsia"/>
                <w:sz w:val="24"/>
                <w:szCs w:val="24"/>
                <w:lang w:eastAsia="zh-CN"/>
              </w:rPr>
              <w:t>项目</w:t>
            </w:r>
            <w:r>
              <w:rPr>
                <w:rFonts w:cs="Times New Roman" w:asciiTheme="minorEastAsia" w:hAnsiTheme="minorEastAsia" w:eastAsiaTheme="minorEastAsia"/>
                <w:sz w:val="24"/>
                <w:szCs w:val="24"/>
                <w:lang w:eastAsia="zh-CN"/>
              </w:rPr>
              <w:t>实施区域矿山地质灾害隐患</w:t>
            </w:r>
            <w:r>
              <w:rPr>
                <w:rFonts w:hint="eastAsia" w:cs="Times New Roman" w:asciiTheme="minorEastAsia" w:hAnsiTheme="minorEastAsia" w:eastAsiaTheme="minorEastAsia"/>
                <w:sz w:val="24"/>
                <w:szCs w:val="24"/>
                <w:lang w:eastAsia="zh-CN"/>
              </w:rPr>
              <w:t>明显改善该项得满分，反之该项不得分</w:t>
            </w:r>
          </w:p>
        </w:tc>
        <w:tc>
          <w:tcPr>
            <w:tcW w:w="425"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left="127" w:right="118" w:firstLine="105"/>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left="127" w:right="118" w:firstLine="105"/>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1"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1" w:type="pct"/>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1" w:type="pct"/>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682"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52" w:right="148"/>
              <w:jc w:val="center"/>
              <w:rPr>
                <w:rFonts w:asciiTheme="minorEastAsia" w:hAnsiTheme="minorEastAsia" w:eastAsiaTheme="minorEastAsia"/>
                <w:sz w:val="21"/>
                <w:lang w:eastAsia="en-US"/>
              </w:rPr>
            </w:pPr>
            <w:r>
              <w:rPr>
                <w:rFonts w:cs="Times New Roman" w:asciiTheme="minorEastAsia" w:hAnsiTheme="minorEastAsia" w:eastAsiaTheme="minorEastAsia"/>
                <w:sz w:val="24"/>
                <w:szCs w:val="24"/>
                <w:lang w:eastAsia="zh-CN"/>
              </w:rPr>
              <w:t>群众生命财产安全保障</w:t>
            </w:r>
          </w:p>
        </w:tc>
        <w:tc>
          <w:tcPr>
            <w:tcW w:w="2045"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left="127" w:right="118" w:firstLine="105"/>
              <w:jc w:val="both"/>
              <w:rPr>
                <w:rFonts w:asciiTheme="minorEastAsia" w:hAnsiTheme="minorEastAsia" w:eastAsiaTheme="minorEastAsia"/>
                <w:sz w:val="21"/>
                <w:lang w:eastAsia="zh-CN"/>
              </w:rPr>
            </w:pPr>
            <w:r>
              <w:rPr>
                <w:rFonts w:hint="eastAsia" w:cs="Times New Roman" w:asciiTheme="minorEastAsia" w:hAnsiTheme="minorEastAsia" w:eastAsiaTheme="minorEastAsia"/>
                <w:sz w:val="24"/>
                <w:szCs w:val="24"/>
                <w:lang w:eastAsia="zh-CN"/>
              </w:rPr>
              <w:t>项目</w:t>
            </w:r>
            <w:r>
              <w:rPr>
                <w:rFonts w:cs="Times New Roman" w:asciiTheme="minorEastAsia" w:hAnsiTheme="minorEastAsia" w:eastAsiaTheme="minorEastAsia"/>
                <w:sz w:val="24"/>
                <w:szCs w:val="24"/>
                <w:lang w:eastAsia="zh-CN"/>
              </w:rPr>
              <w:t>实施区域群众生命财产安全</w:t>
            </w:r>
            <w:r>
              <w:rPr>
                <w:rFonts w:hint="eastAsia" w:cs="Times New Roman" w:asciiTheme="minorEastAsia" w:hAnsiTheme="minorEastAsia" w:eastAsiaTheme="minorEastAsia"/>
                <w:sz w:val="24"/>
                <w:szCs w:val="24"/>
                <w:lang w:eastAsia="zh-CN"/>
              </w:rPr>
              <w:t>得到明显保障该项得满分，反之该项不得分</w:t>
            </w:r>
          </w:p>
        </w:tc>
        <w:tc>
          <w:tcPr>
            <w:tcW w:w="425"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left="127" w:right="118" w:firstLine="105"/>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left="127" w:right="118" w:firstLine="105"/>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9"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1" w:type="pct"/>
            <w:vMerge w:val="restart"/>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生态效益</w:t>
            </w:r>
          </w:p>
        </w:tc>
        <w:tc>
          <w:tcPr>
            <w:tcW w:w="341" w:type="pct"/>
            <w:vMerge w:val="restart"/>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9</w:t>
            </w:r>
          </w:p>
        </w:tc>
        <w:tc>
          <w:tcPr>
            <w:tcW w:w="682"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52" w:right="148"/>
              <w:jc w:val="center"/>
              <w:rPr>
                <w:rFonts w:cs="Times New Roman" w:asciiTheme="minorEastAsia" w:hAnsiTheme="minorEastAsia" w:eastAsiaTheme="minorEastAsia"/>
                <w:sz w:val="24"/>
                <w:szCs w:val="24"/>
                <w:lang w:eastAsia="en-US"/>
              </w:rPr>
            </w:pPr>
            <w:r>
              <w:rPr>
                <w:rFonts w:hint="eastAsia" w:asciiTheme="minorEastAsia" w:hAnsiTheme="minorEastAsia" w:eastAsiaTheme="minorEastAsia"/>
                <w:sz w:val="21"/>
                <w:lang w:eastAsia="zh-CN"/>
              </w:rPr>
              <w:t>生态环境改善情况</w:t>
            </w:r>
          </w:p>
        </w:tc>
        <w:tc>
          <w:tcPr>
            <w:tcW w:w="2045"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left="127" w:right="118" w:firstLine="105"/>
              <w:jc w:val="both"/>
              <w:rPr>
                <w:rFonts w:asciiTheme="minorEastAsia" w:hAnsiTheme="minorEastAsia" w:eastAsiaTheme="minorEastAsia"/>
                <w:sz w:val="21"/>
                <w:lang w:eastAsia="zh-CN"/>
              </w:rPr>
            </w:pPr>
            <w:r>
              <w:rPr>
                <w:rFonts w:hint="eastAsia" w:cs="Times New Roman" w:asciiTheme="minorEastAsia" w:hAnsiTheme="minorEastAsia" w:eastAsiaTheme="minorEastAsia"/>
                <w:sz w:val="24"/>
                <w:szCs w:val="24"/>
                <w:lang w:eastAsia="zh-CN"/>
              </w:rPr>
              <w:t>项目</w:t>
            </w:r>
            <w:r>
              <w:rPr>
                <w:rFonts w:cs="Times New Roman" w:asciiTheme="minorEastAsia" w:hAnsiTheme="minorEastAsia" w:eastAsiaTheme="minorEastAsia"/>
                <w:sz w:val="24"/>
                <w:szCs w:val="24"/>
                <w:lang w:eastAsia="zh-CN"/>
              </w:rPr>
              <w:t>实施区域</w:t>
            </w:r>
            <w:r>
              <w:rPr>
                <w:rFonts w:hint="eastAsia" w:asciiTheme="minorEastAsia" w:hAnsiTheme="minorEastAsia" w:eastAsiaTheme="minorEastAsia"/>
                <w:sz w:val="21"/>
                <w:lang w:eastAsia="zh-CN"/>
              </w:rPr>
              <w:t>生态环境情况</w:t>
            </w:r>
            <w:r>
              <w:rPr>
                <w:rFonts w:hint="eastAsia" w:cs="Times New Roman" w:asciiTheme="minorEastAsia" w:hAnsiTheme="minorEastAsia" w:eastAsiaTheme="minorEastAsia"/>
                <w:sz w:val="24"/>
                <w:szCs w:val="24"/>
                <w:lang w:eastAsia="zh-CN"/>
              </w:rPr>
              <w:t>得到明显改善该项得满分，反之该项不得分</w:t>
            </w:r>
          </w:p>
        </w:tc>
        <w:tc>
          <w:tcPr>
            <w:tcW w:w="425"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left="127" w:right="118" w:firstLine="105"/>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left="127" w:right="118" w:firstLine="105"/>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8"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682"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52" w:right="148"/>
              <w:jc w:val="center"/>
              <w:rPr>
                <w:rFonts w:cs="Times New Roman" w:asciiTheme="minorEastAsia" w:hAnsiTheme="minorEastAsia" w:eastAsiaTheme="minorEastAsia"/>
                <w:sz w:val="24"/>
                <w:szCs w:val="24"/>
                <w:lang w:eastAsia="en-US"/>
              </w:rPr>
            </w:pPr>
            <w:r>
              <w:rPr>
                <w:rFonts w:hint="eastAsia" w:asciiTheme="minorEastAsia" w:hAnsiTheme="minorEastAsia" w:eastAsiaTheme="minorEastAsia"/>
                <w:sz w:val="21"/>
                <w:lang w:eastAsia="zh-CN"/>
              </w:rPr>
              <w:t>露天矿场扬尘情况</w:t>
            </w:r>
          </w:p>
        </w:tc>
        <w:tc>
          <w:tcPr>
            <w:tcW w:w="2045"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left="127" w:right="118" w:firstLine="105"/>
              <w:jc w:val="both"/>
              <w:rPr>
                <w:rFonts w:asciiTheme="minorEastAsia" w:hAnsiTheme="minorEastAsia" w:eastAsiaTheme="minorEastAsia"/>
                <w:sz w:val="21"/>
                <w:lang w:eastAsia="zh-CN"/>
              </w:rPr>
            </w:pPr>
            <w:r>
              <w:rPr>
                <w:rFonts w:hint="eastAsia" w:cs="Times New Roman" w:asciiTheme="minorEastAsia" w:hAnsiTheme="minorEastAsia" w:eastAsiaTheme="minorEastAsia"/>
                <w:sz w:val="24"/>
                <w:szCs w:val="24"/>
                <w:lang w:eastAsia="zh-CN"/>
              </w:rPr>
              <w:t>项目</w:t>
            </w:r>
            <w:r>
              <w:rPr>
                <w:rFonts w:cs="Times New Roman" w:asciiTheme="minorEastAsia" w:hAnsiTheme="minorEastAsia" w:eastAsiaTheme="minorEastAsia"/>
                <w:sz w:val="24"/>
                <w:szCs w:val="24"/>
                <w:lang w:eastAsia="zh-CN"/>
              </w:rPr>
              <w:t>实施区域露天矿山扬尘</w:t>
            </w:r>
            <w:r>
              <w:rPr>
                <w:rFonts w:hint="eastAsia" w:asciiTheme="minorEastAsia" w:hAnsiTheme="minorEastAsia" w:eastAsiaTheme="minorEastAsia"/>
                <w:sz w:val="21"/>
                <w:lang w:eastAsia="zh-CN"/>
              </w:rPr>
              <w:t>情况</w:t>
            </w:r>
            <w:r>
              <w:rPr>
                <w:rFonts w:hint="eastAsia" w:cs="Times New Roman" w:asciiTheme="minorEastAsia" w:hAnsiTheme="minorEastAsia" w:eastAsiaTheme="minorEastAsia"/>
                <w:sz w:val="24"/>
                <w:szCs w:val="24"/>
                <w:lang w:eastAsia="zh-CN"/>
              </w:rPr>
              <w:t>得到明显改善该项得满分，反之该项不得分</w:t>
            </w:r>
          </w:p>
        </w:tc>
        <w:tc>
          <w:tcPr>
            <w:tcW w:w="425"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left="127" w:right="118" w:firstLine="105"/>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left="127" w:right="118" w:firstLine="105"/>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9"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1" w:type="pct"/>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1" w:type="pct"/>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682" w:type="pct"/>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left="152" w:right="148"/>
              <w:jc w:val="center"/>
              <w:rPr>
                <w:rFonts w:cs="Times New Roman" w:asciiTheme="minorEastAsia" w:hAnsiTheme="minorEastAsia" w:eastAsiaTheme="minorEastAsia"/>
                <w:sz w:val="24"/>
                <w:szCs w:val="24"/>
                <w:lang w:eastAsia="en-US"/>
              </w:rPr>
            </w:pPr>
            <w:r>
              <w:rPr>
                <w:rFonts w:hint="eastAsia" w:asciiTheme="minorEastAsia" w:hAnsiTheme="minorEastAsia" w:eastAsiaTheme="minorEastAsia"/>
                <w:sz w:val="21"/>
                <w:lang w:eastAsia="zh-CN"/>
              </w:rPr>
              <w:t>露天矿场视觉污染</w:t>
            </w:r>
          </w:p>
        </w:tc>
        <w:tc>
          <w:tcPr>
            <w:tcW w:w="2045"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left="127" w:right="118" w:firstLine="105"/>
              <w:jc w:val="both"/>
              <w:rPr>
                <w:rFonts w:asciiTheme="minorEastAsia" w:hAnsiTheme="minorEastAsia" w:eastAsiaTheme="minorEastAsia"/>
                <w:sz w:val="21"/>
                <w:lang w:eastAsia="zh-CN"/>
              </w:rPr>
            </w:pPr>
            <w:r>
              <w:rPr>
                <w:rFonts w:hint="eastAsia" w:cs="Times New Roman" w:asciiTheme="minorEastAsia" w:hAnsiTheme="minorEastAsia" w:eastAsiaTheme="minorEastAsia"/>
                <w:sz w:val="24"/>
                <w:szCs w:val="24"/>
                <w:lang w:eastAsia="zh-CN"/>
              </w:rPr>
              <w:t>项目</w:t>
            </w:r>
            <w:r>
              <w:rPr>
                <w:rFonts w:cs="Times New Roman" w:asciiTheme="minorEastAsia" w:hAnsiTheme="minorEastAsia" w:eastAsiaTheme="minorEastAsia"/>
                <w:sz w:val="24"/>
                <w:szCs w:val="24"/>
                <w:lang w:eastAsia="zh-CN"/>
              </w:rPr>
              <w:t>实施区域露天矿山视觉污染</w:t>
            </w:r>
            <w:r>
              <w:rPr>
                <w:rFonts w:hint="eastAsia" w:cs="Times New Roman" w:asciiTheme="minorEastAsia" w:hAnsiTheme="minorEastAsia" w:eastAsiaTheme="minorEastAsia"/>
                <w:sz w:val="24"/>
                <w:szCs w:val="24"/>
                <w:lang w:eastAsia="zh-CN"/>
              </w:rPr>
              <w:t>得到明显改善该项得满分，反之该项不得分</w:t>
            </w:r>
          </w:p>
        </w:tc>
        <w:tc>
          <w:tcPr>
            <w:tcW w:w="425"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left="127" w:right="118" w:firstLine="105"/>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spacing w:before="101" w:line="242" w:lineRule="auto"/>
              <w:ind w:left="127" w:right="118" w:firstLine="105"/>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1"/>
              <w:spacing w:before="102"/>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满意度</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1"/>
              <w:ind w:left="3"/>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6</w:t>
            </w:r>
          </w:p>
        </w:tc>
        <w:tc>
          <w:tcPr>
            <w:tcW w:w="682" w:type="pct"/>
            <w:tcBorders>
              <w:top w:val="single" w:color="000000" w:sz="4" w:space="0"/>
              <w:left w:val="single" w:color="000000" w:sz="4" w:space="0"/>
              <w:bottom w:val="single" w:color="000000" w:sz="4" w:space="0"/>
              <w:right w:val="single" w:color="000000" w:sz="4" w:space="0"/>
            </w:tcBorders>
            <w:vAlign w:val="center"/>
          </w:tcPr>
          <w:p>
            <w:pPr>
              <w:pStyle w:val="21"/>
              <w:spacing w:before="5"/>
              <w:jc w:val="center"/>
              <w:rPr>
                <w:rFonts w:asciiTheme="minorEastAsia" w:hAnsiTheme="minorEastAsia" w:eastAsiaTheme="minorEastAsia"/>
                <w:sz w:val="18"/>
                <w:lang w:eastAsia="en-US"/>
              </w:rPr>
            </w:pPr>
            <w:r>
              <w:rPr>
                <w:rFonts w:hint="eastAsia" w:asciiTheme="minorEastAsia" w:hAnsiTheme="minorEastAsia" w:eastAsiaTheme="minorEastAsia"/>
                <w:sz w:val="21"/>
                <w:lang w:eastAsia="zh-CN"/>
              </w:rPr>
              <w:t>公众</w:t>
            </w:r>
            <w:r>
              <w:rPr>
                <w:rFonts w:hint="eastAsia" w:asciiTheme="minorEastAsia" w:hAnsiTheme="minorEastAsia" w:eastAsiaTheme="minorEastAsia"/>
                <w:sz w:val="21"/>
                <w:lang w:eastAsia="en-US"/>
              </w:rPr>
              <w:t>满意度</w:t>
            </w:r>
          </w:p>
        </w:tc>
        <w:tc>
          <w:tcPr>
            <w:tcW w:w="2045" w:type="pct"/>
            <w:tcBorders>
              <w:top w:val="single" w:color="000000" w:sz="4" w:space="0"/>
              <w:left w:val="single" w:color="000000" w:sz="4" w:space="0"/>
              <w:bottom w:val="single" w:color="000000" w:sz="4" w:space="0"/>
              <w:right w:val="single" w:color="000000" w:sz="4" w:space="0"/>
            </w:tcBorders>
            <w:vAlign w:val="center"/>
          </w:tcPr>
          <w:p>
            <w:pPr>
              <w:pStyle w:val="21"/>
              <w:ind w:left="125"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满意度</w:t>
            </w:r>
            <w:r>
              <w:rPr>
                <w:rFonts w:asciiTheme="minorEastAsia" w:hAnsiTheme="minorEastAsia" w:eastAsiaTheme="minorEastAsia"/>
                <w:sz w:val="21"/>
                <w:lang w:eastAsia="zh-CN"/>
              </w:rPr>
              <w:t>=(满意*100％ +一般*60％+不满意*20％)满意度≥90％得满分，90％＞满意度≥60％按满意度*本项标准分值计算，满意度60％以下不得分</w:t>
            </w:r>
          </w:p>
        </w:tc>
        <w:tc>
          <w:tcPr>
            <w:tcW w:w="425" w:type="pct"/>
            <w:tcBorders>
              <w:top w:val="single" w:color="000000" w:sz="4" w:space="0"/>
              <w:left w:val="single" w:color="000000" w:sz="4" w:space="0"/>
              <w:bottom w:val="single" w:color="000000" w:sz="4" w:space="0"/>
              <w:right w:val="single" w:color="000000" w:sz="4" w:space="0"/>
            </w:tcBorders>
            <w:vAlign w:val="center"/>
          </w:tcPr>
          <w:p>
            <w:pPr>
              <w:pStyle w:val="21"/>
              <w:ind w:left="125"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6</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ind w:left="125"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4095" w:type="pct"/>
            <w:gridSpan w:val="6"/>
            <w:tcBorders>
              <w:left w:val="single" w:color="000000" w:sz="4" w:space="0"/>
              <w:right w:val="single" w:color="000000" w:sz="4" w:space="0"/>
            </w:tcBorders>
            <w:vAlign w:val="center"/>
          </w:tcPr>
          <w:p>
            <w:pPr>
              <w:pStyle w:val="21"/>
              <w:ind w:left="125"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合   计</w:t>
            </w:r>
          </w:p>
        </w:tc>
        <w:tc>
          <w:tcPr>
            <w:tcW w:w="425" w:type="pct"/>
            <w:tcBorders>
              <w:top w:val="single" w:color="000000" w:sz="4" w:space="0"/>
              <w:left w:val="single" w:color="000000" w:sz="4" w:space="0"/>
              <w:bottom w:val="single" w:color="000000" w:sz="4" w:space="0"/>
              <w:right w:val="single" w:color="000000" w:sz="4" w:space="0"/>
            </w:tcBorders>
            <w:vAlign w:val="center"/>
          </w:tcPr>
          <w:p>
            <w:pPr>
              <w:pStyle w:val="21"/>
              <w:ind w:left="125"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25</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1"/>
              <w:ind w:left="125"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20.3</w:t>
            </w:r>
          </w:p>
        </w:tc>
      </w:tr>
    </w:tbl>
    <w:p>
      <w:pPr>
        <w:spacing w:before="156" w:beforeLines="50" w:after="156" w:afterLines="50" w:line="360" w:lineRule="auto"/>
        <w:ind w:left="105" w:leftChars="50" w:right="105" w:rightChars="50" w:firstLine="600" w:firstLineChars="200"/>
        <w:jc w:val="center"/>
        <w:rPr>
          <w:sz w:val="30"/>
          <w:szCs w:val="30"/>
        </w:rPr>
      </w:pPr>
    </w:p>
    <w:p>
      <w:pPr>
        <w:spacing w:line="360" w:lineRule="auto"/>
        <w:ind w:firstLine="560"/>
        <w:rPr>
          <w:rFonts w:ascii="Times New Roman" w:hAnsi="Times New Roman" w:cs="Times New Roman" w:eastAsiaTheme="majorEastAsia"/>
          <w:sz w:val="28"/>
          <w:szCs w:val="28"/>
        </w:rPr>
      </w:pPr>
      <w:r>
        <w:rPr>
          <w:rFonts w:hint="eastAsia"/>
          <w:sz w:val="30"/>
          <w:szCs w:val="30"/>
        </w:rPr>
        <w:t>效益指标部分</w:t>
      </w:r>
      <w:r>
        <w:rPr>
          <w:rFonts w:hint="eastAsia"/>
          <w:b/>
          <w:sz w:val="30"/>
          <w:szCs w:val="30"/>
        </w:rPr>
        <w:t>主要得分点</w:t>
      </w:r>
      <w:r>
        <w:rPr>
          <w:rFonts w:hint="eastAsia"/>
          <w:sz w:val="30"/>
          <w:szCs w:val="30"/>
        </w:rPr>
        <w:t>：</w:t>
      </w:r>
      <w:r>
        <w:rPr>
          <w:rFonts w:ascii="Times New Roman" w:hAnsi="Times New Roman" w:cs="Times New Roman" w:eastAsiaTheme="majorEastAsia"/>
          <w:kern w:val="0"/>
          <w:sz w:val="28"/>
          <w:szCs w:val="28"/>
          <w:lang w:bidi="zh-CN"/>
        </w:rPr>
        <w:t>历史遗留的废弃工矿土地基岩裸露，植被破坏，水土流失加剧，生物多样性减少，生态环境形势严峻；裸露岩土体产生的细颗粒粉尘，既污染了大气环境，弥漫粉尘又对附近居民的生活造成了困扰；废弃矿渣的堆放，容易形成滑坡、崩塌等地质灾害，对当地人民群众的生命财产安全构成威胁</w:t>
      </w:r>
      <w:r>
        <w:rPr>
          <w:rFonts w:hint="eastAsia" w:ascii="Times New Roman" w:hAnsi="Times New Roman" w:cs="Times New Roman" w:eastAsiaTheme="majorEastAsia"/>
          <w:kern w:val="0"/>
          <w:sz w:val="28"/>
          <w:szCs w:val="28"/>
          <w:lang w:bidi="zh-CN"/>
        </w:rPr>
        <w:t>。</w:t>
      </w:r>
      <w:r>
        <w:rPr>
          <w:rFonts w:ascii="Times New Roman" w:hAnsi="Times New Roman" w:cs="Times New Roman" w:eastAsiaTheme="majorEastAsia"/>
          <w:kern w:val="0"/>
          <w:sz w:val="28"/>
          <w:szCs w:val="28"/>
          <w:lang w:bidi="zh-CN"/>
        </w:rPr>
        <w:t>项目的实施，将有效减少</w:t>
      </w:r>
      <w:r>
        <w:rPr>
          <w:rFonts w:hint="eastAsia" w:ascii="Times New Roman" w:hAnsi="Times New Roman" w:cs="Times New Roman" w:eastAsiaTheme="majorEastAsia"/>
          <w:kern w:val="0"/>
          <w:sz w:val="28"/>
          <w:szCs w:val="28"/>
          <w:lang w:bidi="zh-CN"/>
        </w:rPr>
        <w:t>陕州区区域内</w:t>
      </w:r>
      <w:r>
        <w:rPr>
          <w:rFonts w:ascii="Times New Roman" w:hAnsi="Times New Roman" w:cs="Times New Roman" w:eastAsiaTheme="majorEastAsia"/>
          <w:kern w:val="0"/>
          <w:sz w:val="28"/>
          <w:szCs w:val="28"/>
          <w:lang w:bidi="zh-CN"/>
        </w:rPr>
        <w:t>历史遗留废弃工矿土地存量，明显提升区域生态环境质量，</w:t>
      </w:r>
      <w:r>
        <w:rPr>
          <w:rFonts w:hint="eastAsia" w:ascii="Times New Roman" w:hAnsi="Times New Roman" w:cs="Times New Roman" w:eastAsiaTheme="majorEastAsia"/>
          <w:kern w:val="0"/>
          <w:sz w:val="28"/>
          <w:szCs w:val="28"/>
          <w:lang w:bidi="zh-CN"/>
        </w:rPr>
        <w:t>对于矿区的治理将有效的降低水土流失以及滑坡坍塌等自然灾害的发生，进一步优化了区域内的生态环境质量，不仅保障了区域内群众的生命财产安全，而且改善了居民的生活质量，公众满意度较高，项目的实施</w:t>
      </w:r>
      <w:r>
        <w:rPr>
          <w:rFonts w:ascii="Times New Roman" w:hAnsi="Times New Roman" w:cs="Times New Roman" w:eastAsiaTheme="majorEastAsia"/>
          <w:kern w:val="0"/>
          <w:sz w:val="28"/>
          <w:szCs w:val="28"/>
          <w:lang w:bidi="zh-CN"/>
        </w:rPr>
        <w:t>有力的促进三门峡市生态文明建设和高质量发展迈上新的台阶。</w:t>
      </w:r>
    </w:p>
    <w:p>
      <w:pPr>
        <w:spacing w:before="156" w:beforeLines="50" w:after="156" w:afterLines="50" w:line="360" w:lineRule="auto"/>
        <w:ind w:left="105" w:leftChars="50" w:right="105" w:rightChars="50" w:firstLine="600" w:firstLineChars="200"/>
        <w:rPr>
          <w:sz w:val="30"/>
          <w:szCs w:val="30"/>
        </w:rPr>
      </w:pPr>
      <w:r>
        <w:rPr>
          <w:rFonts w:hint="eastAsia"/>
          <w:sz w:val="30"/>
          <w:szCs w:val="30"/>
        </w:rPr>
        <w:t>效益指标部分</w:t>
      </w:r>
      <w:r>
        <w:rPr>
          <w:rFonts w:hint="eastAsia"/>
          <w:b/>
          <w:sz w:val="30"/>
          <w:szCs w:val="30"/>
        </w:rPr>
        <w:t>主要扣分点</w:t>
      </w:r>
      <w:r>
        <w:rPr>
          <w:rFonts w:hint="eastAsia"/>
          <w:sz w:val="30"/>
          <w:szCs w:val="30"/>
        </w:rPr>
        <w:t>：根据工作组收回的问卷调查数据，在随机调查的问卷中，仍有部分居民反映矿区存在扬尘现象，由于目前处于项目实施完成的初期阶段，矿区环境的进一步改善仍需要完善的养护工作，建立健全的养护管理制度，促使矿区的生态环境得到持续的改善与发展。</w:t>
      </w:r>
    </w:p>
    <w:p>
      <w:pPr>
        <w:pStyle w:val="2"/>
        <w:rPr>
          <w:rFonts w:asciiTheme="minorEastAsia" w:hAnsiTheme="minorEastAsia"/>
          <w:sz w:val="32"/>
          <w:szCs w:val="32"/>
        </w:rPr>
      </w:pPr>
      <w:bookmarkStart w:id="17" w:name="_Toc93918211"/>
      <w:r>
        <w:rPr>
          <w:rFonts w:hint="eastAsia" w:asciiTheme="minorEastAsia" w:hAnsiTheme="minorEastAsia"/>
          <w:sz w:val="32"/>
          <w:szCs w:val="32"/>
        </w:rPr>
        <w:t>四、综合绩效评价情况及评价结论</w:t>
      </w:r>
      <w:bookmarkEnd w:id="17"/>
    </w:p>
    <w:p>
      <w:pPr>
        <w:pStyle w:val="2"/>
        <w:rPr>
          <w:rFonts w:asciiTheme="minorEastAsia" w:hAnsiTheme="minorEastAsia"/>
          <w:sz w:val="30"/>
          <w:szCs w:val="30"/>
        </w:rPr>
      </w:pPr>
      <w:bookmarkStart w:id="18" w:name="_Toc93918212"/>
      <w:r>
        <w:rPr>
          <w:rFonts w:hint="eastAsia" w:asciiTheme="minorEastAsia" w:hAnsiTheme="minorEastAsia"/>
          <w:sz w:val="30"/>
          <w:szCs w:val="30"/>
        </w:rPr>
        <w:t>（一）综合绩效评价情况</w:t>
      </w:r>
      <w:bookmarkEnd w:id="18"/>
    </w:p>
    <w:p>
      <w:pPr>
        <w:spacing w:before="156" w:beforeLines="50" w:after="156" w:afterLines="50" w:line="360" w:lineRule="auto"/>
        <w:ind w:left="105" w:leftChars="50" w:right="105" w:rightChars="50" w:firstLine="600" w:firstLineChars="200"/>
        <w:rPr>
          <w:rFonts w:asciiTheme="minorEastAsia" w:hAnsiTheme="minorEastAsia"/>
          <w:sz w:val="30"/>
          <w:szCs w:val="30"/>
        </w:rPr>
      </w:pPr>
      <w:r>
        <w:rPr>
          <w:rFonts w:hint="eastAsia" w:asciiTheme="minorEastAsia" w:hAnsiTheme="minorEastAsia"/>
          <w:sz w:val="30"/>
          <w:szCs w:val="30"/>
        </w:rPr>
        <w:t>总体看，黄河流域历史遗留废弃矿山治理项目完成绩效目标合理明确、矿区治理效果明显，基本达到了预期的社会及生态效益，项目实施区域群众满意度较高，但也存在立项依据不充分、资金到位率偏低、项目实施管理制度不完善、项目整体资金使用及验收、开工完工资料缺失等问题。</w:t>
      </w:r>
    </w:p>
    <w:p>
      <w:pPr>
        <w:pStyle w:val="3"/>
        <w:rPr>
          <w:rFonts w:asciiTheme="minorEastAsia" w:hAnsiTheme="minorEastAsia"/>
          <w:sz w:val="30"/>
          <w:szCs w:val="30"/>
        </w:rPr>
      </w:pPr>
      <w:bookmarkStart w:id="19" w:name="_Toc93918213"/>
      <w:r>
        <w:rPr>
          <w:rFonts w:hint="eastAsia" w:asciiTheme="minorEastAsia" w:hAnsiTheme="minorEastAsia"/>
          <w:sz w:val="30"/>
          <w:szCs w:val="30"/>
        </w:rPr>
        <w:t>（二）总体评价结论</w:t>
      </w:r>
      <w:bookmarkEnd w:id="19"/>
    </w:p>
    <w:p>
      <w:pPr>
        <w:spacing w:before="156" w:beforeLines="50" w:after="156" w:afterLines="50" w:line="360" w:lineRule="auto"/>
        <w:ind w:left="105" w:leftChars="50" w:right="105" w:rightChars="50" w:firstLine="600" w:firstLineChars="200"/>
        <w:rPr>
          <w:rFonts w:asciiTheme="minorEastAsia" w:hAnsiTheme="minorEastAsia"/>
          <w:sz w:val="30"/>
          <w:szCs w:val="30"/>
        </w:rPr>
      </w:pPr>
      <w:r>
        <w:rPr>
          <w:rFonts w:hint="eastAsia" w:asciiTheme="minorEastAsia" w:hAnsiTheme="minorEastAsia"/>
          <w:sz w:val="30"/>
          <w:szCs w:val="30"/>
        </w:rPr>
        <w:t>依据绩效评价指标体系，经基础数据采集、分析、访谈等过程，评价组对黄河流域历史遗留废弃矿山治理项目进行客观评价。项目总体得分为80.3分，按照财政部《项目支出绩效评价管理办法》(财预202010号)明确的评价等级设置，该项目评价等级为“良”。具体得分情况见下表：</w:t>
      </w:r>
    </w:p>
    <w:p>
      <w:pPr>
        <w:spacing w:before="156" w:beforeLines="50" w:after="156" w:afterLines="50" w:line="360" w:lineRule="auto"/>
        <w:ind w:left="105" w:leftChars="50" w:right="105" w:rightChars="50" w:firstLine="602" w:firstLineChars="200"/>
        <w:jc w:val="center"/>
        <w:rPr>
          <w:rFonts w:ascii="仿宋" w:hAnsi="仿宋" w:eastAsia="仿宋"/>
          <w:b/>
          <w:sz w:val="30"/>
          <w:szCs w:val="30"/>
        </w:rPr>
      </w:pPr>
      <w:r>
        <w:rPr>
          <w:rFonts w:hint="eastAsia" w:ascii="仿宋" w:hAnsi="仿宋" w:eastAsia="仿宋"/>
          <w:b/>
          <w:sz w:val="30"/>
          <w:szCs w:val="30"/>
        </w:rPr>
        <w:t>表2   黄河流域历史遗留废弃矿山治理项目</w:t>
      </w:r>
    </w:p>
    <w:p>
      <w:pPr>
        <w:spacing w:before="156" w:beforeLines="50" w:after="156" w:afterLines="50" w:line="360" w:lineRule="auto"/>
        <w:ind w:right="105" w:rightChars="50"/>
        <w:jc w:val="center"/>
        <w:rPr>
          <w:rFonts w:ascii="仿宋" w:hAnsi="仿宋" w:eastAsia="仿宋"/>
          <w:b/>
          <w:sz w:val="30"/>
          <w:szCs w:val="30"/>
        </w:rPr>
      </w:pPr>
      <w:r>
        <w:rPr>
          <w:rFonts w:hint="eastAsia" w:ascii="仿宋" w:hAnsi="仿宋" w:eastAsia="仿宋"/>
          <w:b/>
          <w:sz w:val="30"/>
          <w:szCs w:val="30"/>
        </w:rPr>
        <w:t>绩效评价得分表</w:t>
      </w:r>
    </w:p>
    <w:tbl>
      <w:tblPr>
        <w:tblStyle w:val="22"/>
        <w:tblW w:w="836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39"/>
        <w:gridCol w:w="851"/>
        <w:gridCol w:w="1559"/>
        <w:gridCol w:w="2552"/>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right="123"/>
              <w:jc w:val="center"/>
              <w:rPr>
                <w:rFonts w:asciiTheme="minorEastAsia" w:hAnsiTheme="minorEastAsia" w:eastAsiaTheme="minorEastAsia"/>
                <w:b/>
                <w:sz w:val="21"/>
                <w:szCs w:val="21"/>
                <w:lang w:eastAsia="en-US"/>
              </w:rPr>
            </w:pPr>
            <w:r>
              <w:rPr>
                <w:rFonts w:hint="eastAsia" w:asciiTheme="minorEastAsia" w:hAnsiTheme="minorEastAsia" w:eastAsiaTheme="minorEastAsia"/>
                <w:b/>
                <w:sz w:val="21"/>
                <w:szCs w:val="21"/>
                <w:lang w:eastAsia="en-US"/>
              </w:rPr>
              <w:t>一级指标</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right="108"/>
              <w:jc w:val="center"/>
              <w:rPr>
                <w:rFonts w:asciiTheme="minorEastAsia" w:hAnsiTheme="minorEastAsia" w:eastAsiaTheme="minorEastAsia"/>
                <w:b/>
                <w:sz w:val="21"/>
                <w:szCs w:val="21"/>
                <w:lang w:eastAsia="en-US"/>
              </w:rPr>
            </w:pPr>
            <w:r>
              <w:rPr>
                <w:rFonts w:hint="eastAsia" w:asciiTheme="minorEastAsia" w:hAnsiTheme="minorEastAsia" w:eastAsiaTheme="minorEastAsia"/>
                <w:b/>
                <w:sz w:val="21"/>
                <w:szCs w:val="21"/>
                <w:lang w:eastAsia="en-US"/>
              </w:rPr>
              <w:t>分值</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right="195"/>
              <w:jc w:val="center"/>
              <w:rPr>
                <w:rFonts w:asciiTheme="minorEastAsia" w:hAnsiTheme="minorEastAsia" w:eastAsiaTheme="minorEastAsia"/>
                <w:b/>
                <w:sz w:val="21"/>
                <w:szCs w:val="21"/>
                <w:lang w:eastAsia="en-US"/>
              </w:rPr>
            </w:pPr>
            <w:r>
              <w:rPr>
                <w:rFonts w:hint="eastAsia" w:asciiTheme="minorEastAsia" w:hAnsiTheme="minorEastAsia" w:eastAsiaTheme="minorEastAsia"/>
                <w:b/>
                <w:sz w:val="21"/>
                <w:szCs w:val="21"/>
                <w:lang w:eastAsia="en-US"/>
              </w:rPr>
              <w:t>二级指标</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jc w:val="center"/>
              <w:rPr>
                <w:rFonts w:asciiTheme="minorEastAsia" w:hAnsiTheme="minorEastAsia" w:eastAsiaTheme="minorEastAsia"/>
                <w:b/>
                <w:sz w:val="21"/>
                <w:szCs w:val="21"/>
                <w:lang w:eastAsia="en-US"/>
              </w:rPr>
            </w:pPr>
            <w:r>
              <w:rPr>
                <w:rFonts w:hint="eastAsia" w:asciiTheme="minorEastAsia" w:hAnsiTheme="minorEastAsia" w:eastAsiaTheme="minorEastAsia"/>
                <w:b/>
                <w:sz w:val="21"/>
                <w:szCs w:val="21"/>
                <w:lang w:eastAsia="en-US"/>
              </w:rPr>
              <w:t>三级指标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right="110"/>
              <w:jc w:val="center"/>
              <w:rPr>
                <w:rFonts w:asciiTheme="minorEastAsia" w:hAnsiTheme="minorEastAsia" w:eastAsiaTheme="minorEastAsia"/>
                <w:b/>
                <w:sz w:val="21"/>
                <w:szCs w:val="21"/>
                <w:lang w:eastAsia="en-US"/>
              </w:rPr>
            </w:pPr>
            <w:r>
              <w:rPr>
                <w:rFonts w:hint="eastAsia" w:asciiTheme="minorEastAsia" w:hAnsiTheme="minorEastAsia" w:eastAsiaTheme="minorEastAsia"/>
                <w:b/>
                <w:sz w:val="21"/>
                <w:szCs w:val="21"/>
                <w:lang w:eastAsia="en-US"/>
              </w:rPr>
              <w:t>标准分值</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right="110"/>
              <w:jc w:val="center"/>
              <w:rPr>
                <w:rFonts w:asciiTheme="minorEastAsia" w:hAnsiTheme="minorEastAsia" w:eastAsiaTheme="minorEastAsia"/>
                <w:b/>
                <w:sz w:val="21"/>
                <w:szCs w:val="21"/>
                <w:lang w:eastAsia="en-US"/>
              </w:rPr>
            </w:pPr>
            <w:r>
              <w:rPr>
                <w:rFonts w:hint="eastAsia" w:asciiTheme="minorEastAsia" w:hAnsiTheme="minorEastAsia" w:eastAsiaTheme="minorEastAsia"/>
                <w:b/>
                <w:sz w:val="21"/>
                <w:szCs w:val="21"/>
                <w:lang w:eastAsia="en-US"/>
              </w:rPr>
              <w:t>实际得分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restart"/>
            <w:tcBorders>
              <w:top w:val="single" w:color="000000" w:sz="4" w:space="0"/>
              <w:left w:val="single" w:color="000000" w:sz="4" w:space="0"/>
              <w:right w:val="single" w:color="000000" w:sz="4" w:space="0"/>
            </w:tcBorders>
            <w:vAlign w:val="center"/>
          </w:tcPr>
          <w:p>
            <w:pPr>
              <w:pStyle w:val="21"/>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决策</w:t>
            </w:r>
          </w:p>
        </w:tc>
        <w:tc>
          <w:tcPr>
            <w:tcW w:w="851" w:type="dxa"/>
            <w:vMerge w:val="restart"/>
            <w:tcBorders>
              <w:top w:val="single" w:color="000000" w:sz="4" w:space="0"/>
              <w:left w:val="single" w:color="000000" w:sz="4" w:space="0"/>
              <w:right w:val="single" w:color="000000" w:sz="4" w:space="0"/>
            </w:tcBorders>
            <w:vAlign w:val="center"/>
          </w:tcPr>
          <w:p>
            <w:pPr>
              <w:pStyle w:val="21"/>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15</w:t>
            </w:r>
          </w:p>
        </w:tc>
        <w:tc>
          <w:tcPr>
            <w:tcW w:w="1559" w:type="dxa"/>
            <w:vMerge w:val="restart"/>
            <w:tcBorders>
              <w:top w:val="single" w:color="000000" w:sz="4" w:space="0"/>
              <w:left w:val="single" w:color="000000" w:sz="4" w:space="0"/>
              <w:right w:val="single" w:color="000000" w:sz="4" w:space="0"/>
            </w:tcBorders>
            <w:vAlign w:val="center"/>
          </w:tcPr>
          <w:p>
            <w:pPr>
              <w:pStyle w:val="21"/>
              <w:spacing w:before="97" w:line="242" w:lineRule="auto"/>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项目立项</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right="11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立项依据充分性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pStyle w:val="21"/>
              <w:jc w:val="center"/>
              <w:rPr>
                <w:rFonts w:asciiTheme="minorEastAsia" w:hAnsiTheme="minorEastAsia" w:eastAsiaTheme="minorEastAsia"/>
                <w:sz w:val="21"/>
                <w:szCs w:val="21"/>
                <w:lang w:eastAsia="en-US"/>
              </w:rPr>
            </w:pPr>
          </w:p>
        </w:tc>
        <w:tc>
          <w:tcPr>
            <w:tcW w:w="851" w:type="dxa"/>
            <w:vMerge w:val="continue"/>
            <w:tcBorders>
              <w:left w:val="single" w:color="000000" w:sz="4" w:space="0"/>
              <w:right w:val="single" w:color="000000" w:sz="4" w:space="0"/>
            </w:tcBorders>
            <w:vAlign w:val="center"/>
          </w:tcPr>
          <w:p>
            <w:pPr>
              <w:pStyle w:val="21"/>
              <w:jc w:val="center"/>
              <w:rPr>
                <w:rFonts w:asciiTheme="minorEastAsia" w:hAnsiTheme="minorEastAsia" w:eastAsiaTheme="minorEastAsia"/>
                <w:sz w:val="21"/>
                <w:szCs w:val="21"/>
                <w:lang w:eastAsia="en-US"/>
              </w:rPr>
            </w:pPr>
          </w:p>
        </w:tc>
        <w:tc>
          <w:tcPr>
            <w:tcW w:w="1559" w:type="dxa"/>
            <w:vMerge w:val="continue"/>
            <w:tcBorders>
              <w:left w:val="single" w:color="000000" w:sz="4" w:space="0"/>
              <w:bottom w:val="single" w:color="000000" w:sz="4" w:space="0"/>
              <w:right w:val="single" w:color="000000" w:sz="4" w:space="0"/>
            </w:tcBorders>
            <w:vAlign w:val="center"/>
          </w:tcPr>
          <w:p>
            <w:pPr>
              <w:pStyle w:val="21"/>
              <w:jc w:val="both"/>
              <w:rPr>
                <w:rFonts w:asciiTheme="minorEastAsia" w:hAnsiTheme="minorEastAsia" w:eastAsiaTheme="minorEastAsia"/>
                <w:sz w:val="21"/>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right="11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立项程序规范性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restart"/>
            <w:tcBorders>
              <w:top w:val="single" w:color="000000" w:sz="4" w:space="0"/>
              <w:left w:val="single" w:color="000000" w:sz="4" w:space="0"/>
              <w:bottom w:val="single" w:color="000000" w:sz="4" w:space="0"/>
              <w:right w:val="single" w:color="000000" w:sz="4" w:space="0"/>
            </w:tcBorders>
            <w:vAlign w:val="center"/>
          </w:tcPr>
          <w:p>
            <w:pPr>
              <w:pStyle w:val="21"/>
              <w:spacing w:before="1" w:line="242" w:lineRule="auto"/>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绩效目标</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right="11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绩效目标合理性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right="11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绩效指标明确性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restart"/>
            <w:tcBorders>
              <w:top w:val="single" w:color="000000" w:sz="4" w:space="0"/>
              <w:left w:val="single" w:color="000000" w:sz="4" w:space="0"/>
              <w:bottom w:val="single" w:color="000000" w:sz="4" w:space="0"/>
              <w:right w:val="single" w:color="000000" w:sz="4" w:space="0"/>
            </w:tcBorders>
            <w:vAlign w:val="center"/>
          </w:tcPr>
          <w:p>
            <w:pPr>
              <w:pStyle w:val="21"/>
              <w:spacing w:line="242" w:lineRule="auto"/>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资金投入</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right="11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预算编制科学性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spacing w:before="1"/>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spacing w:before="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spacing w:before="101"/>
              <w:ind w:right="11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资金分配合理性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restart"/>
            <w:tcBorders>
              <w:top w:val="single" w:color="000000" w:sz="4" w:space="0"/>
              <w:left w:val="single" w:color="000000" w:sz="4" w:space="0"/>
              <w:bottom w:val="single" w:color="000000" w:sz="4" w:space="0"/>
              <w:right w:val="single" w:color="000000" w:sz="4" w:space="0"/>
            </w:tcBorders>
            <w:vAlign w:val="center"/>
          </w:tcPr>
          <w:p>
            <w:pPr>
              <w:pStyle w:val="21"/>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过程</w:t>
            </w: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pPr>
              <w:pStyle w:val="21"/>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25</w:t>
            </w:r>
          </w:p>
        </w:tc>
        <w:tc>
          <w:tcPr>
            <w:tcW w:w="1559" w:type="dxa"/>
            <w:vMerge w:val="restart"/>
            <w:tcBorders>
              <w:top w:val="single" w:color="000000" w:sz="4" w:space="0"/>
              <w:left w:val="single" w:color="000000" w:sz="4" w:space="0"/>
              <w:bottom w:val="single" w:color="000000" w:sz="4" w:space="0"/>
              <w:right w:val="single" w:color="000000" w:sz="4" w:space="0"/>
            </w:tcBorders>
            <w:vAlign w:val="center"/>
          </w:tcPr>
          <w:p>
            <w:pPr>
              <w:pStyle w:val="21"/>
              <w:spacing w:line="242" w:lineRule="auto"/>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资金管理</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ind w:right="99"/>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资金到位率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spacing w:before="5"/>
              <w:jc w:val="center"/>
              <w:rPr>
                <w:rFonts w:asciiTheme="minorEastAsia" w:hAnsiTheme="minorEastAsia" w:eastAsiaTheme="minorEastAsia"/>
                <w:sz w:val="21"/>
                <w:szCs w:val="21"/>
                <w:lang w:eastAsia="en-US"/>
              </w:rPr>
            </w:pPr>
          </w:p>
          <w:p>
            <w:pPr>
              <w:pStyle w:val="21"/>
              <w:spacing w:before="1"/>
              <w:ind w:right="99"/>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预算执行率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spacing w:before="1"/>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6</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spacing w:before="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spacing w:before="101"/>
              <w:ind w:right="11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资金使用合规性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6</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restart"/>
            <w:tcBorders>
              <w:top w:val="single" w:color="000000" w:sz="4" w:space="0"/>
              <w:left w:val="single" w:color="000000" w:sz="4" w:space="0"/>
              <w:bottom w:val="single" w:color="000000" w:sz="4" w:space="0"/>
              <w:right w:val="single" w:color="000000" w:sz="4" w:space="0"/>
            </w:tcBorders>
            <w:vAlign w:val="center"/>
          </w:tcPr>
          <w:p>
            <w:pPr>
              <w:pStyle w:val="21"/>
              <w:spacing w:before="1" w:line="242" w:lineRule="auto"/>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组织实施</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spacing w:before="101"/>
              <w:ind w:right="11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管理制度健全性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5</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spacing w:before="101"/>
              <w:ind w:right="11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制度执行有效性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5</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restart"/>
            <w:tcBorders>
              <w:top w:val="single" w:color="000000" w:sz="4" w:space="0"/>
              <w:left w:val="single" w:color="000000" w:sz="4" w:space="0"/>
              <w:right w:val="single" w:color="000000" w:sz="4" w:space="0"/>
            </w:tcBorders>
            <w:vAlign w:val="center"/>
          </w:tcPr>
          <w:p>
            <w:pPr>
              <w:pStyle w:val="21"/>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产出</w:t>
            </w:r>
          </w:p>
        </w:tc>
        <w:tc>
          <w:tcPr>
            <w:tcW w:w="851" w:type="dxa"/>
            <w:vMerge w:val="restart"/>
            <w:tcBorders>
              <w:top w:val="single" w:color="000000" w:sz="4" w:space="0"/>
              <w:left w:val="single" w:color="000000" w:sz="4" w:space="0"/>
              <w:right w:val="single" w:color="000000" w:sz="4" w:space="0"/>
            </w:tcBorders>
            <w:vAlign w:val="center"/>
          </w:tcPr>
          <w:p>
            <w:pPr>
              <w:pStyle w:val="21"/>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35</w:t>
            </w:r>
          </w:p>
        </w:tc>
        <w:tc>
          <w:tcPr>
            <w:tcW w:w="1559" w:type="dxa"/>
            <w:vMerge w:val="restart"/>
            <w:tcBorders>
              <w:top w:val="single" w:color="000000" w:sz="4" w:space="0"/>
              <w:left w:val="single" w:color="000000" w:sz="4" w:space="0"/>
              <w:right w:val="single" w:color="000000" w:sz="4" w:space="0"/>
            </w:tcBorders>
            <w:vAlign w:val="center"/>
          </w:tcPr>
          <w:p>
            <w:pPr>
              <w:pStyle w:val="21"/>
              <w:spacing w:line="242" w:lineRule="auto"/>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产出数量</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spacing w:before="101"/>
              <w:ind w:right="118"/>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lang w:eastAsia="zh-CN"/>
              </w:rPr>
              <w:t>修复废弃矿山数量</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spacing w:before="101"/>
              <w:ind w:right="11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lang w:eastAsia="zh-CN"/>
              </w:rPr>
              <w:t>修复废弃矿山面积</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restart"/>
            <w:tcBorders>
              <w:top w:val="single" w:color="000000" w:sz="4" w:space="0"/>
              <w:left w:val="single" w:color="000000" w:sz="4" w:space="0"/>
              <w:right w:val="single" w:color="000000" w:sz="4" w:space="0"/>
            </w:tcBorders>
            <w:vAlign w:val="center"/>
          </w:tcPr>
          <w:p>
            <w:pPr>
              <w:pStyle w:val="21"/>
              <w:spacing w:line="242" w:lineRule="auto"/>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产出质量</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right="148"/>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lang w:eastAsia="zh-CN"/>
              </w:rPr>
              <w:t>验收合格率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4</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right="148"/>
              <w:jc w:val="center"/>
              <w:rPr>
                <w:rFonts w:asciiTheme="minorEastAsia" w:hAnsiTheme="minorEastAsia" w:eastAsiaTheme="minorEastAsia"/>
                <w:sz w:val="21"/>
                <w:szCs w:val="21"/>
                <w:lang w:eastAsia="zh-CN"/>
              </w:rPr>
            </w:pPr>
            <w:r>
              <w:rPr>
                <w:rFonts w:asciiTheme="minorEastAsia" w:hAnsiTheme="minorEastAsia" w:eastAsiaTheme="minorEastAsia"/>
                <w:sz w:val="21"/>
                <w:lang w:eastAsia="zh-CN"/>
              </w:rPr>
              <w:t>地质环境稳定程度</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6</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right="148"/>
              <w:jc w:val="center"/>
              <w:rPr>
                <w:rFonts w:asciiTheme="minorEastAsia" w:hAnsiTheme="minorEastAsia" w:eastAsiaTheme="minorEastAsia"/>
                <w:sz w:val="21"/>
                <w:szCs w:val="21"/>
                <w:lang w:eastAsia="en-US"/>
              </w:rPr>
            </w:pPr>
            <w:r>
              <w:rPr>
                <w:rFonts w:asciiTheme="minorEastAsia" w:hAnsiTheme="minorEastAsia" w:eastAsiaTheme="minorEastAsia"/>
                <w:sz w:val="21"/>
                <w:lang w:eastAsia="zh-CN"/>
              </w:rPr>
              <w:t>与周边生态状况的和谐度</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6</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right="148"/>
              <w:jc w:val="center"/>
              <w:rPr>
                <w:rFonts w:asciiTheme="minorEastAsia" w:hAnsiTheme="minorEastAsia" w:eastAsiaTheme="minorEastAsia"/>
                <w:sz w:val="21"/>
                <w:szCs w:val="21"/>
                <w:lang w:eastAsia="zh-CN"/>
              </w:rPr>
            </w:pPr>
            <w:r>
              <w:rPr>
                <w:rFonts w:asciiTheme="minorEastAsia" w:hAnsiTheme="minorEastAsia" w:eastAsiaTheme="minorEastAsia"/>
                <w:sz w:val="21"/>
                <w:lang w:eastAsia="zh-CN"/>
              </w:rPr>
              <w:t>土地利用与国土空间规划的符合度</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zh-CN"/>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zh-CN"/>
              </w:rPr>
            </w:pPr>
          </w:p>
        </w:tc>
        <w:tc>
          <w:tcPr>
            <w:tcW w:w="1559" w:type="dxa"/>
            <w:vMerge w:val="restart"/>
            <w:tcBorders>
              <w:top w:val="single" w:color="000000" w:sz="4" w:space="0"/>
              <w:left w:val="single" w:color="000000" w:sz="4" w:space="0"/>
              <w:right w:val="single" w:color="000000" w:sz="4" w:space="0"/>
            </w:tcBorders>
            <w:vAlign w:val="center"/>
          </w:tcPr>
          <w:p>
            <w:pPr>
              <w:pStyle w:val="21"/>
              <w:spacing w:line="242" w:lineRule="auto"/>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产出时效</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spacing w:before="102"/>
              <w:ind w:right="148"/>
              <w:jc w:val="center"/>
              <w:rPr>
                <w:rFonts w:asciiTheme="minorEastAsia" w:hAnsiTheme="minorEastAsia" w:eastAsiaTheme="minorEastAsia"/>
                <w:sz w:val="21"/>
                <w:szCs w:val="21"/>
                <w:lang w:eastAsia="en-US"/>
              </w:rPr>
            </w:pPr>
            <w:r>
              <w:rPr>
                <w:rFonts w:asciiTheme="minorEastAsia" w:hAnsiTheme="minorEastAsia" w:eastAsiaTheme="minorEastAsia"/>
                <w:sz w:val="21"/>
                <w:lang w:eastAsia="zh-CN"/>
              </w:rPr>
              <w:t>编制勘查设计</w:t>
            </w:r>
            <w:r>
              <w:rPr>
                <w:rFonts w:hint="eastAsia" w:asciiTheme="minorEastAsia" w:hAnsiTheme="minorEastAsia" w:eastAsiaTheme="minorEastAsia"/>
                <w:sz w:val="21"/>
                <w:lang w:eastAsia="zh-CN"/>
              </w:rPr>
              <w:t>及时性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spacing w:before="1"/>
              <w:ind w:left="420"/>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spacing w:before="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right="14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lang w:eastAsia="zh-CN"/>
              </w:rPr>
              <w:t>按时开工率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spacing w:before="1"/>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spacing w:before="1"/>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spacing w:before="97" w:line="242" w:lineRule="auto"/>
              <w:ind w:right="14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lang w:eastAsia="zh-CN"/>
              </w:rPr>
              <w:t>及时完工率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spacing w:before="1"/>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spacing w:before="1"/>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tcBorders>
              <w:top w:val="single" w:color="000000" w:sz="4" w:space="0"/>
              <w:left w:val="single" w:color="000000" w:sz="4" w:space="0"/>
              <w:right w:val="single" w:color="000000" w:sz="4" w:space="0"/>
            </w:tcBorders>
            <w:vAlign w:val="center"/>
          </w:tcPr>
          <w:p>
            <w:pPr>
              <w:pStyle w:val="21"/>
              <w:spacing w:before="101" w:line="242" w:lineRule="auto"/>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产出成本</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ind w:right="99"/>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成本控制</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firstLine="105" w:firstLineChars="50"/>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restart"/>
            <w:tcBorders>
              <w:left w:val="single" w:color="000000" w:sz="4" w:space="0"/>
              <w:right w:val="single" w:color="000000" w:sz="4" w:space="0"/>
            </w:tcBorders>
            <w:vAlign w:val="center"/>
          </w:tcPr>
          <w:p>
            <w:pPr>
              <w:pStyle w:val="21"/>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效益</w:t>
            </w:r>
          </w:p>
        </w:tc>
        <w:tc>
          <w:tcPr>
            <w:tcW w:w="851" w:type="dxa"/>
            <w:vMerge w:val="restart"/>
            <w:tcBorders>
              <w:left w:val="single" w:color="000000" w:sz="4" w:space="0"/>
              <w:right w:val="single" w:color="000000" w:sz="4" w:space="0"/>
            </w:tcBorders>
            <w:vAlign w:val="center"/>
          </w:tcPr>
          <w:p>
            <w:pPr>
              <w:pStyle w:val="21"/>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25</w:t>
            </w:r>
          </w:p>
        </w:tc>
        <w:tc>
          <w:tcPr>
            <w:tcW w:w="1559" w:type="dxa"/>
            <w:vMerge w:val="restart"/>
            <w:tcBorders>
              <w:left w:val="single" w:color="000000" w:sz="4" w:space="0"/>
              <w:right w:val="single" w:color="000000" w:sz="4" w:space="0"/>
            </w:tcBorders>
            <w:vAlign w:val="center"/>
          </w:tcPr>
          <w:p>
            <w:pPr>
              <w:pStyle w:val="21"/>
              <w:spacing w:line="242" w:lineRule="auto"/>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社会效益</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ind w:right="99"/>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带动社会资本投资</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spacing w:before="5"/>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spacing w:before="5"/>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pStyle w:val="21"/>
              <w:jc w:val="center"/>
              <w:rPr>
                <w:rFonts w:asciiTheme="minorEastAsia" w:hAnsiTheme="minorEastAsia" w:eastAsiaTheme="minorEastAsia"/>
                <w:sz w:val="21"/>
                <w:szCs w:val="21"/>
                <w:lang w:eastAsia="en-US"/>
              </w:rPr>
            </w:pPr>
          </w:p>
        </w:tc>
        <w:tc>
          <w:tcPr>
            <w:tcW w:w="851" w:type="dxa"/>
            <w:vMerge w:val="continue"/>
            <w:tcBorders>
              <w:left w:val="single" w:color="000000" w:sz="4" w:space="0"/>
              <w:right w:val="single" w:color="000000" w:sz="4" w:space="0"/>
            </w:tcBorders>
            <w:vAlign w:val="center"/>
          </w:tcPr>
          <w:p>
            <w:pPr>
              <w:pStyle w:val="21"/>
              <w:jc w:val="center"/>
              <w:rPr>
                <w:rFonts w:asciiTheme="minorEastAsia" w:hAnsiTheme="minorEastAsia" w:eastAsiaTheme="minorEastAsia"/>
                <w:sz w:val="21"/>
                <w:szCs w:val="21"/>
                <w:lang w:eastAsia="en-US"/>
              </w:rPr>
            </w:pPr>
          </w:p>
        </w:tc>
        <w:tc>
          <w:tcPr>
            <w:tcW w:w="1559" w:type="dxa"/>
            <w:vMerge w:val="continue"/>
            <w:tcBorders>
              <w:left w:val="single" w:color="000000" w:sz="4" w:space="0"/>
              <w:right w:val="single" w:color="000000" w:sz="4" w:space="0"/>
            </w:tcBorders>
            <w:vAlign w:val="center"/>
          </w:tcPr>
          <w:p>
            <w:pPr>
              <w:pStyle w:val="21"/>
              <w:spacing w:line="242" w:lineRule="auto"/>
              <w:ind w:left="420" w:right="191"/>
              <w:jc w:val="both"/>
              <w:rPr>
                <w:rFonts w:asciiTheme="minorEastAsia" w:hAnsiTheme="minorEastAsia" w:eastAsiaTheme="minorEastAsia"/>
                <w:sz w:val="21"/>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ind w:right="99"/>
              <w:jc w:val="center"/>
              <w:rPr>
                <w:rFonts w:asciiTheme="minorEastAsia" w:hAnsiTheme="minorEastAsia" w:eastAsiaTheme="minorEastAsia"/>
                <w:sz w:val="21"/>
                <w:lang w:eastAsia="zh-CN"/>
              </w:rPr>
            </w:pPr>
            <w:r>
              <w:rPr>
                <w:rFonts w:asciiTheme="minorEastAsia" w:hAnsiTheme="minorEastAsia" w:eastAsiaTheme="minorEastAsia"/>
                <w:sz w:val="21"/>
                <w:lang w:eastAsia="zh-CN"/>
              </w:rPr>
              <w:t>矿山地质灾害隐患</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spacing w:before="5"/>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spacing w:before="5"/>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pStyle w:val="21"/>
              <w:jc w:val="center"/>
              <w:rPr>
                <w:rFonts w:asciiTheme="minorEastAsia" w:hAnsiTheme="minorEastAsia" w:eastAsiaTheme="minorEastAsia"/>
                <w:sz w:val="21"/>
                <w:szCs w:val="21"/>
                <w:lang w:eastAsia="en-US"/>
              </w:rPr>
            </w:pPr>
          </w:p>
        </w:tc>
        <w:tc>
          <w:tcPr>
            <w:tcW w:w="851" w:type="dxa"/>
            <w:vMerge w:val="continue"/>
            <w:tcBorders>
              <w:left w:val="single" w:color="000000" w:sz="4" w:space="0"/>
              <w:right w:val="single" w:color="000000" w:sz="4" w:space="0"/>
            </w:tcBorders>
            <w:vAlign w:val="center"/>
          </w:tcPr>
          <w:p>
            <w:pPr>
              <w:pStyle w:val="21"/>
              <w:jc w:val="center"/>
              <w:rPr>
                <w:rFonts w:asciiTheme="minorEastAsia" w:hAnsiTheme="minorEastAsia" w:eastAsiaTheme="minorEastAsia"/>
                <w:sz w:val="21"/>
                <w:szCs w:val="21"/>
                <w:lang w:eastAsia="en-US"/>
              </w:rPr>
            </w:pPr>
          </w:p>
        </w:tc>
        <w:tc>
          <w:tcPr>
            <w:tcW w:w="1559" w:type="dxa"/>
            <w:vMerge w:val="continue"/>
            <w:tcBorders>
              <w:left w:val="single" w:color="000000" w:sz="4" w:space="0"/>
              <w:right w:val="single" w:color="000000" w:sz="4" w:space="0"/>
            </w:tcBorders>
            <w:vAlign w:val="center"/>
          </w:tcPr>
          <w:p>
            <w:pPr>
              <w:pStyle w:val="21"/>
              <w:spacing w:line="242" w:lineRule="auto"/>
              <w:ind w:left="420" w:right="191"/>
              <w:jc w:val="both"/>
              <w:rPr>
                <w:rFonts w:asciiTheme="minorEastAsia" w:hAnsiTheme="minorEastAsia" w:eastAsiaTheme="minorEastAsia"/>
                <w:sz w:val="21"/>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ind w:right="99"/>
              <w:jc w:val="center"/>
              <w:rPr>
                <w:rFonts w:asciiTheme="minorEastAsia" w:hAnsiTheme="minorEastAsia" w:eastAsiaTheme="minorEastAsia"/>
                <w:sz w:val="21"/>
                <w:lang w:eastAsia="zh-CN"/>
              </w:rPr>
            </w:pPr>
            <w:r>
              <w:rPr>
                <w:rFonts w:asciiTheme="minorEastAsia" w:hAnsiTheme="minorEastAsia" w:eastAsiaTheme="minorEastAsia"/>
                <w:sz w:val="21"/>
                <w:lang w:eastAsia="zh-CN"/>
              </w:rPr>
              <w:t>群众生命财产安全保障</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spacing w:before="5"/>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spacing w:before="5"/>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zh-CN"/>
              </w:rPr>
            </w:pPr>
          </w:p>
        </w:tc>
        <w:tc>
          <w:tcPr>
            <w:tcW w:w="851"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zh-CN"/>
              </w:rPr>
            </w:pPr>
          </w:p>
        </w:tc>
        <w:tc>
          <w:tcPr>
            <w:tcW w:w="1559" w:type="dxa"/>
            <w:vMerge w:val="restart"/>
            <w:tcBorders>
              <w:top w:val="single" w:color="000000" w:sz="4" w:space="0"/>
              <w:left w:val="single" w:color="000000" w:sz="4" w:space="0"/>
              <w:right w:val="single" w:color="000000" w:sz="4" w:space="0"/>
            </w:tcBorders>
            <w:vAlign w:val="center"/>
          </w:tcPr>
          <w:p>
            <w:pPr>
              <w:pStyle w:val="21"/>
              <w:spacing w:before="102"/>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生态效益</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right="148"/>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lang w:eastAsia="zh-CN"/>
              </w:rPr>
              <w:t>生态环境改善情况</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firstLine="105" w:firstLineChars="5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1559" w:type="dxa"/>
            <w:vMerge w:val="continue"/>
            <w:tcBorders>
              <w:left w:val="single" w:color="000000" w:sz="4" w:space="0"/>
              <w:right w:val="single" w:color="000000" w:sz="4" w:space="0"/>
            </w:tcBorders>
            <w:vAlign w:val="center"/>
          </w:tcPr>
          <w:p>
            <w:pPr>
              <w:pStyle w:val="21"/>
              <w:spacing w:before="102"/>
              <w:ind w:left="420" w:right="191"/>
              <w:jc w:val="both"/>
              <w:rPr>
                <w:rFonts w:asciiTheme="minorEastAsia" w:hAnsiTheme="minorEastAsia" w:eastAsiaTheme="minorEastAsia"/>
                <w:sz w:val="21"/>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right="14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lang w:eastAsia="zh-CN"/>
              </w:rPr>
              <w:t>露天矿场扬尘情况</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firstLine="105" w:firstLineChars="5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1559" w:type="dxa"/>
            <w:vMerge w:val="continue"/>
            <w:tcBorders>
              <w:left w:val="single" w:color="000000" w:sz="4" w:space="0"/>
              <w:right w:val="single" w:color="000000" w:sz="4" w:space="0"/>
            </w:tcBorders>
            <w:vAlign w:val="center"/>
          </w:tcPr>
          <w:p>
            <w:pPr>
              <w:pStyle w:val="21"/>
              <w:spacing w:before="102"/>
              <w:ind w:left="420" w:right="191"/>
              <w:jc w:val="both"/>
              <w:rPr>
                <w:rFonts w:asciiTheme="minorEastAsia" w:hAnsiTheme="minorEastAsia" w:eastAsiaTheme="minorEastAsia"/>
                <w:sz w:val="21"/>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1"/>
              <w:spacing w:before="102" w:line="242" w:lineRule="auto"/>
              <w:ind w:right="14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lang w:eastAsia="zh-CN"/>
              </w:rPr>
              <w:t>露天矿场视觉污染</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firstLine="105" w:firstLineChars="5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1559" w:type="dxa"/>
            <w:tcBorders>
              <w:top w:val="single" w:color="000000" w:sz="4" w:space="0"/>
              <w:left w:val="single" w:color="000000" w:sz="4" w:space="0"/>
              <w:right w:val="single" w:color="000000" w:sz="4" w:space="0"/>
            </w:tcBorders>
            <w:vAlign w:val="center"/>
          </w:tcPr>
          <w:p>
            <w:pPr>
              <w:pStyle w:val="21"/>
              <w:spacing w:before="102"/>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满意度</w:t>
            </w:r>
          </w:p>
        </w:tc>
        <w:tc>
          <w:tcPr>
            <w:tcW w:w="2552" w:type="dxa"/>
            <w:tcBorders>
              <w:top w:val="single" w:color="000000" w:sz="4" w:space="0"/>
              <w:left w:val="single" w:color="000000" w:sz="4" w:space="0"/>
              <w:right w:val="single" w:color="000000" w:sz="4" w:space="0"/>
            </w:tcBorders>
            <w:vAlign w:val="center"/>
          </w:tcPr>
          <w:p>
            <w:pPr>
              <w:pStyle w:val="21"/>
              <w:spacing w:before="5"/>
              <w:jc w:val="center"/>
              <w:rPr>
                <w:rFonts w:asciiTheme="minorEastAsia" w:hAnsiTheme="minorEastAsia" w:eastAsiaTheme="minorEastAsia"/>
                <w:szCs w:val="24"/>
                <w:lang w:eastAsia="en-US"/>
              </w:rPr>
            </w:pPr>
            <w:r>
              <w:rPr>
                <w:rFonts w:hint="eastAsia" w:asciiTheme="minorEastAsia" w:hAnsiTheme="minorEastAsia" w:eastAsiaTheme="minorEastAsia"/>
                <w:sz w:val="21"/>
                <w:lang w:eastAsia="zh-CN"/>
              </w:rPr>
              <w:t>公众</w:t>
            </w:r>
            <w:r>
              <w:rPr>
                <w:rFonts w:hint="eastAsia" w:asciiTheme="minorEastAsia" w:hAnsiTheme="minorEastAsia" w:eastAsiaTheme="minorEastAsia"/>
                <w:sz w:val="21"/>
                <w:lang w:eastAsia="en-US"/>
              </w:rPr>
              <w:t>满意度</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firstLine="105" w:firstLineChars="50"/>
              <w:rPr>
                <w:rFonts w:asciiTheme="minorEastAsia" w:hAnsiTheme="minorEastAsia" w:eastAsiaTheme="minorEastAsia"/>
                <w:sz w:val="21"/>
                <w:szCs w:val="21"/>
                <w:lang w:eastAsia="en-US"/>
              </w:rPr>
            </w:pPr>
            <w:r>
              <w:rPr>
                <w:rFonts w:asciiTheme="minorEastAsia" w:hAnsiTheme="minorEastAsia" w:eastAsiaTheme="minorEastAsia"/>
                <w:sz w:val="21"/>
                <w:szCs w:val="21"/>
                <w:lang w:eastAsia="en-US"/>
              </w:rPr>
              <w:t>6</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6101" w:type="dxa"/>
            <w:gridSpan w:val="4"/>
            <w:tcBorders>
              <w:left w:val="single" w:color="000000" w:sz="4" w:space="0"/>
              <w:right w:val="single" w:color="000000" w:sz="4" w:space="0"/>
            </w:tcBorders>
            <w:vAlign w:val="center"/>
          </w:tcPr>
          <w:p>
            <w:pPr>
              <w:pStyle w:val="21"/>
              <w:spacing w:before="5"/>
              <w:jc w:val="center"/>
              <w:rPr>
                <w:rFonts w:asciiTheme="minorEastAsia" w:hAnsiTheme="minorEastAsia" w:eastAsiaTheme="minorEastAsia"/>
                <w:szCs w:val="24"/>
                <w:lang w:eastAsia="en-US"/>
              </w:rPr>
            </w:pPr>
            <w:r>
              <w:rPr>
                <w:rFonts w:hint="eastAsia" w:asciiTheme="minorEastAsia" w:hAnsiTheme="minorEastAsia" w:eastAsiaTheme="minorEastAsia"/>
                <w:szCs w:val="24"/>
                <w:lang w:eastAsia="en-US"/>
              </w:rPr>
              <w:t>合计</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firstLine="105" w:firstLineChars="50"/>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100</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1"/>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80.3</w:t>
            </w:r>
          </w:p>
        </w:tc>
      </w:tr>
    </w:tbl>
    <w:p>
      <w:pPr>
        <w:pStyle w:val="2"/>
        <w:rPr>
          <w:rFonts w:asciiTheme="minorEastAsia" w:hAnsiTheme="minorEastAsia"/>
          <w:sz w:val="32"/>
          <w:szCs w:val="32"/>
        </w:rPr>
      </w:pPr>
      <w:bookmarkStart w:id="20" w:name="_Toc93918214"/>
      <w:r>
        <w:rPr>
          <w:rFonts w:hint="eastAsia" w:asciiTheme="minorEastAsia" w:hAnsiTheme="minorEastAsia"/>
          <w:sz w:val="32"/>
          <w:szCs w:val="32"/>
        </w:rPr>
        <w:t>五</w:t>
      </w:r>
      <w:r>
        <w:rPr>
          <w:rFonts w:hint="eastAsia"/>
          <w:sz w:val="32"/>
          <w:szCs w:val="32"/>
        </w:rPr>
        <w:t>、</w:t>
      </w:r>
      <w:r>
        <w:rPr>
          <w:rFonts w:hint="eastAsia" w:asciiTheme="minorEastAsia" w:hAnsiTheme="minorEastAsia"/>
          <w:sz w:val="32"/>
          <w:szCs w:val="32"/>
        </w:rPr>
        <w:t>主要经验及做法</w:t>
      </w:r>
      <w:bookmarkEnd w:id="20"/>
    </w:p>
    <w:p>
      <w:pPr>
        <w:spacing w:before="156" w:beforeLines="50" w:after="156" w:afterLines="50" w:line="360" w:lineRule="auto"/>
        <w:ind w:left="105" w:leftChars="50" w:right="105" w:rightChars="50" w:firstLine="600" w:firstLineChars="200"/>
        <w:rPr>
          <w:sz w:val="30"/>
          <w:szCs w:val="30"/>
        </w:rPr>
      </w:pPr>
      <w:r>
        <w:rPr>
          <w:rFonts w:hint="eastAsia"/>
          <w:sz w:val="30"/>
          <w:szCs w:val="30"/>
        </w:rPr>
        <w:t>黄河流域历史遗留废弃矿山治理项目实施旨在改善历史遗留矿区的生态环境，保障矿区居民的生命财产安全，主要经验及做法如下：</w:t>
      </w:r>
    </w:p>
    <w:p>
      <w:pPr>
        <w:pStyle w:val="15"/>
        <w:numPr>
          <w:ilvl w:val="0"/>
          <w:numId w:val="2"/>
        </w:numPr>
        <w:ind w:firstLineChars="0"/>
        <w:rPr>
          <w:b/>
          <w:sz w:val="30"/>
          <w:szCs w:val="30"/>
        </w:rPr>
      </w:pPr>
      <w:r>
        <w:rPr>
          <w:rFonts w:hint="eastAsia"/>
          <w:b/>
          <w:sz w:val="30"/>
          <w:szCs w:val="30"/>
        </w:rPr>
        <w:t>绩效目标明确。</w:t>
      </w:r>
      <w:r>
        <w:rPr>
          <w:rFonts w:hint="eastAsia"/>
          <w:sz w:val="30"/>
          <w:szCs w:val="30"/>
        </w:rPr>
        <w:t>项目绩效目标明确，</w:t>
      </w:r>
      <w:r>
        <w:rPr>
          <w:rFonts w:hint="eastAsia"/>
          <w:color w:val="000000" w:themeColor="text1"/>
          <w:sz w:val="30"/>
          <w:szCs w:val="30"/>
        </w:rPr>
        <w:t>根据开展历史遗留工矿废弃生态保护修复治理，完成自然资源部下达图斑治理，改善区域生态环境，提升区域生态环境质量，降低区域矿山地质灾害的发生率，保障区域生态安全，促进黄河流域生态保护和高质量发展，</w:t>
      </w:r>
      <w:r>
        <w:rPr>
          <w:rFonts w:hint="eastAsia"/>
          <w:sz w:val="30"/>
          <w:szCs w:val="30"/>
        </w:rPr>
        <w:t>符合实际情况。</w:t>
      </w:r>
    </w:p>
    <w:p>
      <w:pPr>
        <w:pStyle w:val="15"/>
        <w:numPr>
          <w:ilvl w:val="0"/>
          <w:numId w:val="2"/>
        </w:numPr>
        <w:ind w:firstLineChars="0"/>
        <w:rPr>
          <w:b/>
          <w:sz w:val="30"/>
          <w:szCs w:val="30"/>
        </w:rPr>
      </w:pPr>
      <w:r>
        <w:rPr>
          <w:rFonts w:hint="eastAsia"/>
          <w:b/>
          <w:sz w:val="30"/>
          <w:szCs w:val="30"/>
        </w:rPr>
        <w:t>财务制度健全，资金使用合理</w:t>
      </w:r>
      <w:r>
        <w:rPr>
          <w:rFonts w:hint="eastAsia"/>
          <w:sz w:val="30"/>
          <w:szCs w:val="30"/>
        </w:rPr>
        <w:t>。项目的预算编制经过科学论证，预算资金分配合理。财务及资金管理制度健全，支付手续合规，且项目实施过程中能够严格按照管理制度执行。</w:t>
      </w:r>
    </w:p>
    <w:p>
      <w:pPr>
        <w:pStyle w:val="15"/>
        <w:numPr>
          <w:ilvl w:val="0"/>
          <w:numId w:val="2"/>
        </w:numPr>
        <w:spacing w:before="156" w:beforeLines="50" w:after="156" w:afterLines="50" w:line="360" w:lineRule="auto"/>
        <w:ind w:right="105" w:rightChars="50" w:firstLineChars="0"/>
        <w:rPr>
          <w:rFonts w:ascii="Times New Roman" w:hAnsi="Times New Roman" w:cs="Times New Roman" w:eastAsiaTheme="majorEastAsia"/>
          <w:kern w:val="0"/>
          <w:sz w:val="28"/>
          <w:szCs w:val="28"/>
          <w:lang w:bidi="zh-CN"/>
        </w:rPr>
      </w:pPr>
      <w:r>
        <w:rPr>
          <w:rFonts w:hint="eastAsia"/>
          <w:b/>
          <w:sz w:val="30"/>
          <w:szCs w:val="30"/>
        </w:rPr>
        <w:t>项目实施效果显著</w:t>
      </w:r>
      <w:r>
        <w:rPr>
          <w:rFonts w:hint="eastAsia"/>
          <w:sz w:val="30"/>
          <w:szCs w:val="30"/>
        </w:rPr>
        <w:t>。本次项目主要针对陕州区5个历史遗留废弃矿山的综合环境治理，治理面积达到47.07公顷</w:t>
      </w:r>
      <w:r>
        <w:rPr>
          <w:rFonts w:hint="eastAsia"/>
          <w:b/>
          <w:szCs w:val="30"/>
        </w:rPr>
        <w:t>，</w:t>
      </w:r>
      <w:r>
        <w:rPr>
          <w:rFonts w:hint="eastAsia"/>
          <w:sz w:val="30"/>
          <w:szCs w:val="30"/>
        </w:rPr>
        <w:t>通过项目实施，达到了预期的社会效益及生态效益，使矿区的生态环境有了很大的改善，提高了整体地质环境的稳定性，进一步优化了矿山区域与周边区域的环境和谐度。</w:t>
      </w:r>
      <w:r>
        <w:rPr>
          <w:rFonts w:ascii="Times New Roman" w:hAnsi="Times New Roman" w:cs="Times New Roman" w:eastAsiaTheme="majorEastAsia"/>
          <w:kern w:val="0"/>
          <w:sz w:val="28"/>
          <w:szCs w:val="28"/>
          <w:lang w:bidi="zh-CN"/>
        </w:rPr>
        <w:t>有效减少</w:t>
      </w:r>
      <w:r>
        <w:rPr>
          <w:rFonts w:hint="eastAsia" w:ascii="Times New Roman" w:hAnsi="Times New Roman" w:cs="Times New Roman" w:eastAsiaTheme="majorEastAsia"/>
          <w:kern w:val="0"/>
          <w:sz w:val="28"/>
          <w:szCs w:val="28"/>
          <w:lang w:bidi="zh-CN"/>
        </w:rPr>
        <w:t>了陕州区区域内</w:t>
      </w:r>
      <w:r>
        <w:rPr>
          <w:rFonts w:ascii="Times New Roman" w:hAnsi="Times New Roman" w:cs="Times New Roman" w:eastAsiaTheme="majorEastAsia"/>
          <w:kern w:val="0"/>
          <w:sz w:val="28"/>
          <w:szCs w:val="28"/>
          <w:lang w:bidi="zh-CN"/>
        </w:rPr>
        <w:t>历史遗留废弃工矿土地存量，明显提升区域生态环境质量，</w:t>
      </w:r>
      <w:r>
        <w:rPr>
          <w:rFonts w:hint="eastAsia" w:ascii="Times New Roman" w:hAnsi="Times New Roman" w:cs="Times New Roman" w:eastAsiaTheme="majorEastAsia"/>
          <w:kern w:val="0"/>
          <w:sz w:val="28"/>
          <w:szCs w:val="28"/>
          <w:lang w:bidi="zh-CN"/>
        </w:rPr>
        <w:t>对于矿区的治理将有效的降低水土流失以及滑坡坍塌等自然灾害的发生，进一步优化了区域内的生态环境质量，不仅保障了区域内群众的生命财产安全，而且改善了居民的生活质量</w:t>
      </w:r>
      <w:r>
        <w:rPr>
          <w:rFonts w:ascii="Times New Roman" w:hAnsi="Times New Roman" w:cs="Times New Roman" w:eastAsiaTheme="majorEastAsia"/>
          <w:kern w:val="0"/>
          <w:sz w:val="28"/>
          <w:szCs w:val="28"/>
          <w:lang w:bidi="zh-CN"/>
        </w:rPr>
        <w:t>。</w:t>
      </w:r>
    </w:p>
    <w:p>
      <w:pPr>
        <w:pStyle w:val="3"/>
        <w:rPr>
          <w:sz w:val="30"/>
          <w:szCs w:val="30"/>
        </w:rPr>
      </w:pPr>
      <w:bookmarkStart w:id="21" w:name="_Toc93918216"/>
      <w:r>
        <w:rPr>
          <w:rFonts w:hint="eastAsia"/>
          <w:sz w:val="30"/>
          <w:szCs w:val="30"/>
        </w:rPr>
        <w:t>六、</w:t>
      </w:r>
      <w:r>
        <w:rPr>
          <w:rFonts w:hint="eastAsia" w:asciiTheme="minorEastAsia" w:hAnsiTheme="minorEastAsia"/>
          <w:sz w:val="30"/>
          <w:szCs w:val="30"/>
        </w:rPr>
        <w:t>存在的问题及</w:t>
      </w:r>
      <w:bookmarkEnd w:id="21"/>
      <w:r>
        <w:rPr>
          <w:rFonts w:hint="eastAsia" w:asciiTheme="minorEastAsia" w:hAnsiTheme="minorEastAsia"/>
          <w:sz w:val="30"/>
          <w:szCs w:val="30"/>
        </w:rPr>
        <w:t>相关建议</w:t>
      </w:r>
    </w:p>
    <w:p>
      <w:pPr>
        <w:spacing w:before="156" w:beforeLines="50" w:after="156" w:afterLines="50" w:line="360" w:lineRule="auto"/>
        <w:ind w:left="105" w:leftChars="50" w:right="105" w:rightChars="50" w:firstLine="602" w:firstLineChars="200"/>
        <w:rPr>
          <w:rFonts w:asciiTheme="minorEastAsia" w:hAnsiTheme="minorEastAsia"/>
          <w:sz w:val="30"/>
          <w:szCs w:val="30"/>
        </w:rPr>
      </w:pPr>
      <w:r>
        <w:rPr>
          <w:rFonts w:hint="eastAsia" w:asciiTheme="minorEastAsia" w:hAnsiTheme="minorEastAsia"/>
          <w:b/>
          <w:sz w:val="30"/>
          <w:szCs w:val="30"/>
        </w:rPr>
        <w:t>1.工作档案不够完善，分类有序。</w:t>
      </w:r>
      <w:r>
        <w:rPr>
          <w:rFonts w:hint="eastAsia" w:asciiTheme="minorEastAsia" w:hAnsiTheme="minorEastAsia"/>
          <w:sz w:val="30"/>
          <w:szCs w:val="30"/>
        </w:rPr>
        <w:t>评价组在绩效评价过程中发现项目前期可研报告及二、四标段合同及支付相关材料不够完善。对于财政资金以外的项目资金监管意识不足，没有建立完善的监管程序，因此无法监控绩效目标完成情况。</w:t>
      </w:r>
    </w:p>
    <w:p>
      <w:pPr>
        <w:spacing w:before="156" w:beforeLines="50" w:after="156" w:afterLines="50" w:line="360" w:lineRule="auto"/>
        <w:ind w:left="105" w:leftChars="50" w:right="105" w:rightChars="50" w:firstLine="602" w:firstLineChars="200"/>
        <w:rPr>
          <w:rFonts w:asciiTheme="minorEastAsia" w:hAnsiTheme="minorEastAsia"/>
          <w:sz w:val="30"/>
          <w:szCs w:val="30"/>
        </w:rPr>
      </w:pPr>
      <w:r>
        <w:rPr>
          <w:rFonts w:hint="eastAsia" w:asciiTheme="minorEastAsia" w:hAnsiTheme="minorEastAsia"/>
          <w:b/>
          <w:sz w:val="30"/>
          <w:szCs w:val="30"/>
        </w:rPr>
        <w:t>相关建议</w:t>
      </w:r>
      <w:r>
        <w:rPr>
          <w:rFonts w:hint="eastAsia" w:asciiTheme="minorEastAsia" w:hAnsiTheme="minorEastAsia"/>
          <w:sz w:val="30"/>
          <w:szCs w:val="30"/>
        </w:rPr>
        <w:t>：</w:t>
      </w:r>
      <w:r>
        <w:rPr>
          <w:rFonts w:hint="eastAsia" w:asciiTheme="minorEastAsia" w:hAnsiTheme="minorEastAsia"/>
          <w:b/>
          <w:sz w:val="30"/>
          <w:szCs w:val="30"/>
        </w:rPr>
        <w:t>构建全过程预算绩效管理链条，提高绩效评价工作的意识。</w:t>
      </w:r>
      <w:r>
        <w:rPr>
          <w:rFonts w:hint="eastAsia" w:asciiTheme="minorEastAsia" w:hAnsiTheme="minorEastAsia"/>
          <w:sz w:val="30"/>
          <w:szCs w:val="30"/>
        </w:rPr>
        <w:t>通过在申请预算阶段明确绩效目标、在运行阶段进行绩效监控、并在不同节点实施绩效自评价既能有效保障政策目标的实现，又不会干预项目决策和实施。提高绩效评价工作意识，有利于提高工作效率，能及时发现项目实施过程中存在的问题，及时予以完善和纠正。</w:t>
      </w:r>
      <w:r>
        <w:rPr>
          <w:rFonts w:hint="eastAsia" w:asciiTheme="minorEastAsia" w:hAnsiTheme="minorEastAsia"/>
          <w:b/>
          <w:sz w:val="30"/>
          <w:szCs w:val="30"/>
        </w:rPr>
        <w:t>加强项目档案的管理，</w:t>
      </w:r>
      <w:r>
        <w:rPr>
          <w:rFonts w:hint="eastAsia" w:asciiTheme="minorEastAsia" w:hAnsiTheme="minorEastAsia"/>
          <w:sz w:val="30"/>
          <w:szCs w:val="30"/>
        </w:rPr>
        <w:t>项目实施情况及实施结果，档案归整完善有利于总结工作中的不足，及时查找原因，使工作做到有理有据。</w:t>
      </w:r>
    </w:p>
    <w:p>
      <w:pPr>
        <w:spacing w:before="156" w:beforeLines="50" w:after="156" w:afterLines="50" w:line="360" w:lineRule="auto"/>
        <w:ind w:left="105" w:leftChars="50" w:right="105" w:rightChars="50" w:firstLine="602" w:firstLineChars="200"/>
        <w:rPr>
          <w:sz w:val="30"/>
          <w:szCs w:val="30"/>
        </w:rPr>
      </w:pPr>
      <w:r>
        <w:rPr>
          <w:rFonts w:hint="eastAsia" w:asciiTheme="minorEastAsia" w:hAnsiTheme="minorEastAsia"/>
          <w:b/>
          <w:sz w:val="30"/>
          <w:szCs w:val="30"/>
        </w:rPr>
        <w:t>2.资金拨付效率有待提高。</w:t>
      </w:r>
      <w:r>
        <w:rPr>
          <w:rFonts w:hint="eastAsia" w:asciiTheme="minorEastAsia" w:hAnsiTheme="minorEastAsia"/>
          <w:color w:val="000000" w:themeColor="text1"/>
          <w:sz w:val="30"/>
          <w:szCs w:val="30"/>
        </w:rPr>
        <w:t>评价组</w:t>
      </w:r>
      <w:r>
        <w:rPr>
          <w:rFonts w:hint="eastAsia"/>
          <w:sz w:val="30"/>
          <w:szCs w:val="30"/>
        </w:rPr>
        <w:t>根据资金使用及拨付情况，项目预算申报金额为1412.5万元，其中包括中央奖补资金800万，其他资金612.5万元，执行资金268万元，预算资金到位率33.5%，整体而言，资金到位率及资金执行率较低。</w:t>
      </w:r>
    </w:p>
    <w:p>
      <w:pPr>
        <w:spacing w:before="156" w:beforeLines="50" w:after="156" w:afterLines="50" w:line="360" w:lineRule="auto"/>
        <w:ind w:left="105" w:leftChars="50" w:right="105" w:rightChars="50" w:firstLine="602" w:firstLineChars="200"/>
        <w:rPr>
          <w:rFonts w:asciiTheme="minorEastAsia" w:hAnsiTheme="minorEastAsia"/>
          <w:sz w:val="30"/>
          <w:szCs w:val="30"/>
        </w:rPr>
      </w:pPr>
      <w:r>
        <w:rPr>
          <w:rFonts w:hint="eastAsia"/>
          <w:b/>
          <w:sz w:val="30"/>
          <w:szCs w:val="30"/>
        </w:rPr>
        <w:t>相关建议</w:t>
      </w:r>
      <w:r>
        <w:rPr>
          <w:rFonts w:hint="eastAsia"/>
          <w:sz w:val="30"/>
          <w:szCs w:val="30"/>
        </w:rPr>
        <w:t>：</w:t>
      </w:r>
      <w:r>
        <w:rPr>
          <w:rFonts w:hint="eastAsia" w:asciiTheme="minorEastAsia" w:hAnsiTheme="minorEastAsia"/>
          <w:b/>
          <w:sz w:val="30"/>
          <w:szCs w:val="30"/>
        </w:rPr>
        <w:t>提高各部门执行协调力度，提高资金拨付率。</w:t>
      </w:r>
      <w:r>
        <w:rPr>
          <w:rFonts w:hint="eastAsia"/>
          <w:sz w:val="30"/>
          <w:szCs w:val="30"/>
        </w:rPr>
        <w:t>通过年度绩效管理工作的开展，发现在项目的执行中，各部门协调配合还需要进一步加强，在以后的工作中强化部门协调，提高工作效率，争取项目资金按时拨付，</w:t>
      </w:r>
      <w:r>
        <w:rPr>
          <w:rFonts w:hint="eastAsia" w:asciiTheme="minorEastAsia" w:hAnsiTheme="minorEastAsia"/>
          <w:sz w:val="30"/>
          <w:szCs w:val="30"/>
        </w:rPr>
        <w:t>令相关负责人查找原因，并加以分析制定解决方案，防止再次出现不达标现象。必要时可以与考核机制挂钩，促使其加以重视。</w:t>
      </w:r>
    </w:p>
    <w:p>
      <w:pPr>
        <w:spacing w:before="156" w:beforeLines="50" w:after="156" w:afterLines="50" w:line="360" w:lineRule="auto"/>
        <w:ind w:left="105" w:leftChars="50" w:right="105" w:rightChars="50" w:firstLine="602" w:firstLineChars="200"/>
        <w:rPr>
          <w:rFonts w:asciiTheme="minorEastAsia" w:hAnsiTheme="minorEastAsia"/>
          <w:sz w:val="30"/>
          <w:szCs w:val="30"/>
        </w:rPr>
      </w:pPr>
      <w:r>
        <w:rPr>
          <w:rFonts w:hint="eastAsia" w:asciiTheme="minorEastAsia" w:hAnsiTheme="minorEastAsia"/>
          <w:b/>
          <w:sz w:val="30"/>
          <w:szCs w:val="30"/>
        </w:rPr>
        <w:t>3.缺乏完善的后期养护制度。</w:t>
      </w:r>
      <w:r>
        <w:rPr>
          <w:rFonts w:hint="eastAsia" w:asciiTheme="minorEastAsia" w:hAnsiTheme="minorEastAsia"/>
          <w:sz w:val="30"/>
          <w:szCs w:val="30"/>
        </w:rPr>
        <w:t>通过项目的实施矿区生态环境的治理已经初见成效，但环境的改善需要持续的管护，对项目实施区域缺乏长期有效的养护措施及制度以保障矿区生态可持续的改善和提高。</w:t>
      </w:r>
    </w:p>
    <w:p>
      <w:pPr>
        <w:spacing w:line="360" w:lineRule="auto"/>
        <w:ind w:firstLine="560"/>
        <w:rPr>
          <w:rFonts w:ascii="Times New Roman" w:hAnsi="Times New Roman" w:cs="Times New Roman" w:eastAsiaTheme="majorEastAsia"/>
          <w:sz w:val="28"/>
          <w:szCs w:val="28"/>
        </w:rPr>
      </w:pPr>
      <w:r>
        <w:rPr>
          <w:rFonts w:hint="eastAsia" w:asciiTheme="minorEastAsia" w:hAnsiTheme="minorEastAsia"/>
          <w:b/>
          <w:sz w:val="30"/>
          <w:szCs w:val="30"/>
        </w:rPr>
        <w:t>相关建议：</w:t>
      </w:r>
      <w:r>
        <w:rPr>
          <w:rFonts w:hint="eastAsia" w:ascii="Times New Roman" w:hAnsi="Times New Roman" w:cs="Times New Roman" w:eastAsiaTheme="majorEastAsia"/>
          <w:bCs/>
          <w:sz w:val="28"/>
          <w:szCs w:val="28"/>
        </w:rPr>
        <w:t>陕州区域</w:t>
      </w:r>
      <w:r>
        <w:rPr>
          <w:rFonts w:ascii="Times New Roman" w:hAnsi="Times New Roman" w:cs="Times New Roman" w:eastAsiaTheme="majorEastAsia"/>
          <w:bCs/>
          <w:sz w:val="28"/>
          <w:szCs w:val="28"/>
        </w:rPr>
        <w:t>内的历史遗留废弃矿山点多面广，部分地区废弃采坑连片聚集，渣堆顺坡堆放，严重影响周边地形地貌景观，损毁土地资源，</w:t>
      </w:r>
      <w:r>
        <w:rPr>
          <w:rFonts w:hint="eastAsia" w:ascii="Times New Roman" w:hAnsi="Times New Roman" w:cs="Times New Roman" w:eastAsiaTheme="majorEastAsia"/>
          <w:bCs/>
          <w:sz w:val="28"/>
          <w:szCs w:val="28"/>
        </w:rPr>
        <w:t>严重</w:t>
      </w:r>
      <w:r>
        <w:rPr>
          <w:rFonts w:ascii="Times New Roman" w:hAnsi="Times New Roman" w:cs="Times New Roman" w:eastAsiaTheme="majorEastAsia"/>
          <w:bCs/>
          <w:sz w:val="28"/>
          <w:szCs w:val="28"/>
        </w:rPr>
        <w:t>影响黄河干流生态安全</w:t>
      </w:r>
      <w:r>
        <w:rPr>
          <w:rFonts w:hint="eastAsia" w:ascii="Times New Roman" w:hAnsi="Times New Roman" w:cs="Times New Roman" w:eastAsiaTheme="majorEastAsia"/>
          <w:bCs/>
          <w:sz w:val="28"/>
          <w:szCs w:val="28"/>
        </w:rPr>
        <w:t>。黄河流域废弃矿山治理工程的实施具有重要的社会意义和生态意义，但</w:t>
      </w:r>
      <w:r>
        <w:rPr>
          <w:rFonts w:hint="eastAsia" w:asciiTheme="minorEastAsia" w:hAnsiTheme="minorEastAsia"/>
          <w:sz w:val="30"/>
          <w:szCs w:val="30"/>
        </w:rPr>
        <w:t>项目完工验收并非项目的完结，建立长期有效的养护制度，健全的养护管理机制，确保矿区环境可持续的改善和提高才能将项目实施的社会效益和生态效益最大化，</w:t>
      </w:r>
      <w:r>
        <w:rPr>
          <w:rFonts w:ascii="Times New Roman" w:hAnsi="Times New Roman" w:cs="Times New Roman" w:eastAsiaTheme="majorEastAsia"/>
          <w:sz w:val="28"/>
          <w:szCs w:val="28"/>
        </w:rPr>
        <w:t>切实做好绿色发展，把黄河建设成传承历史的文脉河、造福人民的幸福河。</w:t>
      </w:r>
    </w:p>
    <w:p>
      <w:pPr>
        <w:ind w:firstLine="560"/>
        <w:rPr>
          <w:rFonts w:ascii="Times New Roman" w:hAnsi="Times New Roman" w:cs="Times New Roman" w:eastAsiaTheme="majorEastAsia"/>
          <w:bCs/>
          <w:sz w:val="28"/>
          <w:szCs w:val="28"/>
        </w:rPr>
      </w:pPr>
    </w:p>
    <w:sectPr>
      <w:footerReference r:id="rId4" w:type="default"/>
      <w:type w:val="continuous"/>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0353131"/>
    </w:sdtPr>
    <w:sdtContent>
      <w:p>
        <w:pPr>
          <w:pStyle w:val="7"/>
          <w:jc w:val="center"/>
        </w:pPr>
        <w:r>
          <w:fldChar w:fldCharType="begin"/>
        </w:r>
        <w:r>
          <w:instrText xml:space="preserve">PAGE   \* MERGEFORMAT</w:instrText>
        </w:r>
        <w:r>
          <w:fldChar w:fldCharType="separate"/>
        </w:r>
        <w:r>
          <w:rPr>
            <w:lang w:val="zh-CN"/>
          </w:rPr>
          <w:t>27</w:t>
        </w:r>
        <w:r>
          <w:rPr>
            <w:lang w:val="zh-CN"/>
          </w:rPr>
          <w:fldChar w:fldCharType="end"/>
        </w:r>
      </w:p>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3A0E30"/>
    <w:multiLevelType w:val="multilevel"/>
    <w:tmpl w:val="0A3A0E30"/>
    <w:lvl w:ilvl="0" w:tentative="0">
      <w:start w:val="1"/>
      <w:numFmt w:val="decimal"/>
      <w:lvlText w:val="%1."/>
      <w:lvlJc w:val="left"/>
      <w:pPr>
        <w:ind w:left="1065" w:hanging="360"/>
      </w:pPr>
      <w:rPr>
        <w:rFonts w:hint="default"/>
      </w:rPr>
    </w:lvl>
    <w:lvl w:ilvl="1" w:tentative="0">
      <w:start w:val="1"/>
      <w:numFmt w:val="lowerLetter"/>
      <w:lvlText w:val="%2)"/>
      <w:lvlJc w:val="left"/>
      <w:pPr>
        <w:ind w:left="1545" w:hanging="420"/>
      </w:pPr>
    </w:lvl>
    <w:lvl w:ilvl="2" w:tentative="0">
      <w:start w:val="1"/>
      <w:numFmt w:val="lowerRoman"/>
      <w:lvlText w:val="%3."/>
      <w:lvlJc w:val="right"/>
      <w:pPr>
        <w:ind w:left="1965" w:hanging="420"/>
      </w:pPr>
    </w:lvl>
    <w:lvl w:ilvl="3" w:tentative="0">
      <w:start w:val="1"/>
      <w:numFmt w:val="decimal"/>
      <w:lvlText w:val="%4."/>
      <w:lvlJc w:val="left"/>
      <w:pPr>
        <w:ind w:left="2385" w:hanging="420"/>
      </w:pPr>
    </w:lvl>
    <w:lvl w:ilvl="4" w:tentative="0">
      <w:start w:val="1"/>
      <w:numFmt w:val="lowerLetter"/>
      <w:lvlText w:val="%5)"/>
      <w:lvlJc w:val="left"/>
      <w:pPr>
        <w:ind w:left="2805" w:hanging="420"/>
      </w:pPr>
    </w:lvl>
    <w:lvl w:ilvl="5" w:tentative="0">
      <w:start w:val="1"/>
      <w:numFmt w:val="lowerRoman"/>
      <w:lvlText w:val="%6."/>
      <w:lvlJc w:val="right"/>
      <w:pPr>
        <w:ind w:left="3225" w:hanging="420"/>
      </w:pPr>
    </w:lvl>
    <w:lvl w:ilvl="6" w:tentative="0">
      <w:start w:val="1"/>
      <w:numFmt w:val="decimal"/>
      <w:lvlText w:val="%7."/>
      <w:lvlJc w:val="left"/>
      <w:pPr>
        <w:ind w:left="3645" w:hanging="420"/>
      </w:pPr>
    </w:lvl>
    <w:lvl w:ilvl="7" w:tentative="0">
      <w:start w:val="1"/>
      <w:numFmt w:val="lowerLetter"/>
      <w:lvlText w:val="%8)"/>
      <w:lvlJc w:val="left"/>
      <w:pPr>
        <w:ind w:left="4065" w:hanging="420"/>
      </w:pPr>
    </w:lvl>
    <w:lvl w:ilvl="8" w:tentative="0">
      <w:start w:val="1"/>
      <w:numFmt w:val="lowerRoman"/>
      <w:lvlText w:val="%9."/>
      <w:lvlJc w:val="right"/>
      <w:pPr>
        <w:ind w:left="4485" w:hanging="420"/>
      </w:pPr>
    </w:lvl>
  </w:abstractNum>
  <w:abstractNum w:abstractNumId="1">
    <w:nsid w:val="6596093A"/>
    <w:multiLevelType w:val="multilevel"/>
    <w:tmpl w:val="6596093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I1OWRhYmJhNWI2Y2JmMjljYjMxMDA3MmU1MTlkMTAifQ=="/>
  </w:docVars>
  <w:rsids>
    <w:rsidRoot w:val="001D2A78"/>
    <w:rsid w:val="000032A8"/>
    <w:rsid w:val="000038BE"/>
    <w:rsid w:val="00011704"/>
    <w:rsid w:val="000272CC"/>
    <w:rsid w:val="0005428C"/>
    <w:rsid w:val="000732B0"/>
    <w:rsid w:val="000741B9"/>
    <w:rsid w:val="00076351"/>
    <w:rsid w:val="000B329D"/>
    <w:rsid w:val="000B5571"/>
    <w:rsid w:val="000D417A"/>
    <w:rsid w:val="000D6B55"/>
    <w:rsid w:val="000F081B"/>
    <w:rsid w:val="0010511A"/>
    <w:rsid w:val="00111C63"/>
    <w:rsid w:val="0011387C"/>
    <w:rsid w:val="00115190"/>
    <w:rsid w:val="00116FFF"/>
    <w:rsid w:val="00127CEC"/>
    <w:rsid w:val="0014002C"/>
    <w:rsid w:val="001713CB"/>
    <w:rsid w:val="001A598F"/>
    <w:rsid w:val="001B6E28"/>
    <w:rsid w:val="001C2134"/>
    <w:rsid w:val="001D2A78"/>
    <w:rsid w:val="001E7306"/>
    <w:rsid w:val="001F380D"/>
    <w:rsid w:val="002104E7"/>
    <w:rsid w:val="0021342B"/>
    <w:rsid w:val="0022050D"/>
    <w:rsid w:val="00225861"/>
    <w:rsid w:val="00230E70"/>
    <w:rsid w:val="00244CD5"/>
    <w:rsid w:val="002624CF"/>
    <w:rsid w:val="00265AE5"/>
    <w:rsid w:val="002A6525"/>
    <w:rsid w:val="002A6CDD"/>
    <w:rsid w:val="002B0484"/>
    <w:rsid w:val="002B53EB"/>
    <w:rsid w:val="002B5637"/>
    <w:rsid w:val="002C5EF8"/>
    <w:rsid w:val="002D0DED"/>
    <w:rsid w:val="002D787C"/>
    <w:rsid w:val="0031224E"/>
    <w:rsid w:val="00314E13"/>
    <w:rsid w:val="00320B9F"/>
    <w:rsid w:val="0032333A"/>
    <w:rsid w:val="003243C6"/>
    <w:rsid w:val="00340782"/>
    <w:rsid w:val="00364B69"/>
    <w:rsid w:val="003830BF"/>
    <w:rsid w:val="00384033"/>
    <w:rsid w:val="003A4CD0"/>
    <w:rsid w:val="003A5F85"/>
    <w:rsid w:val="003A71F0"/>
    <w:rsid w:val="003B6249"/>
    <w:rsid w:val="003B6836"/>
    <w:rsid w:val="003C0BD1"/>
    <w:rsid w:val="003C6A87"/>
    <w:rsid w:val="003C6CF5"/>
    <w:rsid w:val="003E4AF0"/>
    <w:rsid w:val="0042782D"/>
    <w:rsid w:val="0043482B"/>
    <w:rsid w:val="00435CD7"/>
    <w:rsid w:val="004361EE"/>
    <w:rsid w:val="00436D83"/>
    <w:rsid w:val="00452B78"/>
    <w:rsid w:val="00454729"/>
    <w:rsid w:val="00461699"/>
    <w:rsid w:val="00462D3A"/>
    <w:rsid w:val="00464139"/>
    <w:rsid w:val="00466A4D"/>
    <w:rsid w:val="0048448E"/>
    <w:rsid w:val="00485AE7"/>
    <w:rsid w:val="004906B4"/>
    <w:rsid w:val="00491665"/>
    <w:rsid w:val="00492AFC"/>
    <w:rsid w:val="004C7B20"/>
    <w:rsid w:val="004D2C98"/>
    <w:rsid w:val="004D5558"/>
    <w:rsid w:val="004D76AA"/>
    <w:rsid w:val="004F0D91"/>
    <w:rsid w:val="004F1AE3"/>
    <w:rsid w:val="004F74E8"/>
    <w:rsid w:val="00503A29"/>
    <w:rsid w:val="00511F37"/>
    <w:rsid w:val="00547111"/>
    <w:rsid w:val="00586C47"/>
    <w:rsid w:val="0059129A"/>
    <w:rsid w:val="0059294E"/>
    <w:rsid w:val="00593816"/>
    <w:rsid w:val="005943AD"/>
    <w:rsid w:val="005C1D7D"/>
    <w:rsid w:val="005D2CB3"/>
    <w:rsid w:val="0060348A"/>
    <w:rsid w:val="006163C7"/>
    <w:rsid w:val="00617546"/>
    <w:rsid w:val="006222A5"/>
    <w:rsid w:val="00655BA6"/>
    <w:rsid w:val="00655D8A"/>
    <w:rsid w:val="006573D0"/>
    <w:rsid w:val="006576B8"/>
    <w:rsid w:val="006A427C"/>
    <w:rsid w:val="006B4100"/>
    <w:rsid w:val="006B6E5D"/>
    <w:rsid w:val="006C7254"/>
    <w:rsid w:val="006E72B3"/>
    <w:rsid w:val="006F2986"/>
    <w:rsid w:val="00701FFF"/>
    <w:rsid w:val="007036CC"/>
    <w:rsid w:val="00703868"/>
    <w:rsid w:val="00706336"/>
    <w:rsid w:val="00716A7C"/>
    <w:rsid w:val="00724115"/>
    <w:rsid w:val="007302C2"/>
    <w:rsid w:val="007465D3"/>
    <w:rsid w:val="007578B5"/>
    <w:rsid w:val="00762BE4"/>
    <w:rsid w:val="00763060"/>
    <w:rsid w:val="00767FD8"/>
    <w:rsid w:val="0077043D"/>
    <w:rsid w:val="0078560B"/>
    <w:rsid w:val="0078778E"/>
    <w:rsid w:val="0079595E"/>
    <w:rsid w:val="007A1904"/>
    <w:rsid w:val="007A1F76"/>
    <w:rsid w:val="007A49FE"/>
    <w:rsid w:val="007B045B"/>
    <w:rsid w:val="007C0F49"/>
    <w:rsid w:val="007D0FAD"/>
    <w:rsid w:val="007E73CE"/>
    <w:rsid w:val="007F24A7"/>
    <w:rsid w:val="007F4B17"/>
    <w:rsid w:val="007F5F5F"/>
    <w:rsid w:val="00802BB2"/>
    <w:rsid w:val="00804447"/>
    <w:rsid w:val="00816C13"/>
    <w:rsid w:val="00820E76"/>
    <w:rsid w:val="00827D22"/>
    <w:rsid w:val="0083231F"/>
    <w:rsid w:val="008331BC"/>
    <w:rsid w:val="008353C5"/>
    <w:rsid w:val="00846411"/>
    <w:rsid w:val="00853E60"/>
    <w:rsid w:val="00857094"/>
    <w:rsid w:val="008A26F0"/>
    <w:rsid w:val="008B17DE"/>
    <w:rsid w:val="008B1BCE"/>
    <w:rsid w:val="008B621B"/>
    <w:rsid w:val="008D113E"/>
    <w:rsid w:val="008D7D71"/>
    <w:rsid w:val="008E090A"/>
    <w:rsid w:val="008E5072"/>
    <w:rsid w:val="008E67C1"/>
    <w:rsid w:val="008F0545"/>
    <w:rsid w:val="0090137F"/>
    <w:rsid w:val="0094157A"/>
    <w:rsid w:val="00944233"/>
    <w:rsid w:val="0095405E"/>
    <w:rsid w:val="009675EA"/>
    <w:rsid w:val="009809B1"/>
    <w:rsid w:val="0098396D"/>
    <w:rsid w:val="009936DA"/>
    <w:rsid w:val="009949AE"/>
    <w:rsid w:val="009A1A5E"/>
    <w:rsid w:val="009A5AD2"/>
    <w:rsid w:val="009A7297"/>
    <w:rsid w:val="009A7390"/>
    <w:rsid w:val="009B2AC1"/>
    <w:rsid w:val="009C511A"/>
    <w:rsid w:val="009C5D04"/>
    <w:rsid w:val="009D7737"/>
    <w:rsid w:val="009D7802"/>
    <w:rsid w:val="009F2EC1"/>
    <w:rsid w:val="00A259EB"/>
    <w:rsid w:val="00A27D22"/>
    <w:rsid w:val="00A305DB"/>
    <w:rsid w:val="00A3073C"/>
    <w:rsid w:val="00A30A85"/>
    <w:rsid w:val="00A31BDC"/>
    <w:rsid w:val="00A403B1"/>
    <w:rsid w:val="00A44A79"/>
    <w:rsid w:val="00A53F90"/>
    <w:rsid w:val="00A84429"/>
    <w:rsid w:val="00A96F32"/>
    <w:rsid w:val="00AC237B"/>
    <w:rsid w:val="00AD3B44"/>
    <w:rsid w:val="00AD5004"/>
    <w:rsid w:val="00AE1AF3"/>
    <w:rsid w:val="00AE5D7D"/>
    <w:rsid w:val="00AF2953"/>
    <w:rsid w:val="00AF2ABF"/>
    <w:rsid w:val="00AF5E22"/>
    <w:rsid w:val="00AF771D"/>
    <w:rsid w:val="00B3663C"/>
    <w:rsid w:val="00B62ABA"/>
    <w:rsid w:val="00B64084"/>
    <w:rsid w:val="00B66E8F"/>
    <w:rsid w:val="00B73854"/>
    <w:rsid w:val="00B826F4"/>
    <w:rsid w:val="00B87332"/>
    <w:rsid w:val="00B91F36"/>
    <w:rsid w:val="00B9204F"/>
    <w:rsid w:val="00BA58D1"/>
    <w:rsid w:val="00BB1AF1"/>
    <w:rsid w:val="00BB1C1F"/>
    <w:rsid w:val="00BB2293"/>
    <w:rsid w:val="00BC306B"/>
    <w:rsid w:val="00BC5116"/>
    <w:rsid w:val="00BC7245"/>
    <w:rsid w:val="00BF0234"/>
    <w:rsid w:val="00BF1BD1"/>
    <w:rsid w:val="00BF7579"/>
    <w:rsid w:val="00C2250C"/>
    <w:rsid w:val="00C326FD"/>
    <w:rsid w:val="00C43F6D"/>
    <w:rsid w:val="00C456A2"/>
    <w:rsid w:val="00C67A9F"/>
    <w:rsid w:val="00C72662"/>
    <w:rsid w:val="00C7334A"/>
    <w:rsid w:val="00C76FD1"/>
    <w:rsid w:val="00C807CE"/>
    <w:rsid w:val="00C80D08"/>
    <w:rsid w:val="00CA1558"/>
    <w:rsid w:val="00CA2251"/>
    <w:rsid w:val="00CA3F80"/>
    <w:rsid w:val="00CB0631"/>
    <w:rsid w:val="00CB2101"/>
    <w:rsid w:val="00CB2DF1"/>
    <w:rsid w:val="00CC53A9"/>
    <w:rsid w:val="00CC7516"/>
    <w:rsid w:val="00CC772C"/>
    <w:rsid w:val="00CE045F"/>
    <w:rsid w:val="00CE1C1B"/>
    <w:rsid w:val="00CE2867"/>
    <w:rsid w:val="00CE2C95"/>
    <w:rsid w:val="00CF416A"/>
    <w:rsid w:val="00CF6895"/>
    <w:rsid w:val="00D03394"/>
    <w:rsid w:val="00D16448"/>
    <w:rsid w:val="00D335A4"/>
    <w:rsid w:val="00D37FD8"/>
    <w:rsid w:val="00D572F2"/>
    <w:rsid w:val="00D62307"/>
    <w:rsid w:val="00D679D3"/>
    <w:rsid w:val="00D809D1"/>
    <w:rsid w:val="00DB370B"/>
    <w:rsid w:val="00DD4F86"/>
    <w:rsid w:val="00DE451E"/>
    <w:rsid w:val="00E00980"/>
    <w:rsid w:val="00E15355"/>
    <w:rsid w:val="00E1659C"/>
    <w:rsid w:val="00E176FB"/>
    <w:rsid w:val="00E320EA"/>
    <w:rsid w:val="00E32449"/>
    <w:rsid w:val="00E347D3"/>
    <w:rsid w:val="00E35852"/>
    <w:rsid w:val="00E56AAA"/>
    <w:rsid w:val="00EB0C82"/>
    <w:rsid w:val="00EB2011"/>
    <w:rsid w:val="00EB2469"/>
    <w:rsid w:val="00EB2739"/>
    <w:rsid w:val="00EB79D9"/>
    <w:rsid w:val="00ED3E09"/>
    <w:rsid w:val="00EE267D"/>
    <w:rsid w:val="00F061D2"/>
    <w:rsid w:val="00F0654E"/>
    <w:rsid w:val="00F23E87"/>
    <w:rsid w:val="00F3146A"/>
    <w:rsid w:val="00F339E5"/>
    <w:rsid w:val="00F36B24"/>
    <w:rsid w:val="00F47AF2"/>
    <w:rsid w:val="00F56665"/>
    <w:rsid w:val="00F67399"/>
    <w:rsid w:val="00F761AC"/>
    <w:rsid w:val="00F823C2"/>
    <w:rsid w:val="00F947B3"/>
    <w:rsid w:val="00FA50C1"/>
    <w:rsid w:val="00FA6045"/>
    <w:rsid w:val="00FB62A1"/>
    <w:rsid w:val="00FC22C4"/>
    <w:rsid w:val="00FD140D"/>
    <w:rsid w:val="04D253D6"/>
    <w:rsid w:val="0A6D18E6"/>
    <w:rsid w:val="0CD805FA"/>
    <w:rsid w:val="0E626D57"/>
    <w:rsid w:val="11C23779"/>
    <w:rsid w:val="171A2FBE"/>
    <w:rsid w:val="22F8522B"/>
    <w:rsid w:val="28295DAD"/>
    <w:rsid w:val="2863731C"/>
    <w:rsid w:val="2F0B1ECC"/>
    <w:rsid w:val="335512A2"/>
    <w:rsid w:val="33820193"/>
    <w:rsid w:val="346F5EF3"/>
    <w:rsid w:val="3E94330A"/>
    <w:rsid w:val="3F363A9A"/>
    <w:rsid w:val="3F6F1937"/>
    <w:rsid w:val="42A969CC"/>
    <w:rsid w:val="43F95498"/>
    <w:rsid w:val="447910C8"/>
    <w:rsid w:val="490D224F"/>
    <w:rsid w:val="4B334F3B"/>
    <w:rsid w:val="4BE94870"/>
    <w:rsid w:val="4D995158"/>
    <w:rsid w:val="524F7F21"/>
    <w:rsid w:val="618E3D3B"/>
    <w:rsid w:val="6555162E"/>
    <w:rsid w:val="670533FF"/>
    <w:rsid w:val="6ACE521E"/>
    <w:rsid w:val="73142BB6"/>
    <w:rsid w:val="79713A29"/>
    <w:rsid w:val="7A686F1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25"/>
    <w:semiHidden/>
    <w:unhideWhenUsed/>
    <w:qFormat/>
    <w:uiPriority w:val="1"/>
    <w:pPr>
      <w:autoSpaceDE w:val="0"/>
      <w:autoSpaceDN w:val="0"/>
      <w:jc w:val="left"/>
    </w:pPr>
    <w:rPr>
      <w:rFonts w:ascii="仿宋" w:hAnsi="仿宋" w:eastAsia="仿宋" w:cs="仿宋"/>
      <w:kern w:val="0"/>
      <w:sz w:val="28"/>
      <w:szCs w:val="28"/>
      <w:lang w:val="zh-CN" w:bidi="zh-CN"/>
    </w:rPr>
  </w:style>
  <w:style w:type="paragraph" w:styleId="5">
    <w:name w:val="toc 3"/>
    <w:basedOn w:val="1"/>
    <w:next w:val="1"/>
    <w:unhideWhenUsed/>
    <w:qFormat/>
    <w:uiPriority w:val="39"/>
    <w:pPr>
      <w:ind w:left="840" w:leftChars="400"/>
    </w:pPr>
  </w:style>
  <w:style w:type="paragraph" w:styleId="6">
    <w:name w:val="Balloon Text"/>
    <w:basedOn w:val="1"/>
    <w:link w:val="18"/>
    <w:semiHidden/>
    <w:unhideWhenUsed/>
    <w:qFormat/>
    <w:uiPriority w:val="99"/>
    <w:rPr>
      <w:sz w:val="18"/>
      <w:szCs w:val="18"/>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table" w:styleId="12">
    <w:name w:val="Table Grid"/>
    <w:basedOn w:val="1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themeColor="hyperlink"/>
      <w:u w:val="single"/>
    </w:rPr>
  </w:style>
  <w:style w:type="paragraph" w:styleId="15">
    <w:name w:val="List Paragraph"/>
    <w:basedOn w:val="1"/>
    <w:qFormat/>
    <w:uiPriority w:val="34"/>
    <w:pPr>
      <w:ind w:firstLine="420" w:firstLineChars="200"/>
    </w:pPr>
  </w:style>
  <w:style w:type="character" w:customStyle="1" w:styleId="16">
    <w:name w:val="页眉 Char"/>
    <w:basedOn w:val="13"/>
    <w:link w:val="8"/>
    <w:qFormat/>
    <w:uiPriority w:val="99"/>
    <w:rPr>
      <w:sz w:val="18"/>
      <w:szCs w:val="18"/>
    </w:rPr>
  </w:style>
  <w:style w:type="character" w:customStyle="1" w:styleId="17">
    <w:name w:val="页脚 Char"/>
    <w:basedOn w:val="13"/>
    <w:link w:val="7"/>
    <w:qFormat/>
    <w:uiPriority w:val="99"/>
    <w:rPr>
      <w:sz w:val="18"/>
      <w:szCs w:val="18"/>
    </w:rPr>
  </w:style>
  <w:style w:type="character" w:customStyle="1" w:styleId="18">
    <w:name w:val="批注框文本 Char"/>
    <w:basedOn w:val="13"/>
    <w:link w:val="6"/>
    <w:semiHidden/>
    <w:qFormat/>
    <w:uiPriority w:val="99"/>
    <w:rPr>
      <w:sz w:val="18"/>
      <w:szCs w:val="18"/>
    </w:rPr>
  </w:style>
  <w:style w:type="character" w:customStyle="1" w:styleId="19">
    <w:name w:val="标题 1 Char"/>
    <w:basedOn w:val="13"/>
    <w:link w:val="2"/>
    <w:qFormat/>
    <w:uiPriority w:val="9"/>
    <w:rPr>
      <w:b/>
      <w:bCs/>
      <w:kern w:val="44"/>
      <w:sz w:val="44"/>
      <w:szCs w:val="44"/>
    </w:rPr>
  </w:style>
  <w:style w:type="character" w:customStyle="1" w:styleId="20">
    <w:name w:val="标题 2 Char"/>
    <w:basedOn w:val="13"/>
    <w:link w:val="3"/>
    <w:qFormat/>
    <w:uiPriority w:val="9"/>
    <w:rPr>
      <w:rFonts w:asciiTheme="majorHAnsi" w:hAnsiTheme="majorHAnsi" w:eastAsiaTheme="majorEastAsia" w:cstheme="majorBidi"/>
      <w:b/>
      <w:bCs/>
      <w:sz w:val="32"/>
      <w:szCs w:val="32"/>
    </w:rPr>
  </w:style>
  <w:style w:type="paragraph" w:customStyle="1" w:styleId="21">
    <w:name w:val="Table Paragraph"/>
    <w:basedOn w:val="1"/>
    <w:qFormat/>
    <w:uiPriority w:val="1"/>
    <w:pPr>
      <w:autoSpaceDE w:val="0"/>
      <w:autoSpaceDN w:val="0"/>
      <w:jc w:val="left"/>
    </w:pPr>
    <w:rPr>
      <w:rFonts w:ascii="仿宋" w:hAnsi="仿宋" w:eastAsia="仿宋" w:cs="仿宋"/>
      <w:kern w:val="0"/>
      <w:sz w:val="22"/>
      <w:lang w:val="zh-CN" w:bidi="zh-CN"/>
    </w:rPr>
  </w:style>
  <w:style w:type="table" w:customStyle="1" w:styleId="22">
    <w:name w:val="Table Normal"/>
    <w:semiHidden/>
    <w:qFormat/>
    <w:uiPriority w:val="2"/>
    <w:pPr>
      <w:widowControl w:val="0"/>
      <w:autoSpaceDE w:val="0"/>
      <w:autoSpaceDN w:val="0"/>
    </w:pPr>
    <w:rPr>
      <w:rFonts w:eastAsia="Times New Roman"/>
      <w:sz w:val="22"/>
      <w:lang w:eastAsia="en-US"/>
    </w:rPr>
    <w:tblPr>
      <w:tblCellMar>
        <w:top w:w="0" w:type="dxa"/>
        <w:left w:w="0" w:type="dxa"/>
        <w:bottom w:w="0" w:type="dxa"/>
        <w:right w:w="0" w:type="dxa"/>
      </w:tblCellMar>
    </w:tblPr>
  </w:style>
  <w:style w:type="table" w:customStyle="1" w:styleId="23">
    <w:name w:val="Table Normal1"/>
    <w:semiHidden/>
    <w:qFormat/>
    <w:uiPriority w:val="2"/>
    <w:pPr>
      <w:widowControl w:val="0"/>
      <w:autoSpaceDE w:val="0"/>
      <w:autoSpaceDN w:val="0"/>
    </w:pPr>
    <w:rPr>
      <w:rFonts w:eastAsia="Times New Roman"/>
      <w:sz w:val="22"/>
      <w:lang w:eastAsia="en-US"/>
    </w:rPr>
    <w:tblPr>
      <w:tblCellMar>
        <w:top w:w="0" w:type="dxa"/>
        <w:left w:w="0" w:type="dxa"/>
        <w:bottom w:w="0" w:type="dxa"/>
        <w:right w:w="0" w:type="dxa"/>
      </w:tblCellMar>
    </w:tblPr>
  </w:style>
  <w:style w:type="table" w:customStyle="1" w:styleId="24">
    <w:name w:val="Table Normal2"/>
    <w:semiHidden/>
    <w:qFormat/>
    <w:uiPriority w:val="2"/>
    <w:pPr>
      <w:widowControl w:val="0"/>
      <w:autoSpaceDE w:val="0"/>
      <w:autoSpaceDN w:val="0"/>
    </w:pPr>
    <w:rPr>
      <w:rFonts w:eastAsia="Times New Roman"/>
      <w:sz w:val="22"/>
      <w:lang w:eastAsia="en-US"/>
    </w:rPr>
    <w:tblPr>
      <w:tblCellMar>
        <w:top w:w="0" w:type="dxa"/>
        <w:left w:w="0" w:type="dxa"/>
        <w:bottom w:w="0" w:type="dxa"/>
        <w:right w:w="0" w:type="dxa"/>
      </w:tblCellMar>
    </w:tblPr>
  </w:style>
  <w:style w:type="character" w:customStyle="1" w:styleId="25">
    <w:name w:val="正文文本 Char"/>
    <w:basedOn w:val="13"/>
    <w:link w:val="4"/>
    <w:semiHidden/>
    <w:qFormat/>
    <w:uiPriority w:val="1"/>
    <w:rPr>
      <w:rFonts w:ascii="仿宋" w:hAnsi="仿宋" w:eastAsia="仿宋" w:cs="仿宋"/>
      <w:sz w:val="28"/>
      <w:szCs w:val="28"/>
      <w:lang w:val="zh-CN" w:bidi="zh-CN"/>
    </w:rPr>
  </w:style>
  <w:style w:type="paragraph" w:customStyle="1" w:styleId="26">
    <w:name w:val="标题3"/>
    <w:basedOn w:val="1"/>
    <w:link w:val="27"/>
    <w:qFormat/>
    <w:uiPriority w:val="0"/>
    <w:pPr>
      <w:spacing w:line="360" w:lineRule="auto"/>
      <w:outlineLvl w:val="2"/>
    </w:pPr>
    <w:rPr>
      <w:rFonts w:ascii="仿宋" w:hAnsi="仿宋" w:eastAsia="仿宋"/>
      <w:b/>
      <w:kern w:val="0"/>
      <w:sz w:val="30"/>
      <w:szCs w:val="28"/>
    </w:rPr>
  </w:style>
  <w:style w:type="character" w:customStyle="1" w:styleId="27">
    <w:name w:val="标题3 Char"/>
    <w:link w:val="26"/>
    <w:qFormat/>
    <w:uiPriority w:val="0"/>
    <w:rPr>
      <w:rFonts w:ascii="仿宋" w:hAnsi="仿宋" w:eastAsia="仿宋"/>
      <w:b/>
      <w:sz w:val="30"/>
      <w:szCs w:val="28"/>
    </w:rPr>
  </w:style>
  <w:style w:type="paragraph" w:customStyle="1" w:styleId="28">
    <w:name w:val="图表标注"/>
    <w:basedOn w:val="1"/>
    <w:link w:val="29"/>
    <w:qFormat/>
    <w:uiPriority w:val="0"/>
    <w:pPr>
      <w:jc w:val="center"/>
    </w:pPr>
    <w:rPr>
      <w:rFonts w:ascii="仿宋" w:hAnsi="仿宋" w:eastAsia="仿宋"/>
      <w:b/>
      <w:kern w:val="0"/>
      <w:szCs w:val="24"/>
    </w:rPr>
  </w:style>
  <w:style w:type="character" w:customStyle="1" w:styleId="29">
    <w:name w:val="图表标注 Char"/>
    <w:link w:val="28"/>
    <w:qFormat/>
    <w:uiPriority w:val="0"/>
    <w:rPr>
      <w:rFonts w:ascii="仿宋" w:hAnsi="仿宋" w:eastAsia="仿宋"/>
      <w:b/>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emf"/><Relationship Id="rId7" Type="http://schemas.openxmlformats.org/officeDocument/2006/relationships/image" Target="file:///C:\Users\Administrator\Documents\Tencent%2525252525252520Files\953369346\Image\C2C\%25252525252525259IYW3%252525252525257d40BV%25252525252525606PQ%252525252525257d0E6%2525252525252525HTJ.jpg" TargetMode="Externa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E2155-60C1-49DF-9530-049CE722AF4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36</Pages>
  <Words>13168</Words>
  <Characters>13836</Characters>
  <Lines>118</Lines>
  <Paragraphs>33</Paragraphs>
  <TotalTime>1</TotalTime>
  <ScaleCrop>false</ScaleCrop>
  <LinksUpToDate>false</LinksUpToDate>
  <CharactersWithSpaces>14232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2021-10-19T07:22:00Z</dcterms:created>
  <dc:creator>国咨项目管理有限公司:田飞</dc:creator>
  <cp:lastModifiedBy>Administrator</cp:lastModifiedBy>
  <cp:lastPrinted>2022-01-24T07:13:00Z</cp:lastPrinted>
  <dcterms:modified xsi:type="dcterms:W3CDTF">2023-01-13T14:31:02Z</dcterms:modified>
  <cp:revision>157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17B24352D39D4B6B8793AF9A300E1918</vt:lpwstr>
  </property>
</Properties>
</file>